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rPr>
      </w:pPr>
      <w:r>
        <w:rPr>
          <w:rFonts w:hint="eastAsia"/>
          <w:b/>
        </w:rPr>
        <w:t>华夏国证石油天然气交易型开放式指数证券投资基金</w:t>
      </w:r>
    </w:p>
    <w:p>
      <w:pPr>
        <w:spacing w:line="360" w:lineRule="auto"/>
        <w:jc w:val="center"/>
        <w:rPr>
          <w:rFonts w:hint="eastAsia"/>
        </w:rPr>
      </w:pPr>
      <w:r>
        <w:rPr>
          <w:b/>
        </w:rPr>
        <w:t>风险揭示书</w:t>
      </w:r>
    </w:p>
    <w:p>
      <w:pPr>
        <w:spacing w:line="360" w:lineRule="auto"/>
        <w:rPr>
          <w:rFonts w:hint="eastAsia"/>
          <w:sz w:val="21"/>
          <w:szCs w:val="21"/>
        </w:rPr>
      </w:pPr>
      <w:r>
        <w:rPr>
          <w:rFonts w:hint="eastAsia"/>
          <w:sz w:val="21"/>
          <w:szCs w:val="21"/>
        </w:rPr>
        <w:t>尊敬的投资者：</w:t>
      </w:r>
    </w:p>
    <w:p>
      <w:pPr>
        <w:spacing w:line="360" w:lineRule="auto"/>
        <w:ind w:firstLine="420" w:firstLineChars="200"/>
        <w:rPr>
          <w:rFonts w:hint="eastAsia"/>
          <w:sz w:val="21"/>
          <w:szCs w:val="21"/>
        </w:rPr>
      </w:pPr>
      <w:r>
        <w:rPr>
          <w:rFonts w:hint="eastAsia"/>
          <w:sz w:val="21"/>
          <w:szCs w:val="21"/>
        </w:rPr>
        <w:t>为了使您充分了解公开募集证券投资基金的相关风险，根据有关法律、法规、规章和规则的规定，本公司特向您进行如下风险揭示，以下风险可能直接导致您的本金亏损或超过原始本金损失，请认真阅读并充分知悉公开募集证券投资基金的各项风险后予以签署。</w:t>
      </w:r>
    </w:p>
    <w:p>
      <w:pPr>
        <w:spacing w:line="360" w:lineRule="auto"/>
        <w:ind w:firstLine="420" w:firstLineChars="200"/>
        <w:rPr>
          <w:rFonts w:hint="eastAsia"/>
          <w:sz w:val="21"/>
          <w:szCs w:val="21"/>
        </w:rPr>
      </w:pPr>
      <w:r>
        <w:rPr>
          <w:rFonts w:hint="eastAsia"/>
          <w:sz w:val="21"/>
          <w:szCs w:val="21"/>
        </w:rPr>
        <w:t>投资有风险，投资需谨慎。公开募集证券投资基金（以下简称“基金”）是一种长期投资工具，其主要功能是分散投资，降低投资单一证券所带来的个别风险。基金不同于银行储蓄等能够提供固定收益预期的金融工具，当您购买基金产品时，既可能按持有份额分享基金投资所产生的收益，也可能承担基金投资所带来的损失。</w:t>
      </w:r>
    </w:p>
    <w:p>
      <w:pPr>
        <w:spacing w:line="360" w:lineRule="auto"/>
        <w:ind w:firstLine="420" w:firstLineChars="200"/>
        <w:rPr>
          <w:rFonts w:hint="eastAsia"/>
          <w:sz w:val="21"/>
          <w:szCs w:val="21"/>
        </w:rPr>
      </w:pPr>
      <w:r>
        <w:rPr>
          <w:rFonts w:hint="eastAsia"/>
          <w:sz w:val="21"/>
          <w:szCs w:val="21"/>
        </w:rPr>
        <w:t>您在做出投资决策之前，请仔细阅读基金合同、基金招募说明书和基金产品资料概要等产品法律文件和本风险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pPr>
        <w:spacing w:line="360" w:lineRule="auto"/>
        <w:ind w:firstLine="420" w:firstLineChars="200"/>
        <w:rPr>
          <w:rFonts w:hint="eastAsia"/>
          <w:sz w:val="21"/>
          <w:szCs w:val="21"/>
        </w:rPr>
      </w:pPr>
      <w:r>
        <w:rPr>
          <w:rFonts w:hint="eastAsia"/>
          <w:sz w:val="21"/>
          <w:szCs w:val="21"/>
        </w:rPr>
        <w:t>根据有关法律法规，川财证券有限责任公司做出如下风险揭示：</w:t>
      </w:r>
    </w:p>
    <w:p>
      <w:pPr>
        <w:spacing w:line="360" w:lineRule="auto"/>
        <w:ind w:firstLine="420" w:firstLineChars="200"/>
        <w:rPr>
          <w:rFonts w:hint="eastAsia"/>
          <w:sz w:val="21"/>
          <w:szCs w:val="21"/>
        </w:rPr>
      </w:pPr>
      <w:r>
        <w:rPr>
          <w:rFonts w:hint="eastAsia"/>
          <w:sz w:val="21"/>
          <w:szCs w:val="21"/>
        </w:rPr>
        <w:t>一、依据投资对象的不同,基金分为股票基金、混合基金、债券基金、货币市场基金、基金中基金、商品基金等不同类型，您投资不同类型的基金将获得不同的收益预期，也将承</w:t>
      </w:r>
    </w:p>
    <w:p>
      <w:pPr>
        <w:spacing w:line="360" w:lineRule="auto"/>
        <w:rPr>
          <w:rFonts w:hint="eastAsia"/>
          <w:sz w:val="21"/>
          <w:szCs w:val="21"/>
        </w:rPr>
      </w:pPr>
      <w:r>
        <w:rPr>
          <w:rFonts w:hint="eastAsia"/>
          <w:sz w:val="21"/>
          <w:szCs w:val="21"/>
        </w:rPr>
        <w:t>担不同程度的风险。一般来说，基金的收益预期越高，您承担的风险也越大。</w:t>
      </w:r>
    </w:p>
    <w:p>
      <w:pPr>
        <w:spacing w:line="360" w:lineRule="auto"/>
        <w:ind w:firstLine="420" w:firstLineChars="200"/>
        <w:rPr>
          <w:rFonts w:hint="eastAsia"/>
          <w:sz w:val="21"/>
          <w:szCs w:val="21"/>
        </w:rPr>
      </w:pPr>
      <w:r>
        <w:rPr>
          <w:rFonts w:hint="eastAsia"/>
          <w:sz w:val="21"/>
          <w:szCs w:val="21"/>
        </w:rPr>
        <w:t>二、基金在投资运作过程中可能面临各种风险，既包括市场风险，也包括基金自身的管理风险、技术风险和合规风险等。巨额赎回风险是开放式基金所特有的一种风险，即当单个开放日基金的净赎回申请超过基金总份额的一定比例（开放式基金为百分之十，定期开放基金为百分之二十，中国证监会规定的特殊产品除外）时，您将可能无法及时赎回申请的全部基金份额，或您赎回的款项可能延缓支付。</w:t>
      </w:r>
    </w:p>
    <w:p>
      <w:pPr>
        <w:spacing w:line="360" w:lineRule="auto"/>
        <w:ind w:firstLine="420" w:firstLineChars="200"/>
        <w:rPr>
          <w:rFonts w:hint="eastAsia"/>
          <w:sz w:val="21"/>
          <w:szCs w:val="21"/>
        </w:rPr>
      </w:pPr>
      <w:r>
        <w:rPr>
          <w:rFonts w:hint="eastAsia"/>
          <w:sz w:val="21"/>
          <w:szCs w:val="21"/>
        </w:rPr>
        <w:t>三、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pPr>
        <w:spacing w:line="360"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四、特殊类型产品风险揭示：</w:t>
      </w:r>
    </w:p>
    <w:p>
      <w:pPr>
        <w:spacing w:line="360"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1.如果您购买的产品为养老目标基金，产品“养老”的名称不代表收益保障或其他任何形式的收益承诺，产品不保本，可能发生亏损。请您仔细阅读专门风险揭示书，确认了</w:t>
      </w:r>
    </w:p>
    <w:p>
      <w:pPr>
        <w:spacing w:line="360" w:lineRule="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解产品特征。</w:t>
      </w:r>
    </w:p>
    <w:p>
      <w:pPr>
        <w:spacing w:line="360"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2.如果您购买的产品为货币市场基金，购买货币市场基金并不等于将资金作为存款存放在银行或者存款类金融机构，基金管理人不保证基金一定盈利，也不保证最低收益。</w:t>
      </w:r>
    </w:p>
    <w:p>
      <w:pPr>
        <w:spacing w:line="360"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3.如果您购买的产品投资于境外证券，除了需要承担与境内证券投资基金类似的市场波动风险等一般投资风险之外，本基金还面临汇率风险等境外证券市场投资所面临的特别投资风险。</w:t>
      </w:r>
    </w:p>
    <w:p>
      <w:pPr>
        <w:spacing w:line="360"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4.如果您购买的产品以定期开放方式运作或者基金合同约定了基金份额最短持有期限，在封闭期或者最短持有期限内，您将面临因不能赎回或卖出基金份额而出现的流动性约束。</w:t>
      </w:r>
    </w:p>
    <w:p>
      <w:pPr>
        <w:spacing w:line="360" w:lineRule="auto"/>
        <w:ind w:firstLine="420" w:firstLineChars="200"/>
        <w:rPr>
          <w:rFonts w:hint="eastAsia"/>
          <w:sz w:val="21"/>
          <w:szCs w:val="21"/>
        </w:rPr>
      </w:pPr>
      <w:r>
        <w:rPr>
          <w:rFonts w:hint="eastAsia"/>
          <w:sz w:val="21"/>
          <w:szCs w:val="21"/>
        </w:rPr>
        <w:t>五、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川财证券有限责任公司提醒您基金投资的“买者自负”原则，在做出投资决策后，基金运营状况与基金净值变化引致的投资风险，由您自行负担。基金管理人、基金托管人、基金销售机构及相关机构不对基金投资收益做出任何承诺或保证。</w:t>
      </w:r>
    </w:p>
    <w:p>
      <w:pPr>
        <w:spacing w:line="360" w:lineRule="auto"/>
        <w:ind w:firstLine="420" w:firstLineChars="200"/>
        <w:rPr>
          <w:rFonts w:hint="eastAsia"/>
          <w:sz w:val="21"/>
          <w:szCs w:val="21"/>
        </w:rPr>
      </w:pPr>
      <w:r>
        <w:rPr>
          <w:rFonts w:hint="eastAsia"/>
          <w:sz w:val="21"/>
          <w:szCs w:val="21"/>
        </w:rPr>
        <w:t>六、证券公司业务或财产状况变化引发的风险。证券公司可能因业务经营、净资本、负债情况、股权事项等财产状况或公司治理状况发生变化引发经营风险，从而导致业务规模或资质变化、收购兼并、停业整顿、责令关闭、撤销或被人民法院宣告进入破产程序或解散等情形，可能影响投资者的判断或投资决策，投资者有资产损失的风险。</w:t>
      </w:r>
    </w:p>
    <w:p>
      <w:pPr>
        <w:widowControl w:val="0"/>
        <w:spacing w:line="360" w:lineRule="auto"/>
        <w:ind w:firstLine="420" w:firstLineChars="200"/>
        <w:jc w:val="both"/>
        <w:rPr>
          <w:rFonts w:hint="eastAsia"/>
          <w:sz w:val="21"/>
          <w:szCs w:val="21"/>
        </w:rPr>
      </w:pPr>
      <w:r>
        <w:rPr>
          <w:rFonts w:hint="eastAsia"/>
          <w:sz w:val="21"/>
          <w:szCs w:val="21"/>
        </w:rPr>
        <w:t>七、【华夏国证石油天然气交易型开放式指数证券投资基金】（以下简称“本基金”）由【华夏基金管理有限公司】（以下简称“基金管理人”）依照有关法律法规及约定申请募集，并经中国证券监督管理委员会（以下简称“中国证监会”）许可注册。本基金的基金合同、基金招募说明书和基金产品资料概要已通过中国证监会基金电子披露网站【</w:t>
      </w:r>
      <w:r>
        <w:rPr>
          <w:rFonts w:asciiTheme="minorHAnsi" w:hAnsiTheme="minorHAnsi"/>
          <w:sz w:val="21"/>
          <w:szCs w:val="21"/>
        </w:rPr>
        <w:t>http://eid.csrc.gov.cn/fund</w:t>
      </w:r>
      <w:r>
        <w:rPr>
          <w:rFonts w:hint="eastAsia"/>
          <w:sz w:val="21"/>
          <w:szCs w:val="21"/>
        </w:rPr>
        <w:t>】和基金管理人网站【</w:t>
      </w:r>
      <w:r>
        <w:rPr>
          <w:rFonts w:hint="eastAsia" w:asciiTheme="minorHAnsi" w:hAnsiTheme="minorHAnsi"/>
          <w:sz w:val="21"/>
          <w:szCs w:val="21"/>
        </w:rPr>
        <w:t>https://www.ch</w:t>
      </w:r>
      <w:bookmarkStart w:id="0" w:name="_GoBack"/>
      <w:bookmarkEnd w:id="0"/>
      <w:r>
        <w:rPr>
          <w:rFonts w:hint="eastAsia" w:asciiTheme="minorHAnsi" w:hAnsiTheme="minorHAnsi"/>
          <w:sz w:val="21"/>
          <w:szCs w:val="21"/>
        </w:rPr>
        <w:t>inaamc.com</w:t>
      </w:r>
      <w:r>
        <w:rPr>
          <w:rFonts w:hint="eastAsia"/>
          <w:sz w:val="21"/>
          <w:szCs w:val="21"/>
        </w:rPr>
        <w:t>】进行了公开披露。中国证监会对本基金的注册，并不表明其对本基金的投资价值、市场前景和收益作出实质性判断或保证，也不表明投资于本基金没有风险。</w:t>
      </w:r>
    </w:p>
    <w:p>
      <w:pPr>
        <w:widowControl w:val="0"/>
        <w:spacing w:line="360" w:lineRule="auto"/>
        <w:ind w:firstLine="420" w:firstLineChars="200"/>
        <w:jc w:val="both"/>
        <w:rPr>
          <w:rFonts w:hint="eastAsia"/>
          <w:sz w:val="21"/>
          <w:szCs w:val="21"/>
        </w:rPr>
      </w:pPr>
    </w:p>
    <w:p>
      <w:pPr>
        <w:widowControl w:val="0"/>
        <w:spacing w:line="360" w:lineRule="auto"/>
        <w:ind w:firstLine="480" w:firstLineChars="200"/>
        <w:jc w:val="both"/>
        <w:rPr>
          <w:rFonts w:hint="eastAsia"/>
        </w:rPr>
      </w:pPr>
      <w:r>
        <w:rPr>
          <w:rFonts w:hint="eastAsia"/>
        </w:rPr>
        <w:t>川财证券有限责任公司郑重提示：</w:t>
      </w:r>
    </w:p>
    <w:p>
      <w:pPr>
        <w:spacing w:line="360" w:lineRule="auto"/>
        <w:ind w:firstLine="480" w:firstLineChars="200"/>
        <w:rPr>
          <w:rFonts w:hint="eastAsia"/>
        </w:rPr>
      </w:pPr>
      <w:r>
        <w:rPr>
          <w:rFonts w:hint="eastAsia"/>
        </w:rPr>
        <w:t>本《风险揭示书》的揭示事项仅为列举性质，未能详尽列明公开募集证券投资基金的所有风险，且未来相关法律法规和业务规则修订时可能不会要求投资者重新签署《风险揭示书》。投资者务必知晓本《风险揭示书》的揭示事项以及证券市场的固有风险可能直接导致您的本金亏损或超过原始本金损失，您在参与公开募集证券投资基金投资前，应当认真阅读有关法律法规、交易所和登记结算机构业务规则等相关规定和本风险揭示书的全部内容，对公开募集证券投资基金所特有的规则必须了解和掌握，自愿遵守，对其他可能存在的风险因素也应当有所了解和掌握，并确信自己已做好足够的风险评估与财务安排，避免因参与公开募集证券投资基金交易遭受难以承受的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ZGJkOTk0M2NjMDk3NTY4Nzg3NjJkMWI3NjFiMTIifQ=="/>
  </w:docVars>
  <w:rsids>
    <w:rsidRoot w:val="000354E0"/>
    <w:rsid w:val="00025A26"/>
    <w:rsid w:val="00027C81"/>
    <w:rsid w:val="000354E0"/>
    <w:rsid w:val="001C56C0"/>
    <w:rsid w:val="002944A0"/>
    <w:rsid w:val="00325A94"/>
    <w:rsid w:val="00363A1C"/>
    <w:rsid w:val="003A4F76"/>
    <w:rsid w:val="003B202D"/>
    <w:rsid w:val="00420299"/>
    <w:rsid w:val="00471819"/>
    <w:rsid w:val="00483682"/>
    <w:rsid w:val="004C0C15"/>
    <w:rsid w:val="005275BE"/>
    <w:rsid w:val="00571EA7"/>
    <w:rsid w:val="00582992"/>
    <w:rsid w:val="00776CF0"/>
    <w:rsid w:val="007B30C0"/>
    <w:rsid w:val="008C5A1C"/>
    <w:rsid w:val="008D5CC3"/>
    <w:rsid w:val="00910826"/>
    <w:rsid w:val="00915570"/>
    <w:rsid w:val="00A2674F"/>
    <w:rsid w:val="00A47084"/>
    <w:rsid w:val="00A8538A"/>
    <w:rsid w:val="00AB5512"/>
    <w:rsid w:val="00AD10C4"/>
    <w:rsid w:val="00AF10B3"/>
    <w:rsid w:val="00B331C0"/>
    <w:rsid w:val="00B353E6"/>
    <w:rsid w:val="00B93F93"/>
    <w:rsid w:val="00CD6FBC"/>
    <w:rsid w:val="00DB4BFE"/>
    <w:rsid w:val="00E22ABD"/>
    <w:rsid w:val="00EB4B08"/>
    <w:rsid w:val="00F22DA8"/>
    <w:rsid w:val="02BD480D"/>
    <w:rsid w:val="08FA7899"/>
    <w:rsid w:val="0D0B4BED"/>
    <w:rsid w:val="101957F6"/>
    <w:rsid w:val="1544305C"/>
    <w:rsid w:val="228710A4"/>
    <w:rsid w:val="248E5DF5"/>
    <w:rsid w:val="28A777C4"/>
    <w:rsid w:val="2EAA213F"/>
    <w:rsid w:val="3CA803B8"/>
    <w:rsid w:val="3E312DF0"/>
    <w:rsid w:val="46695986"/>
    <w:rsid w:val="49454D86"/>
    <w:rsid w:val="52397D12"/>
    <w:rsid w:val="54047E50"/>
    <w:rsid w:val="54C0470F"/>
    <w:rsid w:val="57E9038A"/>
    <w:rsid w:val="5ABF66CB"/>
    <w:rsid w:val="5B7C35D6"/>
    <w:rsid w:val="672B2E57"/>
    <w:rsid w:val="674637DA"/>
    <w:rsid w:val="6D892734"/>
    <w:rsid w:val="6FDE7CC5"/>
    <w:rsid w:val="73364E8D"/>
    <w:rsid w:val="75F14F12"/>
    <w:rsid w:val="7796742E"/>
    <w:rsid w:val="791C4865"/>
    <w:rsid w:val="7AAE1F51"/>
    <w:rsid w:val="B3F12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0"/>
    </w:pPr>
  </w:style>
  <w:style w:type="paragraph" w:styleId="3">
    <w:name w:val="footer"/>
    <w:basedOn w:val="1"/>
    <w:link w:val="10"/>
    <w:qFormat/>
    <w:uiPriority w:val="0"/>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9"/>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styleId="7">
    <w:name w:val="FollowedHyperlink"/>
    <w:basedOn w:val="6"/>
    <w:qFormat/>
    <w:uiPriority w:val="0"/>
    <w:rPr>
      <w:color w:val="800080"/>
      <w:u w:val="single"/>
    </w:rPr>
  </w:style>
  <w:style w:type="character" w:styleId="8">
    <w:name w:val="Hyperlink"/>
    <w:basedOn w:val="6"/>
    <w:qFormat/>
    <w:uiPriority w:val="0"/>
    <w:rPr>
      <w:color w:val="0000FF"/>
      <w:u w:val="single"/>
    </w:rPr>
  </w:style>
  <w:style w:type="character" w:customStyle="1" w:styleId="9">
    <w:name w:val="页眉 字符"/>
    <w:basedOn w:val="6"/>
    <w:link w:val="4"/>
    <w:qFormat/>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329</Words>
  <Characters>1876</Characters>
  <Lines>15</Lines>
  <Paragraphs>4</Paragraphs>
  <TotalTime>4</TotalTime>
  <ScaleCrop>false</ScaleCrop>
  <LinksUpToDate>false</LinksUpToDate>
  <CharactersWithSpaces>2201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2021-04-16T09:10:00Z</dcterms:created>
  <dc:creator>user</dc:creator>
  <cp:lastModifiedBy>admin</cp:lastModifiedBy>
  <dcterms:modified xsi:type="dcterms:W3CDTF">2026-03-02T07:58:58Z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F6196D8DAAF44EEDACFE28BAAFE71C95_13</vt:lpwstr>
  </property>
</Properties>
</file>