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9EB80">
      <w:pPr>
        <w:pStyle w:val="2"/>
        <w:keepNext w:val="0"/>
        <w:keepLines w:val="0"/>
        <w:jc w:val="center"/>
        <w:rPr>
          <w:rFonts w:hint="eastAsia" w:ascii="宋体" w:hAnsi="宋体"/>
        </w:rPr>
      </w:pPr>
      <w:r>
        <w:rPr>
          <w:rFonts w:hint="eastAsia" w:ascii="宋体" w:hAnsi="宋体"/>
        </w:rPr>
        <w:t>指定交易协议书</w:t>
      </w:r>
    </w:p>
    <w:p w14:paraId="0DD998EF">
      <w:pPr>
        <w:rPr>
          <w:rFonts w:ascii="宋体" w:hAnsi="宋体" w:cs="仿宋_GB2312"/>
          <w:kern w:val="0"/>
          <w:szCs w:val="21"/>
        </w:rPr>
      </w:pPr>
      <w:r>
        <w:rPr>
          <w:rFonts w:hint="eastAsia" w:ascii="宋体" w:hAnsi="宋体" w:cs="仿宋_GB2312"/>
          <w:kern w:val="0"/>
          <w:szCs w:val="21"/>
        </w:rPr>
        <w:t>甲方（投资者）：</w:t>
      </w:r>
      <w:r>
        <w:rPr>
          <w:rFonts w:hint="eastAsia" w:ascii="宋体" w:hAnsi="宋体" w:cs="仿宋_GB2312"/>
          <w:kern w:val="0"/>
          <w:szCs w:val="21"/>
          <w:u w:val="single"/>
        </w:rPr>
        <w:t xml:space="preserve">                           </w:t>
      </w:r>
    </w:p>
    <w:p w14:paraId="6DADE6CF">
      <w:pPr>
        <w:rPr>
          <w:rFonts w:hint="eastAsia" w:ascii="宋体" w:hAnsi="宋体" w:cs="仿宋_GB2312"/>
          <w:kern w:val="0"/>
          <w:szCs w:val="21"/>
        </w:rPr>
      </w:pPr>
    </w:p>
    <w:p w14:paraId="50B0FEA0">
      <w:pPr>
        <w:rPr>
          <w:rFonts w:hint="eastAsia" w:ascii="宋体" w:hAnsi="宋体" w:cs="仿宋_GB2312"/>
          <w:kern w:val="0"/>
          <w:szCs w:val="21"/>
          <w:u w:val="single"/>
        </w:rPr>
      </w:pPr>
      <w:r>
        <w:rPr>
          <w:rFonts w:hint="eastAsia" w:ascii="宋体" w:hAnsi="宋体" w:cs="仿宋_GB2312"/>
          <w:kern w:val="0"/>
          <w:szCs w:val="21"/>
        </w:rPr>
        <w:t>乙方：</w:t>
      </w:r>
      <w:r>
        <w:rPr>
          <w:rFonts w:hint="eastAsia" w:ascii="宋体" w:hAnsi="宋体" w:cs="仿宋_GB2312"/>
          <w:kern w:val="0"/>
          <w:szCs w:val="21"/>
          <w:u w:val="single"/>
        </w:rPr>
        <w:t>川财证券有限责任公司</w:t>
      </w:r>
    </w:p>
    <w:p w14:paraId="7701F227">
      <w:pPr>
        <w:spacing w:line="264" w:lineRule="auto"/>
        <w:ind w:firstLine="420" w:firstLineChars="200"/>
        <w:rPr>
          <w:rFonts w:hint="eastAsia" w:ascii="宋体" w:hAnsi="宋体"/>
          <w:szCs w:val="21"/>
        </w:rPr>
      </w:pPr>
    </w:p>
    <w:p w14:paraId="3FCBF4AD">
      <w:pPr>
        <w:spacing w:line="370" w:lineRule="exact"/>
        <w:ind w:firstLine="420" w:firstLineChars="200"/>
        <w:rPr>
          <w:rFonts w:ascii="宋体" w:hAnsi="宋体"/>
          <w:szCs w:val="21"/>
        </w:rPr>
      </w:pPr>
      <w:r>
        <w:rPr>
          <w:rFonts w:ascii="宋体" w:hAnsi="宋体"/>
          <w:szCs w:val="21"/>
        </w:rPr>
        <w:t>甲乙双方根据上海证券交易所《</w:t>
      </w:r>
      <w:r>
        <w:rPr>
          <w:rFonts w:hint="eastAsia" w:ascii="宋体" w:hAnsi="宋体"/>
          <w:bCs/>
          <w:szCs w:val="21"/>
        </w:rPr>
        <w:t>上海证券交易所指定交易实施细则</w:t>
      </w:r>
      <w:r>
        <w:rPr>
          <w:rFonts w:ascii="宋体" w:hAnsi="宋体"/>
          <w:szCs w:val="21"/>
        </w:rPr>
        <w:t>》及</w:t>
      </w:r>
      <w:r>
        <w:rPr>
          <w:rFonts w:hint="eastAsia" w:ascii="宋体" w:hAnsi="宋体"/>
          <w:szCs w:val="21"/>
        </w:rPr>
        <w:t>有关</w:t>
      </w:r>
      <w:r>
        <w:rPr>
          <w:rFonts w:ascii="宋体" w:hAnsi="宋体"/>
          <w:szCs w:val="21"/>
        </w:rPr>
        <w:t>规定，经过自愿协商，就指定交易有关事项达成协议如下：</w:t>
      </w:r>
    </w:p>
    <w:p w14:paraId="534AACB6">
      <w:pPr>
        <w:numPr>
          <w:ilvl w:val="0"/>
          <w:numId w:val="1"/>
        </w:numPr>
        <w:spacing w:line="370" w:lineRule="exact"/>
        <w:ind w:firstLine="420" w:firstLineChars="200"/>
        <w:rPr>
          <w:rFonts w:ascii="宋体" w:hAnsi="宋体"/>
          <w:szCs w:val="21"/>
        </w:rPr>
      </w:pPr>
      <w:r>
        <w:rPr>
          <w:rFonts w:ascii="宋体" w:hAnsi="宋体"/>
          <w:szCs w:val="21"/>
        </w:rPr>
        <w:t>甲方选择乙方为</w:t>
      </w:r>
      <w:r>
        <w:rPr>
          <w:rFonts w:hint="eastAsia" w:ascii="宋体" w:hAnsi="宋体"/>
          <w:szCs w:val="21"/>
          <w:lang w:val="en-US" w:eastAsia="zh-CN"/>
        </w:rPr>
        <w:t>其证券</w:t>
      </w:r>
      <w:r>
        <w:rPr>
          <w:rFonts w:ascii="宋体" w:hAnsi="宋体"/>
          <w:szCs w:val="21"/>
        </w:rPr>
        <w:t>指定交易的代理商，</w:t>
      </w:r>
      <w:r>
        <w:rPr>
          <w:rFonts w:hint="eastAsia" w:ascii="宋体" w:hAnsi="宋体" w:eastAsia="宋体" w:cs="Times New Roman"/>
          <w:bCs/>
          <w:color w:val="auto"/>
          <w:sz w:val="21"/>
          <w:szCs w:val="21"/>
          <w:lang w:val="en-US" w:eastAsia="zh-CN" w:bidi="ar"/>
        </w:rPr>
        <w:t>并以</w:t>
      </w:r>
      <w:r>
        <w:rPr>
          <w:rFonts w:hint="eastAsia" w:ascii="宋体" w:hAnsi="宋体" w:cs="Times New Roman"/>
          <w:bCs/>
          <w:sz w:val="21"/>
          <w:szCs w:val="21"/>
          <w:lang w:val="en-US" w:eastAsia="zh-CN" w:bidi="ar"/>
        </w:rPr>
        <w:t>乙方证券营业部/分公司</w:t>
      </w:r>
      <w:r>
        <w:rPr>
          <w:rFonts w:hint="eastAsia" w:ascii="宋体" w:hAnsi="宋体" w:eastAsia="宋体" w:cs="Times New Roman"/>
          <w:bCs/>
          <w:color w:val="auto"/>
          <w:sz w:val="21"/>
          <w:szCs w:val="21"/>
          <w:lang w:val="en-US" w:eastAsia="zh-CN" w:bidi="ar"/>
        </w:rPr>
        <w:t>为指定交易点</w:t>
      </w:r>
      <w:r>
        <w:rPr>
          <w:rFonts w:ascii="宋体" w:hAnsi="宋体"/>
          <w:szCs w:val="21"/>
        </w:rPr>
        <w:t>。乙方经审核同意甲方委托。</w:t>
      </w:r>
    </w:p>
    <w:p w14:paraId="387D7391">
      <w:pPr>
        <w:numPr>
          <w:ilvl w:val="0"/>
          <w:numId w:val="1"/>
        </w:numPr>
        <w:spacing w:line="370" w:lineRule="exact"/>
        <w:ind w:firstLine="420" w:firstLineChars="200"/>
        <w:rPr>
          <w:rFonts w:ascii="宋体" w:hAnsi="宋体"/>
          <w:szCs w:val="21"/>
        </w:rPr>
      </w:pPr>
      <w:r>
        <w:rPr>
          <w:rFonts w:ascii="宋体" w:hAnsi="宋体"/>
          <w:szCs w:val="21"/>
        </w:rPr>
        <w:t>指定交易的证券品种范围，以在上海证券交易所上市交易的证券为限。</w:t>
      </w:r>
    </w:p>
    <w:p w14:paraId="564A3723">
      <w:pPr>
        <w:numPr>
          <w:ilvl w:val="0"/>
          <w:numId w:val="1"/>
        </w:numPr>
        <w:spacing w:line="370" w:lineRule="exact"/>
        <w:ind w:firstLine="420" w:firstLineChars="200"/>
        <w:rPr>
          <w:rFonts w:ascii="宋体" w:hAnsi="宋体"/>
          <w:szCs w:val="21"/>
        </w:rPr>
      </w:pPr>
      <w:r>
        <w:rPr>
          <w:rFonts w:ascii="宋体" w:hAnsi="宋体"/>
          <w:szCs w:val="21"/>
        </w:rPr>
        <w:t>本协议</w:t>
      </w:r>
      <w:r>
        <w:rPr>
          <w:rFonts w:hint="eastAsia" w:ascii="宋体" w:hAnsi="宋体"/>
          <w:szCs w:val="21"/>
          <w:lang w:val="en-US" w:eastAsia="zh-CN"/>
        </w:rPr>
        <w:t>书</w:t>
      </w:r>
      <w:r>
        <w:rPr>
          <w:rFonts w:ascii="宋体" w:hAnsi="宋体"/>
          <w:szCs w:val="21"/>
        </w:rPr>
        <w:t>签订当日，乙方应为甲方完成指定交易账户的申报指令，如因故延迟，乙方应告知甲方</w:t>
      </w:r>
      <w:r>
        <w:rPr>
          <w:rFonts w:hint="eastAsia" w:ascii="宋体" w:hAnsi="宋体"/>
          <w:szCs w:val="21"/>
        </w:rPr>
        <w:t>，</w:t>
      </w:r>
      <w:r>
        <w:rPr>
          <w:rFonts w:ascii="宋体" w:hAnsi="宋体"/>
          <w:szCs w:val="21"/>
        </w:rPr>
        <w:t>并最迟于本协议</w:t>
      </w:r>
      <w:r>
        <w:rPr>
          <w:rFonts w:hint="eastAsia" w:ascii="宋体" w:hAnsi="宋体"/>
          <w:szCs w:val="21"/>
          <w:lang w:val="en-US" w:eastAsia="zh-CN"/>
        </w:rPr>
        <w:t>书</w:t>
      </w:r>
      <w:r>
        <w:rPr>
          <w:rFonts w:ascii="宋体" w:hAnsi="宋体"/>
          <w:szCs w:val="21"/>
        </w:rPr>
        <w:t>签订之日起下</w:t>
      </w:r>
      <w:r>
        <w:rPr>
          <w:rFonts w:hint="eastAsia" w:ascii="宋体" w:hAnsi="宋体"/>
          <w:szCs w:val="21"/>
          <w:lang w:val="en-US" w:eastAsia="zh-CN"/>
        </w:rPr>
        <w:t>一</w:t>
      </w:r>
      <w:r>
        <w:rPr>
          <w:rFonts w:ascii="宋体" w:hAnsi="宋体"/>
          <w:szCs w:val="21"/>
        </w:rPr>
        <w:t>个交易日完成该指定交易账户的申报指令。</w:t>
      </w:r>
    </w:p>
    <w:p w14:paraId="3089B262">
      <w:pPr>
        <w:numPr>
          <w:ilvl w:val="0"/>
          <w:numId w:val="1"/>
        </w:numPr>
        <w:spacing w:line="370" w:lineRule="exact"/>
        <w:ind w:firstLine="420" w:firstLineChars="200"/>
        <w:rPr>
          <w:rFonts w:ascii="宋体" w:hAnsi="宋体"/>
          <w:szCs w:val="21"/>
        </w:rPr>
      </w:pPr>
      <w:r>
        <w:rPr>
          <w:rFonts w:ascii="宋体" w:hAnsi="宋体"/>
          <w:szCs w:val="21"/>
        </w:rPr>
        <w:t>甲方在乙方</w:t>
      </w:r>
      <w:r>
        <w:rPr>
          <w:rFonts w:hint="eastAsia" w:ascii="宋体" w:hAnsi="宋体"/>
          <w:szCs w:val="21"/>
          <w:lang w:val="en-US" w:eastAsia="zh-CN"/>
        </w:rPr>
        <w:t>处</w:t>
      </w:r>
      <w:r>
        <w:rPr>
          <w:rFonts w:ascii="宋体" w:hAnsi="宋体"/>
          <w:szCs w:val="21"/>
        </w:rPr>
        <w:t>办理指定交易生效后，其证券账户内的证券即同时在乙方</w:t>
      </w:r>
      <w:r>
        <w:rPr>
          <w:rFonts w:hint="eastAsia" w:ascii="宋体" w:hAnsi="宋体"/>
          <w:szCs w:val="21"/>
          <w:lang w:val="en-US" w:eastAsia="zh-CN"/>
        </w:rPr>
        <w:t>处</w:t>
      </w:r>
      <w:r>
        <w:rPr>
          <w:rFonts w:ascii="宋体" w:hAnsi="宋体"/>
          <w:szCs w:val="21"/>
        </w:rPr>
        <w:t>托管，乙方根据上海证券交易所及</w:t>
      </w:r>
      <w:r>
        <w:rPr>
          <w:rFonts w:ascii="宋体" w:hAnsi="宋体" w:eastAsia="宋体" w:cs="Times New Roman"/>
          <w:color w:val="auto"/>
          <w:sz w:val="21"/>
          <w:szCs w:val="21"/>
          <w:lang w:val="en-US" w:eastAsia="zh-CN" w:bidi="ar"/>
        </w:rPr>
        <w:t>中国证券登记结算公司上海分公司传送的指定交易证券账户的证券余额，为甲方建立明细账，用于进行相关证券的结算过户</w:t>
      </w:r>
      <w:r>
        <w:rPr>
          <w:rFonts w:ascii="宋体" w:hAnsi="宋体"/>
          <w:szCs w:val="21"/>
        </w:rPr>
        <w:t>。</w:t>
      </w:r>
    </w:p>
    <w:p w14:paraId="318D5128">
      <w:pPr>
        <w:numPr>
          <w:ilvl w:val="0"/>
          <w:numId w:val="1"/>
        </w:numPr>
        <w:spacing w:line="370" w:lineRule="exact"/>
        <w:ind w:firstLine="420" w:firstLineChars="200"/>
        <w:rPr>
          <w:rFonts w:ascii="宋体" w:hAnsi="宋体"/>
          <w:szCs w:val="21"/>
        </w:rPr>
      </w:pPr>
      <w:r>
        <w:rPr>
          <w:rFonts w:ascii="宋体" w:hAnsi="宋体"/>
          <w:szCs w:val="21"/>
        </w:rPr>
        <w:t>甲方在指定交易期间的证券买卖均需通</w:t>
      </w:r>
      <w:bookmarkStart w:id="0" w:name="_GoBack"/>
      <w:bookmarkEnd w:id="0"/>
      <w:r>
        <w:rPr>
          <w:rFonts w:ascii="宋体" w:hAnsi="宋体"/>
          <w:szCs w:val="21"/>
        </w:rPr>
        <w:t>过乙方代理，</w:t>
      </w:r>
      <w:r>
        <w:rPr>
          <w:rFonts w:hint="eastAsia" w:ascii="宋体" w:hAnsi="宋体"/>
          <w:szCs w:val="21"/>
          <w:lang w:val="en-US" w:eastAsia="zh-CN"/>
        </w:rPr>
        <w:t>并</w:t>
      </w:r>
      <w:r>
        <w:rPr>
          <w:rFonts w:ascii="宋体" w:hAnsi="宋体"/>
          <w:szCs w:val="21"/>
        </w:rPr>
        <w:t>有权享有乙方提供的交易查询，代领证券红利，证券余额对账等服务，乙方提供其他服务项目，应与甲方</w:t>
      </w:r>
      <w:r>
        <w:rPr>
          <w:rFonts w:hint="eastAsia" w:ascii="宋体" w:hAnsi="宋体"/>
          <w:szCs w:val="21"/>
          <w:lang w:val="en-US" w:eastAsia="zh-CN"/>
        </w:rPr>
        <w:t>另订协议</w:t>
      </w:r>
      <w:r>
        <w:rPr>
          <w:rFonts w:ascii="宋体" w:hAnsi="宋体"/>
          <w:szCs w:val="21"/>
        </w:rPr>
        <w:t>。</w:t>
      </w:r>
    </w:p>
    <w:p w14:paraId="48D7A507">
      <w:pPr>
        <w:numPr>
          <w:ilvl w:val="0"/>
          <w:numId w:val="1"/>
        </w:numPr>
        <w:spacing w:line="370" w:lineRule="exact"/>
        <w:ind w:firstLine="420" w:firstLineChars="200"/>
        <w:rPr>
          <w:rFonts w:ascii="宋体" w:hAnsi="宋体"/>
          <w:szCs w:val="21"/>
        </w:rPr>
      </w:pPr>
      <w:r>
        <w:rPr>
          <w:rFonts w:ascii="宋体" w:hAnsi="宋体"/>
          <w:szCs w:val="21"/>
        </w:rPr>
        <w:t>甲方证券账户内的证券余额一经托管在乙方处，须遵守乙方有关严禁证券账户“卖空”的规定。</w:t>
      </w:r>
    </w:p>
    <w:p w14:paraId="20C97B08">
      <w:pPr>
        <w:numPr>
          <w:ilvl w:val="0"/>
          <w:numId w:val="1"/>
        </w:numPr>
        <w:spacing w:line="370" w:lineRule="exact"/>
        <w:ind w:firstLine="420" w:firstLineChars="200"/>
        <w:rPr>
          <w:rFonts w:ascii="宋体" w:hAnsi="宋体"/>
          <w:szCs w:val="21"/>
        </w:rPr>
      </w:pPr>
      <w:r>
        <w:rPr>
          <w:rFonts w:ascii="宋体" w:hAnsi="宋体"/>
          <w:szCs w:val="21"/>
        </w:rPr>
        <w:t>甲方证券账户一旦遗失，应先</w:t>
      </w:r>
      <w:r>
        <w:rPr>
          <w:rFonts w:hint="eastAsia" w:ascii="宋体" w:hAnsi="宋体"/>
          <w:szCs w:val="21"/>
          <w:lang w:val="en-US" w:eastAsia="zh-CN"/>
        </w:rPr>
        <w:t>行</w:t>
      </w:r>
      <w:r>
        <w:rPr>
          <w:rFonts w:ascii="宋体" w:hAnsi="宋体"/>
          <w:szCs w:val="21"/>
        </w:rPr>
        <w:t>向乙方挂失，由乙方及时采取措施防止该账户</w:t>
      </w:r>
      <w:r>
        <w:rPr>
          <w:rFonts w:hint="eastAsia" w:ascii="宋体" w:hAnsi="宋体"/>
          <w:szCs w:val="21"/>
          <w:lang w:val="en-US" w:eastAsia="zh-CN"/>
        </w:rPr>
        <w:t>再</w:t>
      </w:r>
      <w:r>
        <w:rPr>
          <w:rFonts w:ascii="宋体" w:hAnsi="宋体"/>
          <w:szCs w:val="21"/>
        </w:rPr>
        <w:t>被他人使用。甲方持乙方挂失证明到</w:t>
      </w:r>
      <w:r>
        <w:rPr>
          <w:rFonts w:hint="eastAsia" w:ascii="宋体" w:hAnsi="宋体"/>
          <w:szCs w:val="21"/>
        </w:rPr>
        <w:t>中国证券登记</w:t>
      </w:r>
      <w:r>
        <w:rPr>
          <w:rFonts w:ascii="宋体" w:hAnsi="宋体"/>
          <w:szCs w:val="21"/>
        </w:rPr>
        <w:t>结算公司</w:t>
      </w:r>
      <w:r>
        <w:rPr>
          <w:rFonts w:ascii="宋体" w:hAnsi="宋体" w:eastAsia="宋体" w:cs="Times New Roman"/>
          <w:color w:val="auto"/>
          <w:sz w:val="21"/>
          <w:szCs w:val="21"/>
          <w:lang w:val="en-US" w:eastAsia="zh-CN" w:bidi="ar"/>
        </w:rPr>
        <w:t>上海分公司</w:t>
      </w:r>
      <w:r>
        <w:rPr>
          <w:rFonts w:ascii="宋体" w:hAnsi="宋体"/>
          <w:szCs w:val="21"/>
        </w:rPr>
        <w:t>及其代理机构申请补办证券账户。账户一经补办，甲方应持补办账户在乙方处办理证券余额</w:t>
      </w:r>
      <w:r>
        <w:rPr>
          <w:rFonts w:hint="eastAsia" w:ascii="宋体" w:hAnsi="宋体"/>
          <w:szCs w:val="21"/>
          <w:lang w:val="en-US" w:eastAsia="zh-CN"/>
        </w:rPr>
        <w:t>的转让</w:t>
      </w:r>
      <w:r>
        <w:rPr>
          <w:rFonts w:ascii="宋体" w:hAnsi="宋体"/>
          <w:szCs w:val="21"/>
        </w:rPr>
        <w:t>手续。</w:t>
      </w:r>
    </w:p>
    <w:p w14:paraId="6E3F1E65">
      <w:pPr>
        <w:numPr>
          <w:ilvl w:val="0"/>
          <w:numId w:val="1"/>
        </w:numPr>
        <w:spacing w:line="370" w:lineRule="exact"/>
        <w:ind w:firstLine="420" w:firstLineChars="200"/>
        <w:rPr>
          <w:rFonts w:ascii="宋体" w:hAnsi="宋体"/>
          <w:szCs w:val="21"/>
        </w:rPr>
      </w:pPr>
      <w:r>
        <w:rPr>
          <w:rFonts w:ascii="宋体" w:hAnsi="宋体"/>
          <w:szCs w:val="21"/>
        </w:rPr>
        <w:t>甲方</w:t>
      </w:r>
      <w:r>
        <w:rPr>
          <w:rFonts w:hint="eastAsia" w:ascii="宋体" w:hAnsi="宋体"/>
          <w:szCs w:val="21"/>
          <w:lang w:val="en-US" w:eastAsia="zh-CN"/>
        </w:rPr>
        <w:t>根据需要可</w:t>
      </w:r>
      <w:r>
        <w:rPr>
          <w:rFonts w:ascii="宋体" w:hAnsi="宋体"/>
          <w:szCs w:val="21"/>
        </w:rPr>
        <w:t>申请撤销在乙方</w:t>
      </w:r>
      <w:r>
        <w:rPr>
          <w:rFonts w:hint="eastAsia" w:ascii="宋体" w:hAnsi="宋体"/>
          <w:szCs w:val="21"/>
          <w:lang w:val="en-US" w:eastAsia="zh-CN"/>
        </w:rPr>
        <w:t>处</w:t>
      </w:r>
      <w:r>
        <w:rPr>
          <w:rFonts w:ascii="宋体" w:hAnsi="宋体"/>
          <w:szCs w:val="21"/>
        </w:rPr>
        <w:t>的指定交易</w:t>
      </w:r>
      <w:r>
        <w:rPr>
          <w:rFonts w:hint="eastAsia" w:ascii="宋体" w:hAnsi="宋体"/>
          <w:szCs w:val="21"/>
          <w:lang w:eastAsia="zh-CN"/>
        </w:rPr>
        <w:t>（</w:t>
      </w:r>
      <w:r>
        <w:rPr>
          <w:rFonts w:hint="eastAsia" w:ascii="宋体" w:hAnsi="宋体"/>
          <w:szCs w:val="21"/>
          <w:lang w:val="en-US" w:eastAsia="zh-CN"/>
        </w:rPr>
        <w:t>因甲方未履行交易交收义务等情况除外</w:t>
      </w:r>
      <w:r>
        <w:rPr>
          <w:rFonts w:hint="eastAsia" w:ascii="宋体" w:hAnsi="宋体"/>
          <w:szCs w:val="21"/>
          <w:lang w:eastAsia="zh-CN"/>
        </w:rPr>
        <w:t>）</w:t>
      </w:r>
      <w:r>
        <w:rPr>
          <w:rFonts w:ascii="宋体" w:hAnsi="宋体"/>
          <w:szCs w:val="21"/>
        </w:rPr>
        <w:t>，乙方应</w:t>
      </w:r>
      <w:r>
        <w:rPr>
          <w:rFonts w:hint="eastAsia" w:ascii="宋体" w:hAnsi="宋体"/>
          <w:szCs w:val="21"/>
          <w:lang w:val="en-US" w:eastAsia="zh-CN"/>
        </w:rPr>
        <w:t>在</w:t>
      </w:r>
      <w:r>
        <w:rPr>
          <w:rFonts w:ascii="宋体" w:hAnsi="宋体"/>
          <w:szCs w:val="21"/>
        </w:rPr>
        <w:t>甲方申请的当日为其办理撤销指定交易申报。</w:t>
      </w:r>
    </w:p>
    <w:p w14:paraId="4330DC1A">
      <w:pPr>
        <w:numPr>
          <w:ilvl w:val="0"/>
          <w:numId w:val="1"/>
        </w:numPr>
        <w:spacing w:line="370" w:lineRule="exact"/>
        <w:ind w:firstLine="420" w:firstLineChars="200"/>
        <w:rPr>
          <w:rFonts w:hint="eastAsia" w:ascii="宋体" w:hAnsi="宋体"/>
          <w:szCs w:val="21"/>
        </w:rPr>
      </w:pPr>
      <w:r>
        <w:rPr>
          <w:rFonts w:ascii="宋体" w:hAnsi="宋体"/>
          <w:szCs w:val="21"/>
        </w:rPr>
        <w:t>甲乙双方在指定交易期间，应遵守国家有关法律法规以及上海证券交易所及</w:t>
      </w:r>
      <w:r>
        <w:rPr>
          <w:rFonts w:ascii="宋体" w:hAnsi="宋体" w:eastAsia="宋体" w:cs="Times New Roman"/>
          <w:color w:val="auto"/>
          <w:sz w:val="21"/>
          <w:szCs w:val="21"/>
          <w:lang w:val="en-US" w:eastAsia="zh-CN" w:bidi="ar"/>
        </w:rPr>
        <w:t>中国证券登记结算公司上海分公司的各项业务规则</w:t>
      </w:r>
      <w:r>
        <w:rPr>
          <w:rFonts w:ascii="宋体" w:hAnsi="宋体"/>
          <w:szCs w:val="21"/>
        </w:rPr>
        <w:t>。</w:t>
      </w:r>
    </w:p>
    <w:p w14:paraId="7EAB1AA7">
      <w:pPr>
        <w:numPr>
          <w:ilvl w:val="0"/>
          <w:numId w:val="1"/>
        </w:numPr>
        <w:spacing w:line="370" w:lineRule="exact"/>
        <w:ind w:firstLine="420" w:firstLineChars="200"/>
        <w:rPr>
          <w:rFonts w:hint="eastAsia" w:ascii="宋体" w:hAnsi="宋体"/>
          <w:szCs w:val="21"/>
        </w:rPr>
      </w:pPr>
      <w:r>
        <w:rPr>
          <w:rFonts w:hint="eastAsia" w:ascii="宋体" w:hAnsi="宋体"/>
          <w:szCs w:val="21"/>
        </w:rPr>
        <w:t>甲方若在乙方处办理指定交易</w:t>
      </w:r>
      <w:r>
        <w:rPr>
          <w:rFonts w:hint="eastAsia" w:ascii="宋体" w:hAnsi="宋体"/>
          <w:szCs w:val="21"/>
          <w:lang w:val="en-US" w:eastAsia="zh-CN"/>
        </w:rPr>
        <w:t>之</w:t>
      </w:r>
      <w:r>
        <w:rPr>
          <w:rFonts w:hint="eastAsia" w:ascii="宋体" w:hAnsi="宋体"/>
          <w:szCs w:val="21"/>
        </w:rPr>
        <w:t>前已经在其他券商处办理了指定交易，甲方应及时在原指定处撤销指定。</w:t>
      </w:r>
      <w:r>
        <w:rPr>
          <w:rFonts w:hint="eastAsia" w:ascii="宋体" w:hAnsi="宋体"/>
          <w:b/>
          <w:szCs w:val="21"/>
        </w:rPr>
        <w:t>乙方对甲方因其在原指定处有关手续办理不及时或不妥，影响甲方在乙方处</w:t>
      </w:r>
      <w:r>
        <w:rPr>
          <w:rFonts w:hint="eastAsia" w:ascii="宋体" w:hAnsi="宋体"/>
          <w:b/>
          <w:szCs w:val="21"/>
          <w:lang w:val="en-US" w:eastAsia="zh-CN"/>
        </w:rPr>
        <w:t>的</w:t>
      </w:r>
      <w:r>
        <w:rPr>
          <w:rFonts w:hint="eastAsia" w:ascii="宋体" w:hAnsi="宋体"/>
          <w:b/>
          <w:szCs w:val="21"/>
        </w:rPr>
        <w:t>正常交易而遭致的损失不承担任何责任。</w:t>
      </w:r>
    </w:p>
    <w:p w14:paraId="27BB10F5">
      <w:pPr>
        <w:numPr>
          <w:ilvl w:val="0"/>
          <w:numId w:val="1"/>
        </w:numPr>
        <w:spacing w:line="370" w:lineRule="exact"/>
        <w:ind w:firstLine="420" w:firstLineChars="200"/>
        <w:rPr>
          <w:rFonts w:hint="eastAsia" w:ascii="宋体" w:hAnsi="宋体"/>
          <w:szCs w:val="21"/>
        </w:rPr>
      </w:pPr>
      <w:r>
        <w:rPr>
          <w:rFonts w:hint="eastAsia" w:ascii="宋体" w:hAnsi="宋体"/>
          <w:szCs w:val="21"/>
        </w:rPr>
        <w:t>本协议自甲乙双方签订之日起生效，直至乙方撤销指定交易为止。</w:t>
      </w:r>
    </w:p>
    <w:p w14:paraId="44F0DA48">
      <w:pPr>
        <w:numPr>
          <w:ilvl w:val="0"/>
          <w:numId w:val="1"/>
        </w:numPr>
        <w:tabs>
          <w:tab w:val="left" w:pos="3450"/>
        </w:tabs>
        <w:spacing w:line="370" w:lineRule="exact"/>
        <w:ind w:firstLine="420" w:firstLineChars="200"/>
        <w:rPr>
          <w:rFonts w:hint="eastAsia" w:ascii="宋体" w:hAnsi="宋体" w:cs="宋体"/>
          <w:kern w:val="0"/>
          <w:szCs w:val="21"/>
        </w:rPr>
      </w:pPr>
      <w:r>
        <w:rPr>
          <w:rFonts w:hint="eastAsia" w:ascii="宋体" w:hAnsi="宋体" w:cs="仿宋_GB2312"/>
          <w:kern w:val="0"/>
          <w:szCs w:val="21"/>
        </w:rPr>
        <w:t>采用纸质方式签署本协议的，本协议一式两份，双方各执一份，具有同等的法律效力</w:t>
      </w:r>
      <w:r>
        <w:rPr>
          <w:rFonts w:hint="eastAsia" w:ascii="宋体" w:hAnsi="宋体" w:cs="仿宋_GB2312"/>
          <w:kern w:val="0"/>
          <w:szCs w:val="21"/>
          <w:lang w:eastAsia="zh-CN"/>
        </w:rPr>
        <w:t>。</w:t>
      </w:r>
    </w:p>
    <w:p w14:paraId="00A11E4D">
      <w:pPr>
        <w:numPr>
          <w:ilvl w:val="0"/>
          <w:numId w:val="1"/>
        </w:numPr>
        <w:tabs>
          <w:tab w:val="left" w:pos="3450"/>
        </w:tabs>
        <w:spacing w:line="370" w:lineRule="exact"/>
        <w:ind w:firstLine="420" w:firstLineChars="200"/>
        <w:rPr>
          <w:rFonts w:hint="eastAsia" w:ascii="宋体" w:hAnsi="宋体" w:cs="宋体"/>
          <w:kern w:val="0"/>
          <w:szCs w:val="21"/>
        </w:rPr>
      </w:pPr>
      <w:r>
        <w:rPr>
          <w:rFonts w:hint="eastAsia" w:ascii="宋体" w:hAnsi="宋体"/>
          <w:szCs w:val="21"/>
        </w:rPr>
        <w:t>本协议未作约定的，适用双方签订的</w:t>
      </w:r>
      <w:r>
        <w:rPr>
          <w:rFonts w:ascii="宋体" w:hAnsi="宋体"/>
          <w:szCs w:val="21"/>
        </w:rPr>
        <w:t>《</w:t>
      </w:r>
      <w:r>
        <w:rPr>
          <w:rFonts w:hint="eastAsia" w:ascii="宋体" w:hAnsi="宋体"/>
          <w:szCs w:val="21"/>
        </w:rPr>
        <w:t>证券交易委托代理协议书</w:t>
      </w:r>
      <w:r>
        <w:rPr>
          <w:rFonts w:ascii="宋体" w:hAnsi="宋体"/>
          <w:szCs w:val="21"/>
        </w:rPr>
        <w:t>》</w:t>
      </w:r>
      <w:r>
        <w:rPr>
          <w:rFonts w:hint="eastAsia" w:ascii="宋体" w:hAnsi="宋体"/>
          <w:szCs w:val="21"/>
        </w:rPr>
        <w:t>的约定。</w:t>
      </w:r>
    </w:p>
    <w:p w14:paraId="68CC10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A5C04"/>
    <w:multiLevelType w:val="multilevel"/>
    <w:tmpl w:val="267A5C04"/>
    <w:lvl w:ilvl="0" w:tentative="0">
      <w:start w:val="1"/>
      <w:numFmt w:val="chineseCountingThousand"/>
      <w:suff w:val="space"/>
      <w:lvlText w:val="第%1条"/>
      <w:lvlJc w:val="left"/>
      <w:pPr>
        <w:ind w:left="0" w:firstLine="0"/>
      </w:pPr>
      <w:rPr>
        <w:rFonts w:hint="eastAsia"/>
        <w:b/>
        <w:i w:val="0"/>
      </w:rPr>
    </w:lvl>
    <w:lvl w:ilvl="1" w:tentative="0">
      <w:start w:val="1"/>
      <w:numFmt w:val="chineseCountingThousand"/>
      <w:lvlRestart w:val="0"/>
      <w:suff w:val="space"/>
      <w:lvlText w:val="第%2条"/>
      <w:lvlJc w:val="left"/>
      <w:pPr>
        <w:ind w:left="0" w:firstLine="0"/>
      </w:pPr>
      <w:rPr>
        <w:rFonts w:hint="eastAsia"/>
        <w:b/>
        <w:i w:val="0"/>
      </w:rPr>
    </w:lvl>
    <w:lvl w:ilvl="2" w:tentative="0">
      <w:start w:val="1"/>
      <w:numFmt w:val="chineseCountingThousand"/>
      <w:suff w:val="nothing"/>
      <w:lvlText w:val="%3、"/>
      <w:lvlJc w:val="lef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41902"/>
    <w:rsid w:val="1A7D7CFF"/>
    <w:rsid w:val="55AB3290"/>
    <w:rsid w:val="6744501E"/>
    <w:rsid w:val="6E296D1B"/>
    <w:rsid w:val="70340726"/>
    <w:rsid w:val="70DE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1006</Words>
  <Characters>1006</Characters>
  <Lines>0</Lines>
  <Paragraphs>0</Paragraphs>
  <TotalTime>7</TotalTime>
  <ScaleCrop>false</ScaleCrop>
  <LinksUpToDate>false</LinksUpToDate>
  <CharactersWithSpaces>1033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北辰</cp:lastModifiedBy>
  <dcterms:modified xsi:type="dcterms:W3CDTF">2025-06-23T03:17:40Z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eyJoZGlkIjoiOTM2ODU5NTllYjcwZGUxOGZjNGRkOGM0NTEyN2Q3MTQiLCJ1c2VySWQiOiI1MTAzNDI2NzcifQ==</vt:lpwstr>
  </property>
  <property fmtid="{D5CDD505-2E9C-101B-9397-08002B2CF9AE}" pid="4" name="ICV">
    <vt:lpwstr>B5187FA353DB4ECEA6DA47B101F79B9B_13</vt:lpwstr>
  </property>
</Properties>
</file>