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根据要求，需向客户提示交易证券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瑞德（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600666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”相关风险，督促客户理性投资，审慎交易。现对具体工作要求如下：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瑞德（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600666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瑞德（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600666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瑞德（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600666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</w:rPr>
        <w:t>证券交易</w:t>
      </w:r>
      <w:r>
        <w:rPr>
          <w:rFonts w:hint="eastAsia" w:ascii="仿宋" w:hAnsi="仿宋" w:eastAsia="仿宋"/>
          <w:b/>
          <w:sz w:val="32"/>
          <w:szCs w:val="32"/>
        </w:rPr>
        <w:t>的风险提示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瑞德（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600666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近期累计涨幅较大。公司发布风险提示公告称，公司存在盈利能力较弱、公司及子公司涉及诉讼、无实际控制人、公司股票可能被终止上市、二级市场交易风险。敬请投资者理性投资，注意投资风险。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瑞德（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600666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近期累计涨幅较大。公司发布风险提示公告称，公司存在盈利能力较弱、公司及子公司涉及诉讼、无实际控制人、公司股票可能被终止上市、二级市场交易风险。敬请投资者理性投资，注意投资风险。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5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5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p>
      <w:pPr>
        <w:ind w:firstLine="645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5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7D8243BD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33E4E5C"/>
    <w:rsid w:val="04CB111E"/>
    <w:rsid w:val="0F635F9C"/>
    <w:rsid w:val="10A205F8"/>
    <w:rsid w:val="117020C6"/>
    <w:rsid w:val="12DB4B67"/>
    <w:rsid w:val="27444822"/>
    <w:rsid w:val="2A2D5308"/>
    <w:rsid w:val="415D3012"/>
    <w:rsid w:val="41D22B14"/>
    <w:rsid w:val="4EAF64EF"/>
    <w:rsid w:val="53031E2E"/>
    <w:rsid w:val="585D7151"/>
    <w:rsid w:val="661077B8"/>
    <w:rsid w:val="6AF016E3"/>
    <w:rsid w:val="6DD86E3D"/>
    <w:rsid w:val="6EF546BB"/>
    <w:rsid w:val="6F8B0FD2"/>
    <w:rsid w:val="76DA4D3E"/>
    <w:rsid w:val="79064601"/>
    <w:rsid w:val="7D8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920</Characters>
  <Lines>6</Lines>
  <Paragraphs>1</Paragraphs>
  <TotalTime>1</TotalTime>
  <ScaleCrop>false</ScaleCrop>
  <LinksUpToDate>false</LinksUpToDate>
  <CharactersWithSpaces>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2023-03-06T02:03:11Z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6CFD233813FB45C7B0B45B077266C21B</vt:lpwstr>
  </property>
</Properties>
</file>