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关于收到上交所交易监管提示函的相关通知</w:t>
      </w:r>
    </w:p>
    <w:p>
      <w:pPr>
        <w:widowControl/>
        <w:spacing w:line="360" w:lineRule="auto"/>
        <w:jc w:val="left"/>
        <w:outlineLvl w:val="0"/>
        <w:rPr>
          <w:rFonts w:hint="eastAsia" w:ascii="仿宋" w:hAnsi="仿宋" w:eastAsia="仿宋"/>
          <w:sz w:val="32"/>
          <w:szCs w:val="32"/>
        </w:rPr>
      </w:pPr>
    </w:p>
    <w:p>
      <w:pPr>
        <w:widowControl/>
        <w:spacing w:line="360" w:lineRule="auto"/>
        <w:jc w:val="left"/>
        <w:outlineLvl w:val="0"/>
        <w:rPr>
          <w:rFonts w:ascii="仿宋" w:hAnsi="仿宋" w:eastAsia="仿宋"/>
          <w:sz w:val="32"/>
          <w:szCs w:val="32"/>
        </w:rPr>
      </w:pPr>
      <w:r>
        <w:rPr>
          <w:rFonts w:hint="eastAsia" w:ascii="仿宋" w:hAnsi="仿宋" w:eastAsia="仿宋"/>
          <w:sz w:val="32"/>
          <w:szCs w:val="32"/>
        </w:rPr>
        <w:t>各分支机构：</w:t>
      </w:r>
    </w:p>
    <w:p>
      <w:pPr>
        <w:keepNext w:val="0"/>
        <w:keepLines w:val="0"/>
        <w:widowControl/>
        <w:suppressLineNumbers w:val="0"/>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val="en-US" w:eastAsia="zh-CN"/>
        </w:rPr>
        <w:t>我司收到上海证券交易所的《交易监管提示函》，根据要求，需向客户提示交易证券</w:t>
      </w:r>
      <w:r>
        <w:rPr>
          <w:rFonts w:hint="default" w:ascii="仿宋" w:hAnsi="仿宋" w:eastAsia="仿宋"/>
          <w:sz w:val="32"/>
          <w:szCs w:val="32"/>
          <w:lang w:val="en-US" w:eastAsia="zh-CN"/>
        </w:rPr>
        <w:t>“</w:t>
      </w:r>
      <w:r>
        <w:rPr>
          <w:rFonts w:hint="eastAsia" w:ascii="仿宋" w:hAnsi="仿宋" w:eastAsia="仿宋"/>
          <w:sz w:val="32"/>
          <w:szCs w:val="32"/>
          <w:lang w:val="en-US" w:eastAsia="zh-CN"/>
        </w:rPr>
        <w:t>*ST未来（600532）</w:t>
      </w:r>
      <w:r>
        <w:rPr>
          <w:rFonts w:hint="default" w:ascii="仿宋" w:hAnsi="仿宋" w:eastAsia="仿宋"/>
          <w:sz w:val="32"/>
          <w:szCs w:val="32"/>
          <w:lang w:val="en-US" w:eastAsia="zh-CN"/>
        </w:rPr>
        <w:t>”</w:t>
      </w:r>
      <w:r>
        <w:rPr>
          <w:rFonts w:hint="eastAsia" w:ascii="仿宋" w:hAnsi="仿宋" w:eastAsia="仿宋"/>
          <w:sz w:val="32"/>
          <w:szCs w:val="32"/>
          <w:lang w:val="en-US" w:eastAsia="zh-CN"/>
        </w:rPr>
        <w:t>相关风险，督促客户理性投资，审慎交易。现对具体工作要求如下：</w:t>
      </w:r>
      <w:bookmarkStart w:id="0" w:name="_GoBack"/>
      <w:bookmarkEnd w:id="0"/>
    </w:p>
    <w:p>
      <w:pPr>
        <w:ind w:firstLine="640" w:firstLineChars="200"/>
        <w:rPr>
          <w:rFonts w:ascii="仿宋" w:hAnsi="仿宋" w:eastAsia="仿宋"/>
          <w:sz w:val="32"/>
          <w:szCs w:val="32"/>
        </w:rPr>
      </w:pPr>
      <w:r>
        <w:rPr>
          <w:rFonts w:hint="eastAsia" w:ascii="仿宋" w:hAnsi="仿宋" w:eastAsia="仿宋"/>
          <w:sz w:val="32"/>
          <w:szCs w:val="32"/>
        </w:rPr>
        <w:t>一、通过集中交易柜台系统查询分支机构近期（</w:t>
      </w:r>
      <w:r>
        <w:rPr>
          <w:rFonts w:hint="eastAsia" w:ascii="仿宋" w:hAnsi="仿宋" w:eastAsia="仿宋"/>
          <w:sz w:val="32"/>
          <w:szCs w:val="32"/>
          <w:lang w:val="en-US" w:eastAsia="zh-CN"/>
        </w:rPr>
        <w:t>2022年9</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日至</w:t>
      </w:r>
      <w:r>
        <w:rPr>
          <w:rFonts w:hint="eastAsia" w:ascii="仿宋" w:hAnsi="仿宋" w:eastAsia="仿宋"/>
          <w:sz w:val="32"/>
          <w:szCs w:val="32"/>
          <w:lang w:val="en-US" w:eastAsia="zh-CN"/>
        </w:rPr>
        <w:t>2022年11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日）交易以及持有证券</w:t>
      </w:r>
      <w:r>
        <w:rPr>
          <w:rFonts w:hint="default" w:ascii="仿宋" w:hAnsi="仿宋" w:eastAsia="仿宋"/>
          <w:sz w:val="32"/>
          <w:szCs w:val="32"/>
          <w:lang w:val="en-US" w:eastAsia="zh-CN"/>
        </w:rPr>
        <w:t>“</w:t>
      </w:r>
      <w:r>
        <w:rPr>
          <w:rFonts w:hint="eastAsia" w:ascii="仿宋" w:hAnsi="仿宋" w:eastAsia="仿宋"/>
          <w:sz w:val="32"/>
          <w:szCs w:val="32"/>
          <w:lang w:val="en-US" w:eastAsia="zh-CN"/>
        </w:rPr>
        <w:t>*ST未来（600532）</w:t>
      </w:r>
      <w:r>
        <w:rPr>
          <w:rFonts w:hint="default" w:ascii="仿宋" w:hAnsi="仿宋" w:eastAsia="仿宋"/>
          <w:sz w:val="32"/>
          <w:szCs w:val="32"/>
          <w:lang w:val="en-US" w:eastAsia="zh-CN"/>
        </w:rPr>
        <w:t>”</w:t>
      </w:r>
      <w:r>
        <w:rPr>
          <w:rFonts w:hint="eastAsia" w:ascii="仿宋" w:hAnsi="仿宋" w:eastAsia="仿宋"/>
          <w:sz w:val="32"/>
          <w:szCs w:val="32"/>
        </w:rPr>
        <w:t>的投资者，通过分支机构现场、发送短信、微信等方式</w:t>
      </w:r>
      <w:r>
        <w:rPr>
          <w:rFonts w:hint="eastAsia" w:ascii="仿宋" w:hAnsi="仿宋" w:eastAsia="仿宋"/>
          <w:bCs/>
          <w:sz w:val="32"/>
          <w:szCs w:val="32"/>
        </w:rPr>
        <w:t>及时</w:t>
      </w:r>
      <w:r>
        <w:rPr>
          <w:rFonts w:hint="eastAsia" w:ascii="仿宋" w:hAnsi="仿宋" w:eastAsia="仿宋"/>
          <w:sz w:val="32"/>
          <w:szCs w:val="32"/>
        </w:rPr>
        <w:t>做好客户交易风险提示工作（具体内容请见附件1）；</w:t>
      </w:r>
    </w:p>
    <w:p>
      <w:pPr>
        <w:ind w:firstLine="640" w:firstLineChars="200"/>
        <w:rPr>
          <w:rFonts w:ascii="仿宋" w:hAnsi="仿宋" w:eastAsia="仿宋"/>
          <w:sz w:val="32"/>
          <w:szCs w:val="32"/>
        </w:rPr>
      </w:pPr>
      <w:r>
        <w:rPr>
          <w:rFonts w:hint="eastAsia" w:ascii="仿宋" w:hAnsi="仿宋" w:eastAsia="仿宋"/>
          <w:sz w:val="32"/>
          <w:szCs w:val="32"/>
        </w:rPr>
        <w:t>二、密切关注客户交易</w:t>
      </w:r>
      <w:r>
        <w:rPr>
          <w:rFonts w:hint="default" w:ascii="仿宋" w:hAnsi="仿宋" w:eastAsia="仿宋"/>
          <w:sz w:val="32"/>
          <w:szCs w:val="32"/>
          <w:lang w:val="en-US" w:eastAsia="zh-CN"/>
        </w:rPr>
        <w:t>“</w:t>
      </w:r>
      <w:r>
        <w:rPr>
          <w:rFonts w:hint="eastAsia" w:ascii="仿宋" w:hAnsi="仿宋" w:eastAsia="仿宋"/>
          <w:sz w:val="32"/>
          <w:szCs w:val="32"/>
          <w:lang w:val="en-US" w:eastAsia="zh-CN"/>
        </w:rPr>
        <w:t>*ST未来（600532）</w:t>
      </w:r>
      <w:r>
        <w:rPr>
          <w:rFonts w:hint="default" w:ascii="仿宋" w:hAnsi="仿宋" w:eastAsia="仿宋"/>
          <w:sz w:val="32"/>
          <w:szCs w:val="32"/>
          <w:lang w:val="en-US" w:eastAsia="zh-CN"/>
        </w:rPr>
        <w:t>”</w:t>
      </w:r>
      <w:r>
        <w:rPr>
          <w:rFonts w:hint="eastAsia" w:ascii="仿宋" w:hAnsi="仿宋" w:eastAsia="仿宋"/>
          <w:sz w:val="32"/>
          <w:szCs w:val="32"/>
        </w:rPr>
        <w:t>情况，加强以上证券的交易监控，及时发现、制止可能存在的异常交易行为。</w:t>
      </w:r>
    </w:p>
    <w:p>
      <w:pPr>
        <w:ind w:firstLine="645"/>
        <w:rPr>
          <w:rFonts w:ascii="仿宋" w:hAnsi="仿宋" w:eastAsia="仿宋"/>
          <w:sz w:val="32"/>
          <w:szCs w:val="32"/>
        </w:rPr>
      </w:pPr>
      <w:r>
        <w:rPr>
          <w:rFonts w:hint="eastAsia" w:ascii="仿宋" w:hAnsi="仿宋" w:eastAsia="仿宋"/>
          <w:sz w:val="32"/>
          <w:szCs w:val="32"/>
        </w:rPr>
        <w:t>请分支机构务必做好客户解释和沟通工作，做好以上工作的相关留痕。</w:t>
      </w:r>
    </w:p>
    <w:p>
      <w:pPr>
        <w:ind w:firstLine="6080" w:firstLineChars="1900"/>
        <w:rPr>
          <w:rFonts w:ascii="仿宋" w:hAnsi="仿宋" w:eastAsia="仿宋"/>
          <w:sz w:val="32"/>
          <w:szCs w:val="32"/>
        </w:rPr>
      </w:pPr>
      <w:r>
        <w:rPr>
          <w:rFonts w:hint="eastAsia" w:ascii="仿宋" w:hAnsi="仿宋" w:eastAsia="仿宋"/>
          <w:sz w:val="32"/>
          <w:szCs w:val="32"/>
        </w:rPr>
        <w:t>经纪业务部</w:t>
      </w:r>
    </w:p>
    <w:p>
      <w:pPr>
        <w:ind w:firstLine="5600" w:firstLineChars="175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p>
      <w:pPr>
        <w:ind w:firstLine="645"/>
        <w:rPr>
          <w:rFonts w:ascii="仿宋" w:hAnsi="仿宋" w:eastAsia="仿宋"/>
          <w:sz w:val="32"/>
          <w:szCs w:val="32"/>
        </w:rPr>
      </w:pPr>
    </w:p>
    <w:p>
      <w:pPr>
        <w:widowControl/>
        <w:spacing w:before="100" w:beforeAutospacing="1" w:after="100" w:afterAutospacing="1"/>
        <w:jc w:val="left"/>
        <w:outlineLvl w:val="0"/>
        <w:rPr>
          <w:rFonts w:hint="eastAsia" w:ascii="仿宋" w:hAnsi="仿宋" w:eastAsia="仿宋"/>
          <w:b/>
          <w:sz w:val="32"/>
          <w:szCs w:val="32"/>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both"/>
        <w:textAlignment w:val="auto"/>
        <w:outlineLvl w:val="0"/>
        <w:rPr>
          <w:rFonts w:ascii="仿宋" w:hAnsi="仿宋" w:eastAsia="仿宋"/>
          <w:b/>
          <w:sz w:val="32"/>
          <w:szCs w:val="32"/>
        </w:rPr>
      </w:pPr>
      <w:r>
        <w:rPr>
          <w:rFonts w:hint="eastAsia" w:ascii="仿宋" w:hAnsi="仿宋" w:eastAsia="仿宋"/>
          <w:b/>
          <w:sz w:val="32"/>
          <w:szCs w:val="32"/>
        </w:rPr>
        <w:t>附件1：</w:t>
      </w:r>
    </w:p>
    <w:p>
      <w:pPr>
        <w:keepNext w:val="0"/>
        <w:keepLines w:val="0"/>
        <w:pageBreakBefore w:val="0"/>
        <w:kinsoku/>
        <w:wordWrap/>
        <w:overflowPunct/>
        <w:topLinePunct w:val="0"/>
        <w:autoSpaceDE/>
        <w:autoSpaceDN/>
        <w:bidi w:val="0"/>
        <w:adjustRightInd/>
        <w:snapToGrid/>
        <w:ind w:firstLine="643" w:firstLineChars="200"/>
        <w:jc w:val="center"/>
        <w:textAlignment w:val="auto"/>
        <w:rPr>
          <w:rFonts w:ascii="仿宋" w:hAnsi="仿宋" w:eastAsia="仿宋"/>
          <w:b/>
          <w:bCs w:val="0"/>
          <w:sz w:val="32"/>
          <w:szCs w:val="32"/>
        </w:rPr>
      </w:pPr>
      <w:r>
        <w:rPr>
          <w:rFonts w:hint="eastAsia" w:ascii="仿宋" w:hAnsi="仿宋" w:eastAsia="仿宋"/>
          <w:b/>
          <w:bCs w:val="0"/>
          <w:sz w:val="32"/>
          <w:szCs w:val="32"/>
        </w:rPr>
        <w:t>关于</w:t>
      </w:r>
      <w:r>
        <w:rPr>
          <w:rFonts w:hint="default" w:ascii="仿宋" w:hAnsi="仿宋" w:eastAsia="仿宋"/>
          <w:b/>
          <w:bCs/>
          <w:sz w:val="32"/>
          <w:szCs w:val="32"/>
          <w:lang w:val="en-US" w:eastAsia="zh-CN"/>
        </w:rPr>
        <w:t>“</w:t>
      </w:r>
      <w:r>
        <w:rPr>
          <w:rFonts w:hint="eastAsia" w:ascii="仿宋" w:hAnsi="仿宋" w:eastAsia="仿宋"/>
          <w:b/>
          <w:bCs/>
          <w:sz w:val="32"/>
          <w:szCs w:val="32"/>
          <w:lang w:val="en-US" w:eastAsia="zh-CN"/>
        </w:rPr>
        <w:t>*ST未来（600532）</w:t>
      </w:r>
      <w:r>
        <w:rPr>
          <w:rFonts w:hint="default" w:ascii="仿宋" w:hAnsi="仿宋" w:eastAsia="仿宋"/>
          <w:b/>
          <w:bCs/>
          <w:sz w:val="32"/>
          <w:szCs w:val="32"/>
          <w:lang w:val="en-US" w:eastAsia="zh-CN"/>
        </w:rPr>
        <w:t>”</w:t>
      </w:r>
      <w:r>
        <w:rPr>
          <w:rFonts w:hint="eastAsia" w:ascii="仿宋" w:hAnsi="仿宋" w:eastAsia="仿宋"/>
          <w:b/>
          <w:bCs/>
          <w:sz w:val="32"/>
          <w:szCs w:val="32"/>
          <w:lang w:val="en-US" w:eastAsia="zh-CN"/>
        </w:rPr>
        <w:t>证券</w:t>
      </w:r>
      <w:r>
        <w:rPr>
          <w:rFonts w:hint="eastAsia" w:ascii="仿宋" w:hAnsi="仿宋" w:eastAsia="仿宋"/>
          <w:b/>
          <w:bCs/>
          <w:sz w:val="32"/>
          <w:szCs w:val="32"/>
        </w:rPr>
        <w:t>交易</w:t>
      </w:r>
      <w:r>
        <w:rPr>
          <w:rFonts w:hint="eastAsia" w:ascii="仿宋" w:hAnsi="仿宋" w:eastAsia="仿宋"/>
          <w:b/>
          <w:bCs w:val="0"/>
          <w:sz w:val="32"/>
          <w:szCs w:val="32"/>
        </w:rPr>
        <w:t>的风险提示</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“*ST未来（600532）”</w:t>
      </w:r>
      <w:r>
        <w:rPr>
          <w:rFonts w:hint="default" w:ascii="仿宋_GB2312" w:hAnsi="微软雅黑" w:eastAsia="仿宋_GB2312" w:cs="宋体"/>
          <w:color w:val="000000"/>
          <w:kern w:val="0"/>
          <w:sz w:val="32"/>
          <w:szCs w:val="32"/>
          <w:lang w:val="en-US" w:eastAsia="zh-CN"/>
        </w:rPr>
        <w:t>近期价格大幅波动，公司发布风险提示公告称，重组事项尚需提交公司股东大会审议通过，并需经交易实施过程中涉及的有权监管机构批准或备案后方可正式实施，本次交易能否通过相关审批或备案程序存在不确定性。因公司涉嫌信息披露违法违规，中国证监会决定对公司立案。敬请投资者注意投资风险，理性决策</w:t>
      </w:r>
      <w:r>
        <w:rPr>
          <w:rFonts w:hint="eastAsia" w:ascii="仿宋_GB2312" w:hAnsi="微软雅黑" w:eastAsia="仿宋_GB2312" w:cs="宋体"/>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请投资者及时通过上海证券交易所网站等指定信息披露媒体，查阅上市公司发布的公告信息，持续关注以上证券二级市场交易风险，审慎做出投资决策，谨慎、合规参与交易。</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如投资者因参与以上证券交易发生异常交易行为，上海证券交易所将视情况从重采取列为重点监控账户、暂停投资者账户交易、限制投资者账户交易、认定为不合格投资者等自律管理措施。</w:t>
      </w:r>
    </w:p>
    <w:p>
      <w:pPr>
        <w:keepNext w:val="0"/>
        <w:keepLines w:val="0"/>
        <w:pageBreakBefore w:val="0"/>
        <w:kinsoku/>
        <w:wordWrap/>
        <w:overflowPunct/>
        <w:topLinePunct w:val="0"/>
        <w:autoSpaceDE/>
        <w:autoSpaceDN/>
        <w:bidi w:val="0"/>
        <w:adjustRightInd/>
        <w:snapToGrid/>
        <w:ind w:firstLine="4800" w:firstLineChars="1500"/>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川财证券有限责任公司</w:t>
      </w:r>
    </w:p>
    <w:p>
      <w:pPr>
        <w:keepNext w:val="0"/>
        <w:keepLines w:val="0"/>
        <w:pageBreakBefore w:val="0"/>
        <w:kinsoku/>
        <w:wordWrap/>
        <w:overflowPunct/>
        <w:topLinePunct w:val="0"/>
        <w:autoSpaceDE/>
        <w:autoSpaceDN/>
        <w:bidi w:val="0"/>
        <w:adjustRightInd/>
        <w:snapToGrid/>
        <w:ind w:firstLine="5440" w:firstLineChars="1700"/>
        <w:jc w:val="both"/>
        <w:textAlignment w:val="auto"/>
        <w:rPr>
          <w:rFonts w:hint="eastAsia" w:ascii="仿宋_GB2312" w:hAnsi="微软雅黑" w:eastAsia="仿宋_GB2312" w:cs="宋体"/>
          <w:b/>
          <w:color w:val="000000"/>
          <w:kern w:val="0"/>
          <w:sz w:val="32"/>
          <w:szCs w:val="32"/>
        </w:rPr>
      </w:pPr>
      <w:r>
        <w:rPr>
          <w:rFonts w:hint="eastAsia" w:ascii="仿宋_GB2312" w:hAnsi="微软雅黑" w:eastAsia="仿宋_GB2312" w:cs="宋体"/>
          <w:color w:val="000000"/>
          <w:kern w:val="0"/>
          <w:sz w:val="32"/>
          <w:szCs w:val="32"/>
        </w:rPr>
        <w:t>202</w:t>
      </w:r>
      <w:r>
        <w:rPr>
          <w:rFonts w:hint="eastAsia" w:ascii="仿宋_GB2312" w:hAnsi="微软雅黑" w:eastAsia="仿宋_GB2312" w:cs="宋体"/>
          <w:color w:val="000000"/>
          <w:kern w:val="0"/>
          <w:sz w:val="32"/>
          <w:szCs w:val="32"/>
          <w:lang w:val="en-US" w:eastAsia="zh-CN"/>
        </w:rPr>
        <w:t>2</w:t>
      </w:r>
      <w:r>
        <w:rPr>
          <w:rFonts w:hint="eastAsia" w:ascii="仿宋_GB2312" w:hAnsi="微软雅黑" w:eastAsia="仿宋_GB2312" w:cs="宋体"/>
          <w:color w:val="000000"/>
          <w:kern w:val="0"/>
          <w:sz w:val="32"/>
          <w:szCs w:val="32"/>
        </w:rPr>
        <w:t>年</w:t>
      </w:r>
      <w:r>
        <w:rPr>
          <w:rFonts w:hint="eastAsia" w:ascii="仿宋_GB2312" w:hAnsi="微软雅黑" w:eastAsia="仿宋_GB2312" w:cs="宋体"/>
          <w:color w:val="000000"/>
          <w:kern w:val="0"/>
          <w:sz w:val="32"/>
          <w:szCs w:val="32"/>
          <w:lang w:val="en-US" w:eastAsia="zh-CN"/>
        </w:rPr>
        <w:t>11</w:t>
      </w:r>
      <w:r>
        <w:rPr>
          <w:rFonts w:hint="eastAsia" w:ascii="仿宋_GB2312" w:hAnsi="微软雅黑" w:eastAsia="仿宋_GB2312" w:cs="宋体"/>
          <w:color w:val="000000"/>
          <w:kern w:val="0"/>
          <w:sz w:val="32"/>
          <w:szCs w:val="32"/>
        </w:rPr>
        <w:t>月</w:t>
      </w:r>
      <w:r>
        <w:rPr>
          <w:rFonts w:hint="eastAsia" w:ascii="仿宋_GB2312" w:hAnsi="微软雅黑" w:eastAsia="仿宋_GB2312" w:cs="宋体"/>
          <w:color w:val="000000"/>
          <w:kern w:val="0"/>
          <w:sz w:val="32"/>
          <w:szCs w:val="32"/>
          <w:lang w:val="en-US" w:eastAsia="zh-CN"/>
        </w:rPr>
        <w:t>17</w:t>
      </w:r>
      <w:r>
        <w:rPr>
          <w:rFonts w:hint="eastAsia" w:ascii="仿宋_GB2312" w:hAnsi="微软雅黑" w:eastAsia="仿宋_GB2312" w:cs="宋体"/>
          <w:color w:val="000000"/>
          <w:kern w:val="0"/>
          <w:sz w:val="32"/>
          <w:szCs w:val="32"/>
        </w:rPr>
        <w:t>日</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b/>
          <w:color w:val="000000"/>
          <w:kern w:val="0"/>
          <w:sz w:val="32"/>
          <w:szCs w:val="32"/>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color w:val="000000"/>
          <w:kern w:val="0"/>
          <w:sz w:val="32"/>
          <w:szCs w:val="32"/>
        </w:rPr>
      </w:pPr>
      <w:r>
        <w:rPr>
          <w:rFonts w:hint="eastAsia" w:ascii="仿宋_GB2312" w:hAnsi="微软雅黑" w:eastAsia="仿宋_GB2312" w:cs="宋体"/>
          <w:b/>
          <w:color w:val="000000"/>
          <w:kern w:val="0"/>
          <w:sz w:val="32"/>
          <w:szCs w:val="32"/>
        </w:rPr>
        <w:t>短信：</w:t>
      </w:r>
    </w:p>
    <w:p>
      <w:pPr>
        <w:keepNext w:val="0"/>
        <w:keepLines w:val="0"/>
        <w:pageBreakBefore w:val="0"/>
        <w:kinsoku/>
        <w:wordWrap/>
        <w:overflowPunct/>
        <w:topLinePunct w:val="0"/>
        <w:autoSpaceDE/>
        <w:autoSpaceDN/>
        <w:bidi w:val="0"/>
        <w:adjustRightInd/>
        <w:snapToGrid/>
        <w:jc w:val="both"/>
        <w:textAlignment w:val="auto"/>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尊敬的投资者：</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ascii="仿宋_GB2312" w:hAnsi="微软雅黑" w:eastAsia="仿宋_GB2312" w:cs="宋体"/>
          <w:color w:val="000000"/>
          <w:kern w:val="0"/>
          <w:sz w:val="32"/>
          <w:szCs w:val="32"/>
          <w:lang w:val="en-US" w:eastAsia="zh-CN"/>
        </w:rPr>
      </w:pPr>
      <w:r>
        <w:rPr>
          <w:rFonts w:hint="eastAsia" w:ascii="仿宋_GB2312" w:hAnsi="微软雅黑" w:eastAsia="仿宋_GB2312" w:cs="宋体"/>
          <w:color w:val="000000"/>
          <w:kern w:val="0"/>
          <w:sz w:val="32"/>
          <w:szCs w:val="32"/>
          <w:lang w:val="en-US" w:eastAsia="zh-CN"/>
        </w:rPr>
        <w:t>“*ST未来（600532）”</w:t>
      </w:r>
      <w:r>
        <w:rPr>
          <w:rFonts w:hint="default" w:ascii="仿宋_GB2312" w:hAnsi="微软雅黑" w:eastAsia="仿宋_GB2312" w:cs="宋体"/>
          <w:color w:val="000000"/>
          <w:kern w:val="0"/>
          <w:sz w:val="32"/>
          <w:szCs w:val="32"/>
          <w:lang w:val="en-US" w:eastAsia="zh-CN"/>
        </w:rPr>
        <w:t>近期价格大幅波动，公司发布风险提示公告称，重组事项尚需提交公司股东大会审议通过，并需经交易实施过程中涉及的有权监管机构批准或备案后方可正式实施，本次交易能否通过相关审批或备案程序存在不确定性。因公司涉嫌信息披露违法违规，中国证监会决定对公司立案。敬请投资者注意投资风险，理性决策</w:t>
      </w:r>
      <w:r>
        <w:rPr>
          <w:rFonts w:hint="eastAsia" w:ascii="仿宋_GB2312" w:hAnsi="微软雅黑" w:eastAsia="仿宋_GB2312" w:cs="宋体"/>
          <w:color w:val="000000"/>
          <w:kern w:val="0"/>
          <w:sz w:val="32"/>
          <w:szCs w:val="32"/>
          <w:lang w:val="en-US" w:eastAsia="zh-CN"/>
        </w:rPr>
        <w:t>。</w:t>
      </w:r>
    </w:p>
    <w:p>
      <w:pPr>
        <w:keepNext w:val="0"/>
        <w:keepLines w:val="0"/>
        <w:widowControl/>
        <w:suppressLineNumbers w:val="0"/>
        <w:ind w:firstLine="640" w:firstLineChars="200"/>
        <w:jc w:val="left"/>
        <w:rPr>
          <w:rFonts w:hint="eastAsia" w:ascii="仿宋_GB2312" w:hAnsi="微软雅黑" w:eastAsia="仿宋_GB2312" w:cs="宋体"/>
          <w:color w:val="000000"/>
          <w:kern w:val="0"/>
          <w:sz w:val="32"/>
          <w:szCs w:val="32"/>
        </w:rPr>
      </w:pPr>
      <w:r>
        <w:rPr>
          <w:rFonts w:hint="eastAsia" w:ascii="仿宋" w:hAnsi="仿宋" w:eastAsia="仿宋"/>
          <w:sz w:val="32"/>
          <w:szCs w:val="32"/>
          <w:lang w:val="en-US" w:eastAsia="zh-CN"/>
        </w:rPr>
        <w:t>如投资者因参与</w:t>
      </w:r>
      <w:r>
        <w:rPr>
          <w:rFonts w:hint="eastAsia" w:ascii="仿宋_GB2312" w:hAnsi="微软雅黑" w:eastAsia="仿宋_GB2312" w:cs="宋体"/>
          <w:color w:val="000000"/>
          <w:kern w:val="0"/>
          <w:sz w:val="32"/>
          <w:szCs w:val="32"/>
          <w:lang w:eastAsia="zh-CN"/>
        </w:rPr>
        <w:t>以上证券</w:t>
      </w:r>
      <w:r>
        <w:rPr>
          <w:rFonts w:hint="eastAsia" w:ascii="仿宋" w:hAnsi="仿宋" w:eastAsia="仿宋"/>
          <w:sz w:val="32"/>
          <w:szCs w:val="32"/>
          <w:lang w:val="en-US" w:eastAsia="zh-CN"/>
        </w:rPr>
        <w:t>交易发生异常交易行为，上海证券交易</w:t>
      </w:r>
      <w:r>
        <w:rPr>
          <w:rFonts w:hint="eastAsia" w:ascii="仿宋_GB2312" w:hAnsi="微软雅黑" w:eastAsia="仿宋_GB2312" w:cs="宋体"/>
          <w:color w:val="000000"/>
          <w:kern w:val="0"/>
          <w:sz w:val="32"/>
          <w:szCs w:val="32"/>
        </w:rPr>
        <w:t>将视情况从重采取列为重点监控账户、暂停投资者账户交易、限制投资者账户交易、认定为不合格投资者等自律管理措施。</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微软雅黑" w:eastAsia="仿宋_GB2312" w:cs="宋体"/>
          <w:color w:val="000000"/>
          <w:kern w:val="0"/>
          <w:sz w:val="32"/>
          <w:szCs w:val="32"/>
        </w:rPr>
      </w:pPr>
    </w:p>
    <w:p>
      <w:pPr>
        <w:keepNext w:val="0"/>
        <w:keepLines w:val="0"/>
        <w:widowControl/>
        <w:suppressLineNumbers w:val="0"/>
        <w:ind w:firstLine="640" w:firstLineChars="200"/>
        <w:jc w:val="left"/>
        <w:rPr>
          <w:rFonts w:hint="eastAsia" w:ascii="仿宋_GB2312" w:hAnsi="微软雅黑" w:eastAsia="仿宋_GB2312" w:cs="宋体"/>
          <w:color w:val="000000"/>
          <w:kern w:val="0"/>
          <w:sz w:val="32"/>
          <w:szCs w:val="32"/>
        </w:rPr>
      </w:pPr>
    </w:p>
    <w:p>
      <w:pPr>
        <w:rPr>
          <w:rFonts w:hint="eastAsia" w:ascii="仿宋_GB2312" w:hAnsi="微软雅黑" w:eastAsia="仿宋_GB2312" w:cs="宋体"/>
          <w:color w:val="000000"/>
          <w:kern w:val="0"/>
          <w:sz w:val="32"/>
          <w:szCs w:val="32"/>
          <w:highlight w:val="yellow"/>
          <w:lang w:val="en-US" w:eastAsia="zh-CN"/>
        </w:rPr>
      </w:pPr>
      <w:r>
        <w:rPr>
          <w:rFonts w:hint="eastAsia" w:ascii="仿宋_GB2312" w:hAnsi="微软雅黑" w:eastAsia="仿宋_GB2312" w:cs="宋体"/>
          <w:color w:val="000000"/>
          <w:kern w:val="0"/>
          <w:sz w:val="32"/>
          <w:szCs w:val="32"/>
          <w:highlight w:val="yellow"/>
          <w:lang w:val="en-US" w:eastAsia="zh-CN"/>
        </w:rPr>
        <w:t>注：分支机构发送短信，最后一段请务必一起发送，不能省略。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jg4ODY3ZTY0MjVjMzE2OTk0NDI2ZTUzMjVjNDMifQ=="/>
  </w:docVars>
  <w:rsids>
    <w:rsidRoot w:val="00172A27"/>
    <w:rsid w:val="000111EA"/>
    <w:rsid w:val="00020E8C"/>
    <w:rsid w:val="0002137F"/>
    <w:rsid w:val="00042B75"/>
    <w:rsid w:val="00052B39"/>
    <w:rsid w:val="00082EBA"/>
    <w:rsid w:val="00087A22"/>
    <w:rsid w:val="0009099E"/>
    <w:rsid w:val="00093062"/>
    <w:rsid w:val="000B1A2C"/>
    <w:rsid w:val="000C6CC3"/>
    <w:rsid w:val="000D1A72"/>
    <w:rsid w:val="0010757F"/>
    <w:rsid w:val="00132091"/>
    <w:rsid w:val="001379F2"/>
    <w:rsid w:val="00144A97"/>
    <w:rsid w:val="00147554"/>
    <w:rsid w:val="00157CFA"/>
    <w:rsid w:val="00161036"/>
    <w:rsid w:val="00162362"/>
    <w:rsid w:val="00180911"/>
    <w:rsid w:val="0018298A"/>
    <w:rsid w:val="00184240"/>
    <w:rsid w:val="00186D23"/>
    <w:rsid w:val="001D4A7C"/>
    <w:rsid w:val="001F40AA"/>
    <w:rsid w:val="002145CD"/>
    <w:rsid w:val="0022213E"/>
    <w:rsid w:val="00227617"/>
    <w:rsid w:val="00230D60"/>
    <w:rsid w:val="00245F0D"/>
    <w:rsid w:val="00283403"/>
    <w:rsid w:val="002905C7"/>
    <w:rsid w:val="00291F81"/>
    <w:rsid w:val="002A7244"/>
    <w:rsid w:val="002C149D"/>
    <w:rsid w:val="002E4AB3"/>
    <w:rsid w:val="002E6B88"/>
    <w:rsid w:val="002F278A"/>
    <w:rsid w:val="0032088B"/>
    <w:rsid w:val="003210F8"/>
    <w:rsid w:val="00321BDC"/>
    <w:rsid w:val="00381620"/>
    <w:rsid w:val="00387F79"/>
    <w:rsid w:val="003913CE"/>
    <w:rsid w:val="003D54D0"/>
    <w:rsid w:val="003E54D6"/>
    <w:rsid w:val="0040089F"/>
    <w:rsid w:val="004049ED"/>
    <w:rsid w:val="00407F0D"/>
    <w:rsid w:val="00421D53"/>
    <w:rsid w:val="00430C33"/>
    <w:rsid w:val="00445252"/>
    <w:rsid w:val="00466931"/>
    <w:rsid w:val="00475CC1"/>
    <w:rsid w:val="00475CCF"/>
    <w:rsid w:val="004A432A"/>
    <w:rsid w:val="004D4AD8"/>
    <w:rsid w:val="004E74EB"/>
    <w:rsid w:val="004F1B3F"/>
    <w:rsid w:val="004F68BD"/>
    <w:rsid w:val="00501A59"/>
    <w:rsid w:val="00533970"/>
    <w:rsid w:val="005571DF"/>
    <w:rsid w:val="00557C84"/>
    <w:rsid w:val="00560B1B"/>
    <w:rsid w:val="00574B02"/>
    <w:rsid w:val="00581346"/>
    <w:rsid w:val="00597C8F"/>
    <w:rsid w:val="005B4F68"/>
    <w:rsid w:val="005C0CE7"/>
    <w:rsid w:val="005C5667"/>
    <w:rsid w:val="005C5A57"/>
    <w:rsid w:val="005F0633"/>
    <w:rsid w:val="005F1D08"/>
    <w:rsid w:val="00610656"/>
    <w:rsid w:val="00611182"/>
    <w:rsid w:val="006367A3"/>
    <w:rsid w:val="0063757D"/>
    <w:rsid w:val="0068226C"/>
    <w:rsid w:val="00693D04"/>
    <w:rsid w:val="006C0B9C"/>
    <w:rsid w:val="006D1ABC"/>
    <w:rsid w:val="006E0DE8"/>
    <w:rsid w:val="006F7C37"/>
    <w:rsid w:val="007124A5"/>
    <w:rsid w:val="007215DE"/>
    <w:rsid w:val="007262AE"/>
    <w:rsid w:val="00727C15"/>
    <w:rsid w:val="00745291"/>
    <w:rsid w:val="00760116"/>
    <w:rsid w:val="00771909"/>
    <w:rsid w:val="007928D9"/>
    <w:rsid w:val="007947F3"/>
    <w:rsid w:val="007C2915"/>
    <w:rsid w:val="007E13B7"/>
    <w:rsid w:val="00824FDA"/>
    <w:rsid w:val="00827E3A"/>
    <w:rsid w:val="00854F27"/>
    <w:rsid w:val="00862B75"/>
    <w:rsid w:val="008A0BF2"/>
    <w:rsid w:val="008A0D4D"/>
    <w:rsid w:val="008B38F0"/>
    <w:rsid w:val="008D2DD6"/>
    <w:rsid w:val="00942F87"/>
    <w:rsid w:val="009506D8"/>
    <w:rsid w:val="00967E03"/>
    <w:rsid w:val="0099199F"/>
    <w:rsid w:val="009A0B6F"/>
    <w:rsid w:val="009D1DAC"/>
    <w:rsid w:val="009E3DF6"/>
    <w:rsid w:val="009E69D9"/>
    <w:rsid w:val="00A00E3F"/>
    <w:rsid w:val="00A17793"/>
    <w:rsid w:val="00A34095"/>
    <w:rsid w:val="00A45C1C"/>
    <w:rsid w:val="00A6235A"/>
    <w:rsid w:val="00A73E49"/>
    <w:rsid w:val="00A84053"/>
    <w:rsid w:val="00AA1035"/>
    <w:rsid w:val="00AB7E76"/>
    <w:rsid w:val="00AC1B41"/>
    <w:rsid w:val="00AD691B"/>
    <w:rsid w:val="00AF050A"/>
    <w:rsid w:val="00B3179D"/>
    <w:rsid w:val="00B342F7"/>
    <w:rsid w:val="00B375D8"/>
    <w:rsid w:val="00B477FF"/>
    <w:rsid w:val="00B47DA1"/>
    <w:rsid w:val="00B51E3A"/>
    <w:rsid w:val="00B60051"/>
    <w:rsid w:val="00B6769C"/>
    <w:rsid w:val="00B9363B"/>
    <w:rsid w:val="00B93C3D"/>
    <w:rsid w:val="00BB4BC1"/>
    <w:rsid w:val="00BF04EB"/>
    <w:rsid w:val="00C33FD1"/>
    <w:rsid w:val="00C42FF6"/>
    <w:rsid w:val="00C76B81"/>
    <w:rsid w:val="00C81E7C"/>
    <w:rsid w:val="00CA2DD2"/>
    <w:rsid w:val="00CB4E11"/>
    <w:rsid w:val="00CB68BB"/>
    <w:rsid w:val="00CC62C1"/>
    <w:rsid w:val="00CD336C"/>
    <w:rsid w:val="00CD3F53"/>
    <w:rsid w:val="00CF0B77"/>
    <w:rsid w:val="00CF641F"/>
    <w:rsid w:val="00D04028"/>
    <w:rsid w:val="00D16D31"/>
    <w:rsid w:val="00D176EA"/>
    <w:rsid w:val="00D4621A"/>
    <w:rsid w:val="00D535EE"/>
    <w:rsid w:val="00D60912"/>
    <w:rsid w:val="00D774D2"/>
    <w:rsid w:val="00DA092D"/>
    <w:rsid w:val="00DE0728"/>
    <w:rsid w:val="00DE0830"/>
    <w:rsid w:val="00DF22CC"/>
    <w:rsid w:val="00E0581F"/>
    <w:rsid w:val="00E068C1"/>
    <w:rsid w:val="00E11E73"/>
    <w:rsid w:val="00E47A23"/>
    <w:rsid w:val="00E503E1"/>
    <w:rsid w:val="00E50BBD"/>
    <w:rsid w:val="00E628F1"/>
    <w:rsid w:val="00E70265"/>
    <w:rsid w:val="00E84843"/>
    <w:rsid w:val="00E9495C"/>
    <w:rsid w:val="00EB45D1"/>
    <w:rsid w:val="00EC1C5C"/>
    <w:rsid w:val="00ED4038"/>
    <w:rsid w:val="00ED7363"/>
    <w:rsid w:val="00F05CCE"/>
    <w:rsid w:val="00F11069"/>
    <w:rsid w:val="00F2766D"/>
    <w:rsid w:val="00F64903"/>
    <w:rsid w:val="00F67EEE"/>
    <w:rsid w:val="00F72EE9"/>
    <w:rsid w:val="00F75C4A"/>
    <w:rsid w:val="00F75F3C"/>
    <w:rsid w:val="00F85549"/>
    <w:rsid w:val="00F9086C"/>
    <w:rsid w:val="00F93B52"/>
    <w:rsid w:val="00F94EB8"/>
    <w:rsid w:val="00F95EAC"/>
    <w:rsid w:val="00FB26B9"/>
    <w:rsid w:val="00FC3A8D"/>
    <w:rsid w:val="00FF146D"/>
    <w:rsid w:val="01925756"/>
    <w:rsid w:val="030929EC"/>
    <w:rsid w:val="033E4E5C"/>
    <w:rsid w:val="03DF1EFE"/>
    <w:rsid w:val="03E96E23"/>
    <w:rsid w:val="04AE00AE"/>
    <w:rsid w:val="06154C31"/>
    <w:rsid w:val="0689291F"/>
    <w:rsid w:val="0708351A"/>
    <w:rsid w:val="08395B4E"/>
    <w:rsid w:val="085E7EC2"/>
    <w:rsid w:val="0870581B"/>
    <w:rsid w:val="08A47331"/>
    <w:rsid w:val="099A7DD5"/>
    <w:rsid w:val="0A3A1396"/>
    <w:rsid w:val="0CFD1499"/>
    <w:rsid w:val="0E9B2C79"/>
    <w:rsid w:val="0EE8315E"/>
    <w:rsid w:val="0F635F9C"/>
    <w:rsid w:val="0FFF56D6"/>
    <w:rsid w:val="104430E9"/>
    <w:rsid w:val="105578A3"/>
    <w:rsid w:val="10A205F8"/>
    <w:rsid w:val="117020C6"/>
    <w:rsid w:val="11C33DEF"/>
    <w:rsid w:val="12DB4B67"/>
    <w:rsid w:val="134F0723"/>
    <w:rsid w:val="135E2714"/>
    <w:rsid w:val="13B24675"/>
    <w:rsid w:val="142B7110"/>
    <w:rsid w:val="14680377"/>
    <w:rsid w:val="16B06763"/>
    <w:rsid w:val="1804388A"/>
    <w:rsid w:val="180513B0"/>
    <w:rsid w:val="194303E2"/>
    <w:rsid w:val="1A7171D0"/>
    <w:rsid w:val="1ABD46AD"/>
    <w:rsid w:val="1AE559D5"/>
    <w:rsid w:val="1AF851FC"/>
    <w:rsid w:val="1C271C50"/>
    <w:rsid w:val="1C915908"/>
    <w:rsid w:val="1E095860"/>
    <w:rsid w:val="1E7D7EF2"/>
    <w:rsid w:val="1F8A4FBC"/>
    <w:rsid w:val="1FCD6C57"/>
    <w:rsid w:val="24550F98"/>
    <w:rsid w:val="24AF2DCF"/>
    <w:rsid w:val="25DA2E17"/>
    <w:rsid w:val="262B2929"/>
    <w:rsid w:val="26FA4876"/>
    <w:rsid w:val="27444822"/>
    <w:rsid w:val="27B5216A"/>
    <w:rsid w:val="27DC4123"/>
    <w:rsid w:val="2A2D5308"/>
    <w:rsid w:val="2B611BC6"/>
    <w:rsid w:val="2B6C3522"/>
    <w:rsid w:val="2BC52ED8"/>
    <w:rsid w:val="2BE60032"/>
    <w:rsid w:val="2C1E0863"/>
    <w:rsid w:val="2D542766"/>
    <w:rsid w:val="2D9A64B4"/>
    <w:rsid w:val="2E5D389C"/>
    <w:rsid w:val="2E8C37B6"/>
    <w:rsid w:val="2F610444"/>
    <w:rsid w:val="2F6A3DF4"/>
    <w:rsid w:val="2F6B1A53"/>
    <w:rsid w:val="2F950E14"/>
    <w:rsid w:val="30CC4D09"/>
    <w:rsid w:val="3156680F"/>
    <w:rsid w:val="35507CB7"/>
    <w:rsid w:val="35E873B4"/>
    <w:rsid w:val="371543E9"/>
    <w:rsid w:val="3744088C"/>
    <w:rsid w:val="37893954"/>
    <w:rsid w:val="38BE214E"/>
    <w:rsid w:val="38D26C34"/>
    <w:rsid w:val="39C3314D"/>
    <w:rsid w:val="3A146C85"/>
    <w:rsid w:val="3AA840F1"/>
    <w:rsid w:val="3B280848"/>
    <w:rsid w:val="3B6B49E5"/>
    <w:rsid w:val="3D605157"/>
    <w:rsid w:val="3EBA632C"/>
    <w:rsid w:val="3F5F14E1"/>
    <w:rsid w:val="3FA43AAD"/>
    <w:rsid w:val="3FDD483D"/>
    <w:rsid w:val="40400E6E"/>
    <w:rsid w:val="40854BA3"/>
    <w:rsid w:val="41D22B14"/>
    <w:rsid w:val="42151A87"/>
    <w:rsid w:val="42D46B19"/>
    <w:rsid w:val="42FC322C"/>
    <w:rsid w:val="43E35CA1"/>
    <w:rsid w:val="44044A8E"/>
    <w:rsid w:val="44094595"/>
    <w:rsid w:val="44206730"/>
    <w:rsid w:val="47AF3E4D"/>
    <w:rsid w:val="49A50903"/>
    <w:rsid w:val="49E87A9E"/>
    <w:rsid w:val="4A674B62"/>
    <w:rsid w:val="4AE253FD"/>
    <w:rsid w:val="4B2E69D3"/>
    <w:rsid w:val="4CC76658"/>
    <w:rsid w:val="4CE30FB8"/>
    <w:rsid w:val="4D303F39"/>
    <w:rsid w:val="4DCA2012"/>
    <w:rsid w:val="4EAF64EF"/>
    <w:rsid w:val="4FB41454"/>
    <w:rsid w:val="51170E05"/>
    <w:rsid w:val="53031E2E"/>
    <w:rsid w:val="53E45D42"/>
    <w:rsid w:val="5455279C"/>
    <w:rsid w:val="579E67E3"/>
    <w:rsid w:val="592E2E66"/>
    <w:rsid w:val="596448B1"/>
    <w:rsid w:val="5B04316E"/>
    <w:rsid w:val="5B0D3DD0"/>
    <w:rsid w:val="5C427AAA"/>
    <w:rsid w:val="5C7B501E"/>
    <w:rsid w:val="5C901D42"/>
    <w:rsid w:val="5CFC40FC"/>
    <w:rsid w:val="5D390471"/>
    <w:rsid w:val="5E916619"/>
    <w:rsid w:val="5F36423B"/>
    <w:rsid w:val="5F590100"/>
    <w:rsid w:val="5F930DB1"/>
    <w:rsid w:val="604D42C1"/>
    <w:rsid w:val="60770732"/>
    <w:rsid w:val="62BB05B6"/>
    <w:rsid w:val="62D017F4"/>
    <w:rsid w:val="65534AD5"/>
    <w:rsid w:val="65BF660F"/>
    <w:rsid w:val="65DD53DE"/>
    <w:rsid w:val="661077B8"/>
    <w:rsid w:val="67B6759E"/>
    <w:rsid w:val="680705C2"/>
    <w:rsid w:val="69810E24"/>
    <w:rsid w:val="6A8A2726"/>
    <w:rsid w:val="6BF3491C"/>
    <w:rsid w:val="6C4E7A26"/>
    <w:rsid w:val="6CF613C1"/>
    <w:rsid w:val="6DD86E3D"/>
    <w:rsid w:val="6E0F61BE"/>
    <w:rsid w:val="6EF546BB"/>
    <w:rsid w:val="6F8B0FD2"/>
    <w:rsid w:val="71445C1A"/>
    <w:rsid w:val="71514C5D"/>
    <w:rsid w:val="71581659"/>
    <w:rsid w:val="71B37E41"/>
    <w:rsid w:val="73565C94"/>
    <w:rsid w:val="736F095A"/>
    <w:rsid w:val="740A65BE"/>
    <w:rsid w:val="7493067F"/>
    <w:rsid w:val="76CF691F"/>
    <w:rsid w:val="76DA4D3E"/>
    <w:rsid w:val="776A0625"/>
    <w:rsid w:val="776C6112"/>
    <w:rsid w:val="79064601"/>
    <w:rsid w:val="7AF8083C"/>
    <w:rsid w:val="7B6C46EB"/>
    <w:rsid w:val="7C8102A7"/>
    <w:rsid w:val="7CA103C5"/>
    <w:rsid w:val="7D71224F"/>
    <w:rsid w:val="7D8243BD"/>
    <w:rsid w:val="7E334FFB"/>
    <w:rsid w:val="7E454607"/>
    <w:rsid w:val="7E9E6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pPr>
      <w:ind w:left="100" w:leftChars="25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日期 Char"/>
    <w:basedOn w:val="7"/>
    <w:link w:val="3"/>
    <w:qFormat/>
    <w:uiPriority w:val="0"/>
    <w:rPr>
      <w:kern w:val="2"/>
      <w:sz w:val="21"/>
      <w:szCs w:val="24"/>
    </w:rPr>
  </w:style>
  <w:style w:type="character" w:customStyle="1" w:styleId="12">
    <w:name w:val="fontstyle01"/>
    <w:basedOn w:val="7"/>
    <w:qFormat/>
    <w:uiPriority w:val="0"/>
    <w:rPr>
      <w:rFonts w:hint="eastAsia" w:ascii="仿宋_GB2312" w:eastAsia="仿宋_GB2312"/>
      <w:color w:val="000000"/>
      <w:sz w:val="28"/>
      <w:szCs w:val="28"/>
    </w:rPr>
  </w:style>
  <w:style w:type="character" w:customStyle="1" w:styleId="13">
    <w:name w:val="fontstyle21"/>
    <w:basedOn w:val="7"/>
    <w:qFormat/>
    <w:uiPriority w:val="0"/>
    <w:rPr>
      <w:rFonts w:hint="eastAsia" w:ascii="仿宋_GB2312" w:eastAsia="仿宋_GB2312"/>
      <w:color w:val="000000"/>
      <w:sz w:val="28"/>
      <w:szCs w:val="28"/>
    </w:rPr>
  </w:style>
  <w:style w:type="character" w:customStyle="1" w:styleId="14">
    <w:name w:val="fontstyle11"/>
    <w:basedOn w:val="7"/>
    <w:qFormat/>
    <w:uiPriority w:val="0"/>
    <w:rPr>
      <w:rFonts w:hint="default" w:ascii="Times New Roman" w:hAnsi="Times New Roman" w:cs="Times New Roman"/>
      <w:color w:val="000000"/>
      <w:sz w:val="28"/>
      <w:szCs w:val="28"/>
    </w:rPr>
  </w:style>
  <w:style w:type="paragraph" w:customStyle="1" w:styleId="15">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821</Words>
  <Characters>877</Characters>
  <Lines>6</Lines>
  <Paragraphs>1</Paragraphs>
  <TotalTime>1</TotalTime>
  <ScaleCrop>false</ScaleCrop>
  <LinksUpToDate>false</LinksUpToDate>
  <CharactersWithSpaces>877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2021-03-05T06:03:00Z</dcterms:created>
  <dc:creator>WPS_1527991767</dc:creator>
  <cp:lastModifiedBy>Lenovo</cp:lastModifiedBy>
  <dcterms:modified xsi:type="dcterms:W3CDTF">2022-11-17T00:54:45Z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793544E93A7B44DB9D7F39F2BDCE5483</vt:lpwstr>
  </property>
</Properties>
</file>