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4273A3"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w:t>
      </w:r>
      <w:r>
        <w:rPr>
          <w:rFonts w:ascii="宋体" w:hAnsi="方正黑体简体" w:cs="方正黑体简体"/>
          <w:b/>
          <w:bCs/>
          <w:iCs/>
          <w:sz w:val="31"/>
          <w:szCs w:val="36"/>
        </w:rPr>
        <w:t>ESG主题股票型证券投资基金（C类份额）基金产品资料概要（更新）</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4273A3">
        <w:rPr>
          <w:rFonts w:ascii="仿宋" w:hAnsi="仿宋"/>
          <w:color w:val="000000" w:themeColor="text1"/>
          <w:sz w:val="24"/>
          <w:szCs w:val="24"/>
        </w:rPr>
        <w:t>2021年9月26日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4273A3">
        <w:rPr>
          <w:rFonts w:ascii="仿宋" w:hAnsi="仿宋"/>
          <w:color w:val="000000" w:themeColor="text1"/>
          <w:sz w:val="24"/>
          <w:szCs w:val="24"/>
        </w:rPr>
        <w:t>2021年10月25日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4273A3" w:rsidRDefault="004273A3" w:rsidP="004273A3">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4273A3" w:rsidTr="004273A3">
        <w:tc>
          <w:tcPr>
            <w:tcW w:w="2076" w:type="dxa"/>
          </w:tcPr>
          <w:p w:rsidR="004273A3" w:rsidRDefault="004273A3" w:rsidP="004273A3">
            <w:pPr>
              <w:jc w:val="left"/>
            </w:pPr>
            <w:r>
              <w:rPr>
                <w:rFonts w:hint="eastAsia"/>
              </w:rPr>
              <w:t>基金简称</w:t>
            </w:r>
          </w:p>
        </w:tc>
        <w:tc>
          <w:tcPr>
            <w:tcW w:w="2076" w:type="dxa"/>
          </w:tcPr>
          <w:p w:rsidR="004273A3" w:rsidRDefault="004273A3" w:rsidP="004273A3">
            <w:pPr>
              <w:jc w:val="left"/>
            </w:pPr>
            <w:r>
              <w:rPr>
                <w:rFonts w:hint="eastAsia"/>
              </w:rPr>
              <w:t>南方</w:t>
            </w:r>
            <w:r>
              <w:rPr>
                <w:rFonts w:hint="eastAsia"/>
              </w:rPr>
              <w:t>ESG</w:t>
            </w:r>
            <w:r>
              <w:rPr>
                <w:rFonts w:hint="eastAsia"/>
              </w:rPr>
              <w:t>主题股票</w:t>
            </w:r>
            <w:r>
              <w:rPr>
                <w:rFonts w:hint="eastAsia"/>
              </w:rPr>
              <w:t>C</w:t>
            </w:r>
          </w:p>
        </w:tc>
        <w:tc>
          <w:tcPr>
            <w:tcW w:w="2077" w:type="dxa"/>
          </w:tcPr>
          <w:p w:rsidR="004273A3" w:rsidRDefault="004273A3" w:rsidP="004273A3">
            <w:pPr>
              <w:jc w:val="left"/>
            </w:pPr>
            <w:r>
              <w:rPr>
                <w:rFonts w:hint="eastAsia"/>
              </w:rPr>
              <w:t>基金代码</w:t>
            </w:r>
          </w:p>
        </w:tc>
        <w:tc>
          <w:tcPr>
            <w:tcW w:w="2077" w:type="dxa"/>
          </w:tcPr>
          <w:p w:rsidR="004273A3" w:rsidRDefault="004273A3" w:rsidP="004273A3">
            <w:pPr>
              <w:jc w:val="left"/>
            </w:pPr>
            <w:r>
              <w:t>008265</w:t>
            </w:r>
          </w:p>
        </w:tc>
      </w:tr>
      <w:tr w:rsidR="004273A3" w:rsidTr="004273A3">
        <w:tc>
          <w:tcPr>
            <w:tcW w:w="2076" w:type="dxa"/>
          </w:tcPr>
          <w:p w:rsidR="004273A3" w:rsidRDefault="004273A3" w:rsidP="004273A3">
            <w:pPr>
              <w:jc w:val="left"/>
            </w:pPr>
            <w:r>
              <w:rPr>
                <w:rFonts w:hint="eastAsia"/>
              </w:rPr>
              <w:t>基金管理人</w:t>
            </w:r>
          </w:p>
        </w:tc>
        <w:tc>
          <w:tcPr>
            <w:tcW w:w="2076" w:type="dxa"/>
          </w:tcPr>
          <w:p w:rsidR="004273A3" w:rsidRDefault="004273A3" w:rsidP="004273A3">
            <w:pPr>
              <w:jc w:val="left"/>
            </w:pPr>
            <w:r>
              <w:rPr>
                <w:rFonts w:hint="eastAsia"/>
              </w:rPr>
              <w:t>南方基金管理股份有限公司</w:t>
            </w:r>
          </w:p>
        </w:tc>
        <w:tc>
          <w:tcPr>
            <w:tcW w:w="2077" w:type="dxa"/>
          </w:tcPr>
          <w:p w:rsidR="004273A3" w:rsidRDefault="004273A3" w:rsidP="004273A3">
            <w:pPr>
              <w:jc w:val="left"/>
            </w:pPr>
            <w:r>
              <w:rPr>
                <w:rFonts w:hint="eastAsia"/>
              </w:rPr>
              <w:t>基金托管人</w:t>
            </w:r>
          </w:p>
        </w:tc>
        <w:tc>
          <w:tcPr>
            <w:tcW w:w="2077" w:type="dxa"/>
          </w:tcPr>
          <w:p w:rsidR="004273A3" w:rsidRDefault="004273A3" w:rsidP="004273A3">
            <w:pPr>
              <w:jc w:val="left"/>
            </w:pPr>
            <w:r>
              <w:rPr>
                <w:rFonts w:hint="eastAsia"/>
              </w:rPr>
              <w:t>中国工商银行股份有限公司</w:t>
            </w:r>
          </w:p>
        </w:tc>
      </w:tr>
      <w:tr w:rsidR="004273A3" w:rsidTr="0090447B">
        <w:tc>
          <w:tcPr>
            <w:tcW w:w="2076" w:type="dxa"/>
          </w:tcPr>
          <w:p w:rsidR="004273A3" w:rsidRDefault="004273A3" w:rsidP="004273A3">
            <w:pPr>
              <w:jc w:val="left"/>
            </w:pPr>
            <w:r>
              <w:rPr>
                <w:rFonts w:hint="eastAsia"/>
              </w:rPr>
              <w:t>基金合同生效日</w:t>
            </w:r>
          </w:p>
        </w:tc>
        <w:tc>
          <w:tcPr>
            <w:tcW w:w="6230" w:type="dxa"/>
            <w:gridSpan w:val="3"/>
          </w:tcPr>
          <w:p w:rsidR="004273A3" w:rsidRDefault="004273A3" w:rsidP="004273A3">
            <w:pPr>
              <w:jc w:val="left"/>
            </w:pPr>
            <w:r>
              <w:rPr>
                <w:rFonts w:hint="eastAsia"/>
              </w:rPr>
              <w:t>2019</w:t>
            </w:r>
            <w:r>
              <w:rPr>
                <w:rFonts w:hint="eastAsia"/>
              </w:rPr>
              <w:t>年</w:t>
            </w:r>
            <w:r>
              <w:rPr>
                <w:rFonts w:hint="eastAsia"/>
              </w:rPr>
              <w:t>12</w:t>
            </w:r>
            <w:r>
              <w:rPr>
                <w:rFonts w:hint="eastAsia"/>
              </w:rPr>
              <w:t>月</w:t>
            </w:r>
            <w:r>
              <w:rPr>
                <w:rFonts w:hint="eastAsia"/>
              </w:rPr>
              <w:t>19</w:t>
            </w:r>
            <w:r>
              <w:rPr>
                <w:rFonts w:hint="eastAsia"/>
              </w:rPr>
              <w:t>日</w:t>
            </w:r>
          </w:p>
        </w:tc>
      </w:tr>
      <w:tr w:rsidR="004273A3" w:rsidTr="004273A3">
        <w:tc>
          <w:tcPr>
            <w:tcW w:w="2076" w:type="dxa"/>
          </w:tcPr>
          <w:p w:rsidR="004273A3" w:rsidRDefault="004273A3" w:rsidP="004273A3">
            <w:pPr>
              <w:jc w:val="left"/>
            </w:pPr>
            <w:r>
              <w:rPr>
                <w:rFonts w:hint="eastAsia"/>
              </w:rPr>
              <w:t>基金类型</w:t>
            </w:r>
          </w:p>
        </w:tc>
        <w:tc>
          <w:tcPr>
            <w:tcW w:w="2076" w:type="dxa"/>
          </w:tcPr>
          <w:p w:rsidR="004273A3" w:rsidRDefault="004273A3" w:rsidP="004273A3">
            <w:pPr>
              <w:jc w:val="left"/>
            </w:pPr>
            <w:r>
              <w:rPr>
                <w:rFonts w:hint="eastAsia"/>
              </w:rPr>
              <w:t>股票型</w:t>
            </w:r>
          </w:p>
        </w:tc>
        <w:tc>
          <w:tcPr>
            <w:tcW w:w="2077" w:type="dxa"/>
          </w:tcPr>
          <w:p w:rsidR="004273A3" w:rsidRDefault="004273A3" w:rsidP="004273A3">
            <w:pPr>
              <w:jc w:val="left"/>
            </w:pPr>
            <w:r>
              <w:rPr>
                <w:rFonts w:hint="eastAsia"/>
              </w:rPr>
              <w:t>交易币种</w:t>
            </w:r>
          </w:p>
        </w:tc>
        <w:tc>
          <w:tcPr>
            <w:tcW w:w="2077" w:type="dxa"/>
          </w:tcPr>
          <w:p w:rsidR="004273A3" w:rsidRDefault="004273A3" w:rsidP="004273A3">
            <w:pPr>
              <w:jc w:val="left"/>
            </w:pPr>
            <w:r>
              <w:rPr>
                <w:rFonts w:hint="eastAsia"/>
              </w:rPr>
              <w:t>人民币</w:t>
            </w:r>
          </w:p>
        </w:tc>
      </w:tr>
      <w:tr w:rsidR="004273A3" w:rsidTr="00685E5D">
        <w:tc>
          <w:tcPr>
            <w:tcW w:w="2076" w:type="dxa"/>
          </w:tcPr>
          <w:p w:rsidR="004273A3" w:rsidRDefault="004273A3" w:rsidP="004273A3">
            <w:pPr>
              <w:jc w:val="left"/>
            </w:pPr>
            <w:r>
              <w:rPr>
                <w:rFonts w:hint="eastAsia"/>
              </w:rPr>
              <w:t>运作方式</w:t>
            </w:r>
          </w:p>
        </w:tc>
        <w:tc>
          <w:tcPr>
            <w:tcW w:w="6230" w:type="dxa"/>
            <w:gridSpan w:val="3"/>
          </w:tcPr>
          <w:p w:rsidR="004273A3" w:rsidRDefault="004273A3" w:rsidP="004273A3">
            <w:pPr>
              <w:jc w:val="left"/>
            </w:pPr>
            <w:r>
              <w:rPr>
                <w:rFonts w:hint="eastAsia"/>
              </w:rPr>
              <w:t>普通开放式</w:t>
            </w:r>
          </w:p>
        </w:tc>
      </w:tr>
      <w:tr w:rsidR="004273A3" w:rsidTr="00417886">
        <w:tc>
          <w:tcPr>
            <w:tcW w:w="2076" w:type="dxa"/>
          </w:tcPr>
          <w:p w:rsidR="004273A3" w:rsidRDefault="004273A3" w:rsidP="004273A3">
            <w:pPr>
              <w:jc w:val="left"/>
            </w:pPr>
            <w:r>
              <w:rPr>
                <w:rFonts w:hint="eastAsia"/>
              </w:rPr>
              <w:t>开放频率</w:t>
            </w:r>
          </w:p>
        </w:tc>
        <w:tc>
          <w:tcPr>
            <w:tcW w:w="6230" w:type="dxa"/>
            <w:gridSpan w:val="3"/>
          </w:tcPr>
          <w:p w:rsidR="004273A3" w:rsidRDefault="004273A3" w:rsidP="004273A3">
            <w:pPr>
              <w:jc w:val="left"/>
            </w:pPr>
            <w:r>
              <w:rPr>
                <w:rFonts w:hint="eastAsia"/>
              </w:rPr>
              <w:t>每个开放日</w:t>
            </w:r>
          </w:p>
        </w:tc>
      </w:tr>
      <w:tr w:rsidR="004273A3" w:rsidTr="004273A3">
        <w:tc>
          <w:tcPr>
            <w:tcW w:w="2076" w:type="dxa"/>
            <w:vMerge w:val="restart"/>
          </w:tcPr>
          <w:p w:rsidR="004273A3" w:rsidRDefault="004273A3" w:rsidP="004273A3">
            <w:pPr>
              <w:jc w:val="left"/>
            </w:pPr>
            <w:r>
              <w:rPr>
                <w:rFonts w:hint="eastAsia"/>
              </w:rPr>
              <w:t>基金经理</w:t>
            </w:r>
          </w:p>
        </w:tc>
        <w:tc>
          <w:tcPr>
            <w:tcW w:w="2076" w:type="dxa"/>
            <w:vMerge w:val="restart"/>
          </w:tcPr>
          <w:p w:rsidR="004273A3" w:rsidRDefault="004273A3" w:rsidP="004273A3">
            <w:pPr>
              <w:jc w:val="left"/>
            </w:pPr>
            <w:r>
              <w:rPr>
                <w:rFonts w:hint="eastAsia"/>
              </w:rPr>
              <w:t>章晖</w:t>
            </w:r>
          </w:p>
        </w:tc>
        <w:tc>
          <w:tcPr>
            <w:tcW w:w="2077" w:type="dxa"/>
          </w:tcPr>
          <w:p w:rsidR="004273A3" w:rsidRDefault="004273A3" w:rsidP="004273A3">
            <w:pPr>
              <w:jc w:val="left"/>
            </w:pPr>
            <w:r>
              <w:rPr>
                <w:rFonts w:hint="eastAsia"/>
              </w:rPr>
              <w:t>开始担任本基金基金经理的日期</w:t>
            </w:r>
          </w:p>
        </w:tc>
        <w:tc>
          <w:tcPr>
            <w:tcW w:w="2077" w:type="dxa"/>
          </w:tcPr>
          <w:p w:rsidR="004273A3" w:rsidRDefault="004273A3" w:rsidP="004273A3">
            <w:pPr>
              <w:jc w:val="left"/>
            </w:pPr>
            <w:r>
              <w:rPr>
                <w:rFonts w:hint="eastAsia"/>
              </w:rPr>
              <w:t>2019</w:t>
            </w:r>
            <w:r>
              <w:rPr>
                <w:rFonts w:hint="eastAsia"/>
              </w:rPr>
              <w:t>年</w:t>
            </w:r>
            <w:r>
              <w:rPr>
                <w:rFonts w:hint="eastAsia"/>
              </w:rPr>
              <w:t>12</w:t>
            </w:r>
            <w:r>
              <w:rPr>
                <w:rFonts w:hint="eastAsia"/>
              </w:rPr>
              <w:t>月</w:t>
            </w:r>
            <w:r>
              <w:rPr>
                <w:rFonts w:hint="eastAsia"/>
              </w:rPr>
              <w:t>19</w:t>
            </w:r>
            <w:r>
              <w:rPr>
                <w:rFonts w:hint="eastAsia"/>
              </w:rPr>
              <w:t>日</w:t>
            </w:r>
          </w:p>
        </w:tc>
      </w:tr>
      <w:tr w:rsidR="004273A3" w:rsidTr="004273A3">
        <w:tc>
          <w:tcPr>
            <w:tcW w:w="2076" w:type="dxa"/>
            <w:vMerge/>
          </w:tcPr>
          <w:p w:rsidR="004273A3" w:rsidRDefault="004273A3" w:rsidP="004273A3">
            <w:pPr>
              <w:jc w:val="left"/>
            </w:pPr>
          </w:p>
        </w:tc>
        <w:tc>
          <w:tcPr>
            <w:tcW w:w="2076" w:type="dxa"/>
            <w:vMerge/>
          </w:tcPr>
          <w:p w:rsidR="004273A3" w:rsidRDefault="004273A3" w:rsidP="004273A3">
            <w:pPr>
              <w:jc w:val="left"/>
            </w:pPr>
          </w:p>
        </w:tc>
        <w:tc>
          <w:tcPr>
            <w:tcW w:w="2077" w:type="dxa"/>
          </w:tcPr>
          <w:p w:rsidR="004273A3" w:rsidRDefault="004273A3" w:rsidP="004273A3">
            <w:pPr>
              <w:jc w:val="left"/>
            </w:pPr>
            <w:r>
              <w:rPr>
                <w:rFonts w:hint="eastAsia"/>
              </w:rPr>
              <w:t>证券从业日期</w:t>
            </w:r>
          </w:p>
        </w:tc>
        <w:tc>
          <w:tcPr>
            <w:tcW w:w="2077" w:type="dxa"/>
          </w:tcPr>
          <w:p w:rsidR="004273A3" w:rsidRDefault="004273A3" w:rsidP="004273A3">
            <w:pPr>
              <w:jc w:val="left"/>
            </w:pPr>
            <w:r>
              <w:rPr>
                <w:rFonts w:hint="eastAsia"/>
              </w:rPr>
              <w:t>2009</w:t>
            </w:r>
            <w:r>
              <w:rPr>
                <w:rFonts w:hint="eastAsia"/>
              </w:rPr>
              <w:t>年</w:t>
            </w:r>
            <w:r>
              <w:rPr>
                <w:rFonts w:hint="eastAsia"/>
              </w:rPr>
              <w:t>7</w:t>
            </w:r>
            <w:r>
              <w:rPr>
                <w:rFonts w:hint="eastAsia"/>
              </w:rPr>
              <w:t>月</w:t>
            </w:r>
            <w:r>
              <w:rPr>
                <w:rFonts w:hint="eastAsia"/>
              </w:rPr>
              <w:t>16</w:t>
            </w:r>
            <w:r>
              <w:rPr>
                <w:rFonts w:hint="eastAsia"/>
              </w:rPr>
              <w:t>日</w:t>
            </w:r>
          </w:p>
        </w:tc>
      </w:tr>
    </w:tbl>
    <w:p w:rsidR="004273A3" w:rsidRDefault="004273A3" w:rsidP="004273A3">
      <w:pPr>
        <w:pStyle w:val="-1"/>
        <w:spacing w:before="156" w:after="156"/>
        <w:rPr>
          <w:rFonts w:hint="eastAsia"/>
        </w:rPr>
      </w:pPr>
      <w:r>
        <w:rPr>
          <w:rFonts w:hint="eastAsia"/>
        </w:rPr>
        <w:t>二、基金投资与净值表现</w:t>
      </w:r>
    </w:p>
    <w:p w:rsidR="004273A3" w:rsidRDefault="004273A3" w:rsidP="004273A3">
      <w:pPr>
        <w:pStyle w:val="-2"/>
        <w:spacing w:before="156" w:after="156"/>
        <w:rPr>
          <w:rFonts w:hint="eastAsia"/>
        </w:rPr>
      </w:pPr>
      <w:r>
        <w:rPr>
          <w:rFonts w:hint="eastAsia"/>
        </w:rPr>
        <w:t>（一）</w:t>
      </w:r>
      <w:r>
        <w:rPr>
          <w:rFonts w:hint="eastAsia"/>
        </w:rPr>
        <w:t xml:space="preserve"> </w:t>
      </w:r>
      <w:r>
        <w:rPr>
          <w:rFonts w:hint="eastAsia"/>
        </w:rPr>
        <w:t>投资目标与投资策略</w:t>
      </w:r>
    </w:p>
    <w:p w:rsidR="004273A3" w:rsidRDefault="004273A3" w:rsidP="004273A3">
      <w:pPr>
        <w:pStyle w:val="-7"/>
        <w:ind w:firstLine="420"/>
        <w:rPr>
          <w:rFonts w:hint="eastAsia"/>
        </w:rPr>
      </w:pPr>
      <w:r>
        <w:rPr>
          <w:rFonts w:hint="eastAsia"/>
        </w:rPr>
        <w:t>注</w:t>
      </w:r>
      <w:r>
        <w:rPr>
          <w:rFonts w:hint="eastAsia"/>
        </w:rPr>
        <w:t>:</w:t>
      </w:r>
      <w:r>
        <w:rPr>
          <w:rFonts w:hint="eastAsia"/>
        </w:rPr>
        <w:t>详见《南方</w:t>
      </w:r>
      <w:r>
        <w:rPr>
          <w:rFonts w:hint="eastAsia"/>
        </w:rPr>
        <w:t>ESG</w:t>
      </w:r>
      <w:r>
        <w:rPr>
          <w:rFonts w:hint="eastAsia"/>
        </w:rPr>
        <w:t>主题股票型证券投资基金招募说明书》第九部分“基金的投资”。</w:t>
      </w:r>
    </w:p>
    <w:tbl>
      <w:tblPr>
        <w:tblStyle w:val="-noheader"/>
        <w:tblW w:w="8505" w:type="dxa"/>
        <w:tblLayout w:type="fixed"/>
        <w:tblLook w:val="04A0" w:firstRow="1" w:lastRow="0" w:firstColumn="1" w:lastColumn="0" w:noHBand="0" w:noVBand="1"/>
      </w:tblPr>
      <w:tblGrid>
        <w:gridCol w:w="1701"/>
        <w:gridCol w:w="6804"/>
      </w:tblGrid>
      <w:tr w:rsidR="004273A3" w:rsidTr="004273A3">
        <w:tc>
          <w:tcPr>
            <w:tcW w:w="1701" w:type="dxa"/>
          </w:tcPr>
          <w:p w:rsidR="004273A3" w:rsidRDefault="004273A3" w:rsidP="004273A3">
            <w:pPr>
              <w:pStyle w:val="-7"/>
              <w:shd w:val="clear" w:color="auto" w:fill="auto"/>
              <w:ind w:firstLineChars="0" w:firstLine="0"/>
              <w:jc w:val="left"/>
            </w:pPr>
            <w:r>
              <w:rPr>
                <w:rFonts w:hint="eastAsia"/>
              </w:rPr>
              <w:t>投资目标</w:t>
            </w:r>
          </w:p>
        </w:tc>
        <w:tc>
          <w:tcPr>
            <w:tcW w:w="6804" w:type="dxa"/>
          </w:tcPr>
          <w:p w:rsidR="004273A3" w:rsidRDefault="004273A3" w:rsidP="004273A3">
            <w:pPr>
              <w:pStyle w:val="-7"/>
              <w:shd w:val="clear" w:color="auto" w:fill="auto"/>
              <w:ind w:firstLineChars="0" w:firstLine="0"/>
              <w:jc w:val="left"/>
            </w:pPr>
            <w:r>
              <w:rPr>
                <w:rFonts w:hint="eastAsia"/>
              </w:rPr>
              <w:t>在严格控制组合风险并保持良好流动性的前提下，通过专业化研究分析，力争实现基金资产的长期稳定增值。</w:t>
            </w:r>
          </w:p>
        </w:tc>
      </w:tr>
      <w:tr w:rsidR="004273A3" w:rsidTr="004273A3">
        <w:tc>
          <w:tcPr>
            <w:tcW w:w="1701" w:type="dxa"/>
          </w:tcPr>
          <w:p w:rsidR="004273A3" w:rsidRDefault="004273A3" w:rsidP="004273A3">
            <w:pPr>
              <w:pStyle w:val="-7"/>
              <w:shd w:val="clear" w:color="auto" w:fill="auto"/>
              <w:ind w:firstLineChars="0" w:firstLine="0"/>
              <w:jc w:val="left"/>
            </w:pPr>
            <w:r>
              <w:rPr>
                <w:rFonts w:hint="eastAsia"/>
              </w:rPr>
              <w:t>投资范围</w:t>
            </w:r>
          </w:p>
        </w:tc>
        <w:tc>
          <w:tcPr>
            <w:tcW w:w="6804" w:type="dxa"/>
          </w:tcPr>
          <w:p w:rsidR="004273A3" w:rsidRDefault="004273A3" w:rsidP="004273A3">
            <w:pPr>
              <w:pStyle w:val="-7"/>
              <w:shd w:val="clear" w:color="auto" w:fill="auto"/>
              <w:ind w:firstLineChars="0" w:firstLine="0"/>
              <w:jc w:val="left"/>
            </w:pPr>
            <w:r>
              <w:rPr>
                <w:rFonts w:hint="eastAsia"/>
              </w:rPr>
              <w:t>本基金的投资范围包括国内依法发行上市的股票（包括主板、中小板、创业板及其他经中国证监会核准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股指期货、国债期货以及经中国证监会允许基金投资的其他金融工具，但需符合中国证监会的相关规定。</w:t>
            </w:r>
          </w:p>
          <w:p w:rsidR="004273A3" w:rsidRDefault="004273A3" w:rsidP="004273A3">
            <w:pPr>
              <w:pStyle w:val="-7"/>
              <w:shd w:val="clear" w:color="auto" w:fill="auto"/>
              <w:ind w:firstLineChars="0" w:firstLine="0"/>
              <w:jc w:val="left"/>
            </w:pPr>
            <w:r>
              <w:rPr>
                <w:rFonts w:hint="eastAsia"/>
              </w:rPr>
              <w:t>本基金股票（含存托凭证）投资占基金资产的比例范围为</w:t>
            </w:r>
            <w:r>
              <w:t>80%-95%</w:t>
            </w:r>
            <w:r>
              <w:t>（其中港股通股票最高投资比例不得超过股票资产的</w:t>
            </w:r>
            <w:r>
              <w:t>50%</w:t>
            </w:r>
            <w:r>
              <w:t>），其中投资于</w:t>
            </w:r>
            <w:r>
              <w:t>ESG</w:t>
            </w:r>
            <w:r>
              <w:t>主题证券资产占非现金基金资产的比例不低于</w:t>
            </w:r>
            <w:r>
              <w:t>80%</w:t>
            </w:r>
            <w:r>
              <w:t>。本基金每个交易日日终在扣除股指期货和国债期货合约需缴纳的交易保证金后，应当</w:t>
            </w:r>
            <w:r>
              <w:lastRenderedPageBreak/>
              <w:t>保持不低于基金资产净值</w:t>
            </w:r>
            <w:r>
              <w:t>5%</w:t>
            </w:r>
            <w:r>
              <w:t>的现金或者到期日在一年以内的政府债券。其中现金不包括结算备付金、存出保证金、应收申购款等。</w:t>
            </w:r>
          </w:p>
          <w:p w:rsidR="004273A3" w:rsidRDefault="004273A3" w:rsidP="004273A3">
            <w:pPr>
              <w:pStyle w:val="-7"/>
              <w:shd w:val="clear" w:color="auto" w:fill="auto"/>
              <w:ind w:firstLineChars="0" w:firstLine="0"/>
              <w:jc w:val="left"/>
            </w:pPr>
            <w:r>
              <w:rPr>
                <w:rFonts w:hint="eastAsia"/>
              </w:rPr>
              <w:t>如法律法规或监管机构以后允许基金投资其他品种，基金管理人在履行适当程序后，可以将其纳入投资范围。</w:t>
            </w:r>
          </w:p>
        </w:tc>
      </w:tr>
      <w:tr w:rsidR="004273A3" w:rsidTr="004273A3">
        <w:tc>
          <w:tcPr>
            <w:tcW w:w="1701" w:type="dxa"/>
          </w:tcPr>
          <w:p w:rsidR="004273A3" w:rsidRDefault="004273A3" w:rsidP="004273A3">
            <w:pPr>
              <w:pStyle w:val="-7"/>
              <w:shd w:val="clear" w:color="auto" w:fill="auto"/>
              <w:ind w:firstLineChars="0" w:firstLine="0"/>
              <w:jc w:val="left"/>
            </w:pPr>
            <w:r>
              <w:rPr>
                <w:rFonts w:hint="eastAsia"/>
              </w:rPr>
              <w:lastRenderedPageBreak/>
              <w:t>主要投资策略</w:t>
            </w:r>
          </w:p>
        </w:tc>
        <w:tc>
          <w:tcPr>
            <w:tcW w:w="6804" w:type="dxa"/>
          </w:tcPr>
          <w:p w:rsidR="004273A3" w:rsidRDefault="004273A3" w:rsidP="004273A3">
            <w:pPr>
              <w:pStyle w:val="-7"/>
              <w:shd w:val="clear" w:color="auto" w:fill="auto"/>
              <w:ind w:firstLineChars="0" w:firstLine="0"/>
              <w:jc w:val="left"/>
            </w:pPr>
            <w:r>
              <w:rPr>
                <w:rFonts w:hint="eastAsia"/>
              </w:rPr>
              <w:t>本基金投资组合中股票资产占基金资产的比例不低于</w:t>
            </w:r>
            <w:r>
              <w:t>80%</w:t>
            </w:r>
            <w:r>
              <w:t>，大类资产配置不作为本基金的核心策略。依托于基金管理人的投资研究平台，优选各个行业中在</w:t>
            </w:r>
            <w:r>
              <w:t>ESG</w:t>
            </w:r>
            <w:r>
              <w:t>方面表现突出的上市公司，努力挖掘质地优秀、具备长期价值增长潜力的上市公司。股票投资采用定量和定性分析相结合的策略。主要投资策略包括：</w:t>
            </w:r>
            <w:r>
              <w:t>1</w:t>
            </w:r>
            <w:r>
              <w:t>、资产配置策略；</w:t>
            </w:r>
            <w:r>
              <w:t>2</w:t>
            </w:r>
            <w:r>
              <w:t>、股票投资策略；</w:t>
            </w:r>
            <w:r>
              <w:t>3</w:t>
            </w:r>
            <w:r>
              <w:t>、债券投资策略；</w:t>
            </w:r>
            <w:r>
              <w:t>4</w:t>
            </w:r>
            <w:r>
              <w:t>、股指期货等投资策略；</w:t>
            </w:r>
            <w:r>
              <w:t>5</w:t>
            </w:r>
            <w:r>
              <w:t>、国债期货等投资策略；</w:t>
            </w:r>
            <w:r>
              <w:t>6</w:t>
            </w:r>
            <w:r>
              <w:t>、资产支持证券投资策略</w:t>
            </w:r>
          </w:p>
        </w:tc>
      </w:tr>
      <w:tr w:rsidR="004273A3" w:rsidTr="004273A3">
        <w:tc>
          <w:tcPr>
            <w:tcW w:w="1701" w:type="dxa"/>
          </w:tcPr>
          <w:p w:rsidR="004273A3" w:rsidRDefault="004273A3" w:rsidP="004273A3">
            <w:pPr>
              <w:pStyle w:val="-7"/>
              <w:shd w:val="clear" w:color="auto" w:fill="auto"/>
              <w:ind w:firstLineChars="0" w:firstLine="0"/>
              <w:jc w:val="left"/>
            </w:pPr>
            <w:r>
              <w:rPr>
                <w:rFonts w:hint="eastAsia"/>
              </w:rPr>
              <w:t>业绩比较基准</w:t>
            </w:r>
          </w:p>
        </w:tc>
        <w:tc>
          <w:tcPr>
            <w:tcW w:w="6804" w:type="dxa"/>
          </w:tcPr>
          <w:p w:rsidR="004273A3" w:rsidRDefault="004273A3" w:rsidP="004273A3">
            <w:pPr>
              <w:pStyle w:val="-7"/>
              <w:shd w:val="clear" w:color="auto" w:fill="auto"/>
              <w:ind w:firstLineChars="0" w:firstLine="0"/>
              <w:jc w:val="left"/>
            </w:pPr>
            <w:r>
              <w:rPr>
                <w:rFonts w:hint="eastAsia"/>
              </w:rPr>
              <w:t>中证中财沪深</w:t>
            </w:r>
            <w:r>
              <w:t>100ESG</w:t>
            </w:r>
            <w:r>
              <w:t>领先指数收益率</w:t>
            </w:r>
            <w:r>
              <w:t>×75%</w:t>
            </w:r>
            <w:r>
              <w:t>＋中证港股通综合指数（人民币）收益率</w:t>
            </w:r>
            <w:r>
              <w:t>×10%+</w:t>
            </w:r>
            <w:r>
              <w:t>上证国债指数收益率</w:t>
            </w:r>
            <w:r>
              <w:t>×15%</w:t>
            </w:r>
          </w:p>
        </w:tc>
      </w:tr>
      <w:tr w:rsidR="004273A3" w:rsidTr="004273A3">
        <w:tc>
          <w:tcPr>
            <w:tcW w:w="1701" w:type="dxa"/>
          </w:tcPr>
          <w:p w:rsidR="004273A3" w:rsidRDefault="004273A3" w:rsidP="004273A3">
            <w:pPr>
              <w:pStyle w:val="-7"/>
              <w:shd w:val="clear" w:color="auto" w:fill="auto"/>
              <w:ind w:firstLineChars="0" w:firstLine="0"/>
              <w:jc w:val="left"/>
            </w:pPr>
            <w:r>
              <w:rPr>
                <w:rFonts w:hint="eastAsia"/>
              </w:rPr>
              <w:t>风险收益特征</w:t>
            </w:r>
          </w:p>
        </w:tc>
        <w:tc>
          <w:tcPr>
            <w:tcW w:w="6804" w:type="dxa"/>
          </w:tcPr>
          <w:p w:rsidR="004273A3" w:rsidRDefault="004273A3" w:rsidP="004273A3">
            <w:pPr>
              <w:pStyle w:val="-7"/>
              <w:shd w:val="clear" w:color="auto" w:fill="auto"/>
              <w:ind w:firstLineChars="0" w:firstLine="0"/>
              <w:jc w:val="left"/>
            </w:pPr>
            <w:r>
              <w:rPr>
                <w:rFonts w:hint="eastAsia"/>
              </w:rPr>
              <w:t>本基金为股票型基金，一般而言，其长期平均风险和预期收益率高于债券型基金、货币市场基金和混合型基金。本基金可投资港股通股票，除了需要承担与境内证券投资基金类似的市场波动风险等一般投资风险之外，本基金还面临汇率风险、香港市场风险等境外证券市场投资所面临的特别投资风险。</w:t>
            </w:r>
          </w:p>
        </w:tc>
      </w:tr>
    </w:tbl>
    <w:p w:rsidR="004273A3" w:rsidRDefault="004273A3" w:rsidP="004273A3">
      <w:pPr>
        <w:pStyle w:val="-2"/>
        <w:spacing w:before="156" w:after="156"/>
      </w:pPr>
      <w:r>
        <w:rPr>
          <w:rFonts w:hint="eastAsia"/>
        </w:rPr>
        <w:t>（二）</w:t>
      </w:r>
      <w:r>
        <w:t xml:space="preserve"> </w:t>
      </w:r>
      <w:r>
        <w:t>投资组合资产配置图表</w:t>
      </w:r>
      <w:r>
        <w:t>/</w:t>
      </w:r>
      <w:r>
        <w:t>区域配置图表</w:t>
      </w:r>
    </w:p>
    <w:p w:rsidR="004273A3" w:rsidRDefault="004273A3" w:rsidP="004273A3">
      <w:r>
        <w:rPr>
          <w:noProof/>
        </w:rPr>
        <w:drawing>
          <wp:inline distT="0" distB="0" distL="0" distR="0">
            <wp:extent cx="5274310" cy="2588260"/>
            <wp:effectExtent l="0" t="0" r="2540" b="254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2588260"/>
                    </a:xfrm>
                    <a:prstGeom prst="rect">
                      <a:avLst/>
                    </a:prstGeom>
                  </pic:spPr>
                </pic:pic>
              </a:graphicData>
            </a:graphic>
          </wp:inline>
        </w:drawing>
      </w:r>
    </w:p>
    <w:p w:rsidR="004273A3" w:rsidRDefault="004273A3" w:rsidP="004273A3">
      <w:pPr>
        <w:pStyle w:val="-2"/>
        <w:spacing w:before="156" w:after="156"/>
        <w:rPr>
          <w:rFonts w:hint="eastAsia"/>
        </w:rPr>
      </w:pPr>
      <w:r>
        <w:rPr>
          <w:rFonts w:hint="eastAsia"/>
        </w:rPr>
        <w:t>（三）</w:t>
      </w:r>
      <w:r>
        <w:rPr>
          <w:rFonts w:hint="eastAsia"/>
        </w:rPr>
        <w:t xml:space="preserve"> </w:t>
      </w:r>
      <w:r>
        <w:rPr>
          <w:rFonts w:hint="eastAsia"/>
        </w:rPr>
        <w:t>自基金合同生效以来基金每年的净值增长率及与同期业绩比较基准的比较图</w:t>
      </w:r>
    </w:p>
    <w:p w:rsidR="004273A3" w:rsidRDefault="004273A3" w:rsidP="004273A3">
      <w:r>
        <w:rPr>
          <w:noProof/>
        </w:rPr>
        <w:lastRenderedPageBreak/>
        <w:drawing>
          <wp:inline distT="0" distB="0" distL="0" distR="0">
            <wp:extent cx="5274310" cy="3523615"/>
            <wp:effectExtent l="0" t="0" r="2540" b="635"/>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523615"/>
                    </a:xfrm>
                    <a:prstGeom prst="rect">
                      <a:avLst/>
                    </a:prstGeom>
                  </pic:spPr>
                </pic:pic>
              </a:graphicData>
            </a:graphic>
          </wp:inline>
        </w:drawing>
      </w:r>
    </w:p>
    <w:p w:rsidR="004273A3" w:rsidRDefault="004273A3" w:rsidP="004273A3">
      <w:pPr>
        <w:pStyle w:val="-"/>
        <w:ind w:firstLine="420"/>
        <w:rPr>
          <w:rFonts w:hint="eastAsia"/>
        </w:rPr>
      </w:pPr>
      <w:r>
        <w:rPr>
          <w:rFonts w:hint="eastAsia"/>
        </w:rPr>
        <w:t>截至相关披露时点，本基金尚未完成建仓。</w:t>
      </w:r>
    </w:p>
    <w:p w:rsidR="004273A3" w:rsidRDefault="004273A3" w:rsidP="004273A3">
      <w:pPr>
        <w:pStyle w:val="-1"/>
        <w:spacing w:before="156" w:after="156"/>
        <w:rPr>
          <w:rFonts w:hint="eastAsia"/>
        </w:rPr>
      </w:pPr>
      <w:r>
        <w:rPr>
          <w:rFonts w:hint="eastAsia"/>
        </w:rPr>
        <w:t>三、投资本基金涉及的费用</w:t>
      </w:r>
    </w:p>
    <w:p w:rsidR="004273A3" w:rsidRDefault="004273A3" w:rsidP="004273A3">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4273A3" w:rsidTr="004273A3">
        <w:tc>
          <w:tcPr>
            <w:tcW w:w="2076" w:type="dxa"/>
          </w:tcPr>
          <w:p w:rsidR="004273A3" w:rsidRDefault="004273A3" w:rsidP="004273A3">
            <w:pPr>
              <w:jc w:val="center"/>
            </w:pPr>
            <w:r>
              <w:rPr>
                <w:rFonts w:hint="eastAsia"/>
              </w:rPr>
              <w:t>费用类型</w:t>
            </w:r>
          </w:p>
        </w:tc>
        <w:tc>
          <w:tcPr>
            <w:tcW w:w="2076" w:type="dxa"/>
          </w:tcPr>
          <w:p w:rsidR="004273A3" w:rsidRDefault="004273A3" w:rsidP="004273A3">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4273A3" w:rsidRDefault="004273A3" w:rsidP="004273A3">
            <w:pPr>
              <w:jc w:val="center"/>
            </w:pPr>
            <w:r>
              <w:rPr>
                <w:rFonts w:hint="eastAsia"/>
              </w:rPr>
              <w:t>收费方式</w:t>
            </w:r>
            <w:r>
              <w:rPr>
                <w:rFonts w:hint="eastAsia"/>
              </w:rPr>
              <w:t>/</w:t>
            </w:r>
            <w:r>
              <w:rPr>
                <w:rFonts w:hint="eastAsia"/>
              </w:rPr>
              <w:t>费率</w:t>
            </w:r>
          </w:p>
        </w:tc>
        <w:tc>
          <w:tcPr>
            <w:tcW w:w="2077" w:type="dxa"/>
          </w:tcPr>
          <w:p w:rsidR="004273A3" w:rsidRDefault="004273A3" w:rsidP="004273A3">
            <w:pPr>
              <w:jc w:val="center"/>
            </w:pPr>
            <w:r>
              <w:rPr>
                <w:rFonts w:hint="eastAsia"/>
              </w:rPr>
              <w:t>备注</w:t>
            </w:r>
          </w:p>
        </w:tc>
      </w:tr>
      <w:tr w:rsidR="004273A3" w:rsidTr="004273A3">
        <w:tc>
          <w:tcPr>
            <w:tcW w:w="2076" w:type="dxa"/>
            <w:vMerge w:val="restart"/>
          </w:tcPr>
          <w:p w:rsidR="004273A3" w:rsidRDefault="004273A3" w:rsidP="004273A3">
            <w:pPr>
              <w:jc w:val="center"/>
            </w:pPr>
            <w:r>
              <w:rPr>
                <w:rFonts w:hint="eastAsia"/>
              </w:rPr>
              <w:t>赎回费</w:t>
            </w:r>
          </w:p>
        </w:tc>
        <w:tc>
          <w:tcPr>
            <w:tcW w:w="2076" w:type="dxa"/>
          </w:tcPr>
          <w:p w:rsidR="004273A3" w:rsidRDefault="004273A3" w:rsidP="004273A3">
            <w:pPr>
              <w:jc w:val="left"/>
            </w:pPr>
            <w:r>
              <w:rPr>
                <w:rFonts w:hint="eastAsia"/>
              </w:rPr>
              <w:t>N&lt; 7</w:t>
            </w:r>
            <w:r>
              <w:rPr>
                <w:rFonts w:hint="eastAsia"/>
              </w:rPr>
              <w:t>天</w:t>
            </w:r>
          </w:p>
        </w:tc>
        <w:tc>
          <w:tcPr>
            <w:tcW w:w="2077" w:type="dxa"/>
          </w:tcPr>
          <w:p w:rsidR="004273A3" w:rsidRDefault="004273A3" w:rsidP="004273A3">
            <w:pPr>
              <w:jc w:val="right"/>
            </w:pPr>
            <w:r>
              <w:t>1.5%</w:t>
            </w:r>
          </w:p>
        </w:tc>
        <w:tc>
          <w:tcPr>
            <w:tcW w:w="2077" w:type="dxa"/>
          </w:tcPr>
          <w:p w:rsidR="004273A3" w:rsidRDefault="004273A3" w:rsidP="004273A3">
            <w:pPr>
              <w:jc w:val="right"/>
            </w:pPr>
            <w:r>
              <w:t>-</w:t>
            </w:r>
          </w:p>
        </w:tc>
      </w:tr>
      <w:tr w:rsidR="004273A3" w:rsidTr="004273A3">
        <w:tc>
          <w:tcPr>
            <w:tcW w:w="2076" w:type="dxa"/>
            <w:vMerge/>
          </w:tcPr>
          <w:p w:rsidR="004273A3" w:rsidRDefault="004273A3" w:rsidP="004273A3">
            <w:pPr>
              <w:jc w:val="left"/>
            </w:pPr>
          </w:p>
        </w:tc>
        <w:tc>
          <w:tcPr>
            <w:tcW w:w="2076" w:type="dxa"/>
          </w:tcPr>
          <w:p w:rsidR="004273A3" w:rsidRDefault="004273A3" w:rsidP="004273A3">
            <w:pPr>
              <w:jc w:val="left"/>
            </w:pPr>
            <w:r>
              <w:rPr>
                <w:rFonts w:hint="eastAsia"/>
              </w:rPr>
              <w:t>7</w:t>
            </w:r>
            <w:r>
              <w:rPr>
                <w:rFonts w:hint="eastAsia"/>
              </w:rPr>
              <w:t>天≤</w:t>
            </w:r>
            <w:r>
              <w:rPr>
                <w:rFonts w:hint="eastAsia"/>
              </w:rPr>
              <w:t xml:space="preserve"> N&lt; 30</w:t>
            </w:r>
            <w:r>
              <w:rPr>
                <w:rFonts w:hint="eastAsia"/>
              </w:rPr>
              <w:t>天</w:t>
            </w:r>
          </w:p>
        </w:tc>
        <w:tc>
          <w:tcPr>
            <w:tcW w:w="2077" w:type="dxa"/>
          </w:tcPr>
          <w:p w:rsidR="004273A3" w:rsidRDefault="004273A3" w:rsidP="004273A3">
            <w:pPr>
              <w:jc w:val="right"/>
            </w:pPr>
            <w:r>
              <w:t>0.5%</w:t>
            </w:r>
          </w:p>
        </w:tc>
        <w:tc>
          <w:tcPr>
            <w:tcW w:w="2077" w:type="dxa"/>
          </w:tcPr>
          <w:p w:rsidR="004273A3" w:rsidRDefault="004273A3" w:rsidP="004273A3">
            <w:pPr>
              <w:jc w:val="right"/>
            </w:pPr>
            <w:r>
              <w:t>-</w:t>
            </w:r>
          </w:p>
        </w:tc>
      </w:tr>
      <w:tr w:rsidR="004273A3" w:rsidTr="004273A3">
        <w:tc>
          <w:tcPr>
            <w:tcW w:w="2076" w:type="dxa"/>
            <w:vMerge/>
          </w:tcPr>
          <w:p w:rsidR="004273A3" w:rsidRDefault="004273A3" w:rsidP="004273A3">
            <w:pPr>
              <w:jc w:val="left"/>
            </w:pPr>
          </w:p>
        </w:tc>
        <w:tc>
          <w:tcPr>
            <w:tcW w:w="2076" w:type="dxa"/>
          </w:tcPr>
          <w:p w:rsidR="004273A3" w:rsidRDefault="004273A3" w:rsidP="004273A3">
            <w:pPr>
              <w:jc w:val="left"/>
            </w:pPr>
            <w:r>
              <w:rPr>
                <w:rFonts w:hint="eastAsia"/>
              </w:rPr>
              <w:t>30</w:t>
            </w:r>
            <w:r>
              <w:rPr>
                <w:rFonts w:hint="eastAsia"/>
              </w:rPr>
              <w:t>天≤</w:t>
            </w:r>
            <w:r>
              <w:rPr>
                <w:rFonts w:hint="eastAsia"/>
              </w:rPr>
              <w:t xml:space="preserve"> N</w:t>
            </w:r>
          </w:p>
        </w:tc>
        <w:tc>
          <w:tcPr>
            <w:tcW w:w="2077" w:type="dxa"/>
          </w:tcPr>
          <w:p w:rsidR="004273A3" w:rsidRDefault="004273A3" w:rsidP="004273A3">
            <w:pPr>
              <w:jc w:val="right"/>
            </w:pPr>
            <w:r>
              <w:t>0%</w:t>
            </w:r>
          </w:p>
        </w:tc>
        <w:tc>
          <w:tcPr>
            <w:tcW w:w="2077" w:type="dxa"/>
          </w:tcPr>
          <w:p w:rsidR="004273A3" w:rsidRDefault="004273A3" w:rsidP="004273A3">
            <w:pPr>
              <w:jc w:val="right"/>
            </w:pPr>
            <w:r>
              <w:t>-</w:t>
            </w:r>
          </w:p>
        </w:tc>
      </w:tr>
    </w:tbl>
    <w:p w:rsidR="004273A3" w:rsidRDefault="004273A3" w:rsidP="004273A3">
      <w:pPr>
        <w:pStyle w:val="-"/>
        <w:ind w:firstLine="420"/>
        <w:rPr>
          <w:rFonts w:hint="eastAsia"/>
        </w:rPr>
      </w:pPr>
      <w:r>
        <w:rPr>
          <w:rFonts w:hint="eastAsia"/>
        </w:rPr>
        <w:t>本基金</w:t>
      </w:r>
      <w:r>
        <w:rPr>
          <w:rFonts w:hint="eastAsia"/>
        </w:rPr>
        <w:t>C</w:t>
      </w:r>
      <w:r>
        <w:rPr>
          <w:rFonts w:hint="eastAsia"/>
        </w:rPr>
        <w:t>类份额无认购费</w:t>
      </w:r>
    </w:p>
    <w:p w:rsidR="004273A3" w:rsidRDefault="004273A3" w:rsidP="004273A3">
      <w:pPr>
        <w:pStyle w:val="-"/>
        <w:ind w:firstLine="420"/>
      </w:pPr>
      <w:r>
        <w:rPr>
          <w:rFonts w:hint="eastAsia"/>
        </w:rPr>
        <w:t>本基金</w:t>
      </w:r>
      <w:r>
        <w:t>C</w:t>
      </w:r>
      <w:r>
        <w:t>类份额无申购费</w:t>
      </w:r>
    </w:p>
    <w:p w:rsidR="004273A3" w:rsidRDefault="004273A3" w:rsidP="004273A3">
      <w:pPr>
        <w:pStyle w:val="-2"/>
        <w:spacing w:before="156" w:after="156"/>
      </w:pPr>
      <w:r>
        <w:rPr>
          <w:rFonts w:hint="eastAsia"/>
        </w:rPr>
        <w:t>（二）</w:t>
      </w:r>
      <w:r>
        <w:t xml:space="preserve"> </w:t>
      </w:r>
      <w: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4273A3" w:rsidTr="004273A3">
        <w:tc>
          <w:tcPr>
            <w:tcW w:w="2768" w:type="dxa"/>
          </w:tcPr>
          <w:p w:rsidR="004273A3" w:rsidRDefault="004273A3" w:rsidP="004273A3">
            <w:pPr>
              <w:jc w:val="left"/>
            </w:pPr>
            <w:r>
              <w:rPr>
                <w:rFonts w:hint="eastAsia"/>
              </w:rPr>
              <w:t>费用类别</w:t>
            </w:r>
          </w:p>
        </w:tc>
        <w:tc>
          <w:tcPr>
            <w:tcW w:w="2769" w:type="dxa"/>
          </w:tcPr>
          <w:p w:rsidR="004273A3" w:rsidRDefault="004273A3" w:rsidP="004273A3">
            <w:pPr>
              <w:jc w:val="left"/>
            </w:pPr>
            <w:r>
              <w:rPr>
                <w:rFonts w:hint="eastAsia"/>
              </w:rPr>
              <w:t>收费方式</w:t>
            </w:r>
          </w:p>
        </w:tc>
        <w:tc>
          <w:tcPr>
            <w:tcW w:w="2769" w:type="dxa"/>
          </w:tcPr>
          <w:p w:rsidR="004273A3" w:rsidRDefault="004273A3" w:rsidP="004273A3">
            <w:pPr>
              <w:jc w:val="left"/>
            </w:pPr>
            <w:r>
              <w:rPr>
                <w:rFonts w:hint="eastAsia"/>
              </w:rPr>
              <w:t>年费率</w:t>
            </w:r>
          </w:p>
        </w:tc>
      </w:tr>
      <w:tr w:rsidR="004273A3" w:rsidTr="004273A3">
        <w:tc>
          <w:tcPr>
            <w:tcW w:w="2768" w:type="dxa"/>
          </w:tcPr>
          <w:p w:rsidR="004273A3" w:rsidRDefault="004273A3" w:rsidP="004273A3">
            <w:pPr>
              <w:jc w:val="left"/>
            </w:pPr>
            <w:r>
              <w:rPr>
                <w:rFonts w:hint="eastAsia"/>
              </w:rPr>
              <w:t>管理费</w:t>
            </w:r>
          </w:p>
        </w:tc>
        <w:tc>
          <w:tcPr>
            <w:tcW w:w="2769" w:type="dxa"/>
          </w:tcPr>
          <w:p w:rsidR="004273A3" w:rsidRDefault="004273A3" w:rsidP="004273A3">
            <w:pPr>
              <w:jc w:val="right"/>
            </w:pPr>
            <w:r>
              <w:t>-</w:t>
            </w:r>
          </w:p>
        </w:tc>
        <w:tc>
          <w:tcPr>
            <w:tcW w:w="2769" w:type="dxa"/>
          </w:tcPr>
          <w:p w:rsidR="004273A3" w:rsidRDefault="004273A3" w:rsidP="004273A3">
            <w:pPr>
              <w:jc w:val="right"/>
            </w:pPr>
            <w:r>
              <w:t>1.50%</w:t>
            </w:r>
          </w:p>
        </w:tc>
      </w:tr>
      <w:tr w:rsidR="004273A3" w:rsidTr="004273A3">
        <w:tc>
          <w:tcPr>
            <w:tcW w:w="2768" w:type="dxa"/>
          </w:tcPr>
          <w:p w:rsidR="004273A3" w:rsidRDefault="004273A3" w:rsidP="004273A3">
            <w:pPr>
              <w:jc w:val="left"/>
            </w:pPr>
            <w:r>
              <w:rPr>
                <w:rFonts w:hint="eastAsia"/>
              </w:rPr>
              <w:t>托管费</w:t>
            </w:r>
          </w:p>
        </w:tc>
        <w:tc>
          <w:tcPr>
            <w:tcW w:w="2769" w:type="dxa"/>
          </w:tcPr>
          <w:p w:rsidR="004273A3" w:rsidRDefault="004273A3" w:rsidP="004273A3">
            <w:pPr>
              <w:jc w:val="right"/>
            </w:pPr>
            <w:r>
              <w:t>-</w:t>
            </w:r>
          </w:p>
        </w:tc>
        <w:tc>
          <w:tcPr>
            <w:tcW w:w="2769" w:type="dxa"/>
          </w:tcPr>
          <w:p w:rsidR="004273A3" w:rsidRDefault="004273A3" w:rsidP="004273A3">
            <w:pPr>
              <w:jc w:val="right"/>
            </w:pPr>
            <w:r>
              <w:t>0.25%</w:t>
            </w:r>
          </w:p>
        </w:tc>
      </w:tr>
      <w:tr w:rsidR="004273A3" w:rsidTr="004273A3">
        <w:tc>
          <w:tcPr>
            <w:tcW w:w="2768" w:type="dxa"/>
          </w:tcPr>
          <w:p w:rsidR="004273A3" w:rsidRDefault="004273A3" w:rsidP="004273A3">
            <w:pPr>
              <w:jc w:val="left"/>
            </w:pPr>
            <w:r>
              <w:rPr>
                <w:rFonts w:hint="eastAsia"/>
              </w:rPr>
              <w:t>销售服务费</w:t>
            </w:r>
          </w:p>
        </w:tc>
        <w:tc>
          <w:tcPr>
            <w:tcW w:w="2769" w:type="dxa"/>
          </w:tcPr>
          <w:p w:rsidR="004273A3" w:rsidRDefault="004273A3" w:rsidP="004273A3">
            <w:pPr>
              <w:jc w:val="right"/>
            </w:pPr>
            <w:r>
              <w:t>-</w:t>
            </w:r>
          </w:p>
        </w:tc>
        <w:tc>
          <w:tcPr>
            <w:tcW w:w="2769" w:type="dxa"/>
          </w:tcPr>
          <w:p w:rsidR="004273A3" w:rsidRDefault="004273A3" w:rsidP="004273A3">
            <w:pPr>
              <w:jc w:val="right"/>
            </w:pPr>
            <w:r>
              <w:t>0.60%</w:t>
            </w:r>
          </w:p>
        </w:tc>
      </w:tr>
      <w:tr w:rsidR="004273A3" w:rsidTr="005C0880">
        <w:tc>
          <w:tcPr>
            <w:tcW w:w="2768" w:type="dxa"/>
          </w:tcPr>
          <w:p w:rsidR="004273A3" w:rsidRDefault="004273A3" w:rsidP="004273A3">
            <w:pPr>
              <w:jc w:val="left"/>
            </w:pPr>
            <w:r>
              <w:rPr>
                <w:rFonts w:hint="eastAsia"/>
              </w:rPr>
              <w:t>其他费用</w:t>
            </w:r>
          </w:p>
        </w:tc>
        <w:tc>
          <w:tcPr>
            <w:tcW w:w="5538" w:type="dxa"/>
            <w:gridSpan w:val="2"/>
          </w:tcPr>
          <w:p w:rsidR="004273A3" w:rsidRDefault="004273A3" w:rsidP="004273A3">
            <w:pPr>
              <w:jc w:val="left"/>
            </w:pPr>
            <w:r>
              <w:rPr>
                <w:rFonts w:hint="eastAsia"/>
              </w:rPr>
              <w:t>《基金合同》生效后与基金相关的信息披露费用、会计师费、律师费、审计费、诉讼费和仲裁费；基金份额持有人大会费用；基金的证券</w:t>
            </w:r>
            <w:r>
              <w:rPr>
                <w:rFonts w:hint="eastAsia"/>
              </w:rPr>
              <w:t>/</w:t>
            </w:r>
            <w:r>
              <w:rPr>
                <w:rFonts w:hint="eastAsia"/>
              </w:rPr>
              <w:t>期货交易费用；基金的银行汇划费用；基金相关账户的开户及维护费用；因投资港股通股票而产生的各项合理费用；按照国家有关规定和《基金合同》约定，可以在基金财产中列支的其他费用。</w:t>
            </w:r>
          </w:p>
        </w:tc>
      </w:tr>
    </w:tbl>
    <w:p w:rsidR="004273A3" w:rsidRDefault="004273A3" w:rsidP="004273A3">
      <w:pPr>
        <w:pStyle w:val="-7"/>
        <w:ind w:firstLine="420"/>
        <w:rPr>
          <w:rFonts w:hint="eastAsia"/>
        </w:rPr>
      </w:pPr>
      <w:r>
        <w:rPr>
          <w:rFonts w:hint="eastAsia"/>
        </w:rPr>
        <w:t>注：本基金交易证券、基金等产生的费用和税负，按实际发生额从基金资产扣除。</w:t>
      </w:r>
    </w:p>
    <w:p w:rsidR="004273A3" w:rsidRDefault="004273A3" w:rsidP="004273A3">
      <w:pPr>
        <w:pStyle w:val="-1"/>
        <w:spacing w:before="156" w:after="156"/>
        <w:rPr>
          <w:rFonts w:hint="eastAsia"/>
        </w:rPr>
      </w:pPr>
      <w:r>
        <w:rPr>
          <w:rFonts w:hint="eastAsia"/>
        </w:rPr>
        <w:lastRenderedPageBreak/>
        <w:t>四、风险揭示与重要提示</w:t>
      </w:r>
    </w:p>
    <w:p w:rsidR="004273A3" w:rsidRDefault="004273A3" w:rsidP="004273A3">
      <w:pPr>
        <w:pStyle w:val="-2"/>
        <w:spacing w:before="156" w:after="156"/>
        <w:rPr>
          <w:rFonts w:hint="eastAsia"/>
        </w:rPr>
      </w:pPr>
      <w:r>
        <w:rPr>
          <w:rFonts w:hint="eastAsia"/>
        </w:rPr>
        <w:t>（一）</w:t>
      </w:r>
      <w:r>
        <w:rPr>
          <w:rFonts w:hint="eastAsia"/>
        </w:rPr>
        <w:t xml:space="preserve"> </w:t>
      </w:r>
      <w:r>
        <w:rPr>
          <w:rFonts w:hint="eastAsia"/>
        </w:rPr>
        <w:t>风险揭示</w:t>
      </w:r>
    </w:p>
    <w:p w:rsidR="004273A3" w:rsidRDefault="004273A3" w:rsidP="004273A3">
      <w:pPr>
        <w:pStyle w:val="-"/>
        <w:ind w:firstLine="420"/>
        <w:rPr>
          <w:rFonts w:hint="eastAsia"/>
        </w:rPr>
      </w:pPr>
      <w:r>
        <w:rPr>
          <w:rFonts w:hint="eastAsia"/>
        </w:rPr>
        <w:t>本基金不提供任何保证。投资者可能损失本金。</w:t>
      </w:r>
    </w:p>
    <w:p w:rsidR="004273A3" w:rsidRDefault="004273A3" w:rsidP="004273A3">
      <w:pPr>
        <w:pStyle w:val="-"/>
        <w:ind w:firstLine="420"/>
        <w:rPr>
          <w:rFonts w:hint="eastAsia"/>
        </w:rPr>
      </w:pPr>
      <w:r>
        <w:rPr>
          <w:rFonts w:hint="eastAsia"/>
        </w:rPr>
        <w:t>投资有风险，投资者购买基金时应认真阅读本基金的《招募说明书》等销售文件。</w:t>
      </w:r>
    </w:p>
    <w:p w:rsidR="004273A3" w:rsidRDefault="004273A3" w:rsidP="004273A3">
      <w:pPr>
        <w:pStyle w:val="-"/>
        <w:ind w:firstLine="420"/>
        <w:rPr>
          <w:rFonts w:hint="eastAsia"/>
        </w:rPr>
      </w:pPr>
      <w:r>
        <w:rPr>
          <w:rFonts w:hint="eastAsia"/>
        </w:rPr>
        <w:t>一）本基金的特有风险</w:t>
      </w:r>
    </w:p>
    <w:p w:rsidR="004273A3" w:rsidRDefault="004273A3" w:rsidP="004273A3">
      <w:pPr>
        <w:pStyle w:val="-"/>
        <w:ind w:firstLine="420"/>
        <w:rPr>
          <w:rFonts w:hint="eastAsia"/>
        </w:rPr>
      </w:pPr>
      <w:r>
        <w:rPr>
          <w:rFonts w:hint="eastAsia"/>
        </w:rPr>
        <w:t>1</w:t>
      </w:r>
      <w:r>
        <w:rPr>
          <w:rFonts w:hint="eastAsia"/>
        </w:rPr>
        <w:t>、本基金为股票型证券投资基金，股票投资占基金资产的比例范围为</w:t>
      </w:r>
      <w:r>
        <w:rPr>
          <w:rFonts w:hint="eastAsia"/>
        </w:rPr>
        <w:t>80%-95%</w:t>
      </w:r>
      <w:r>
        <w:rPr>
          <w:rFonts w:hint="eastAsia"/>
        </w:rPr>
        <w:t>，港股通股票最高投资比例不得超过股票资产的</w:t>
      </w:r>
      <w:r>
        <w:rPr>
          <w:rFonts w:hint="eastAsia"/>
        </w:rPr>
        <w:t>50%</w:t>
      </w:r>
      <w:r>
        <w:rPr>
          <w:rFonts w:hint="eastAsia"/>
        </w:rPr>
        <w:t>。因此，国内和港股通标的股票市场和债券市场的变化均会影响到基金业绩表现，基金净值表现因此可能受到影响。</w:t>
      </w:r>
    </w:p>
    <w:p w:rsidR="004273A3" w:rsidRDefault="004273A3" w:rsidP="004273A3">
      <w:pPr>
        <w:pStyle w:val="-"/>
        <w:ind w:firstLine="420"/>
        <w:rPr>
          <w:rFonts w:hint="eastAsia"/>
        </w:rPr>
      </w:pPr>
      <w:r>
        <w:rPr>
          <w:rFonts w:hint="eastAsia"/>
        </w:rPr>
        <w:t>2</w:t>
      </w:r>
      <w:r>
        <w:rPr>
          <w:rFonts w:hint="eastAsia"/>
        </w:rPr>
        <w:t>、投资港股通股票的风险</w:t>
      </w:r>
    </w:p>
    <w:p w:rsidR="004273A3" w:rsidRDefault="004273A3" w:rsidP="004273A3">
      <w:pPr>
        <w:pStyle w:val="-"/>
        <w:ind w:firstLine="420"/>
        <w:rPr>
          <w:rFonts w:hint="eastAsia"/>
        </w:rPr>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汇率风险、香港市场风险、香港交易市场制度或规则不同带来的风险、港股通制度限制或调整带来的风险、法律和政治风险、会计制度风险、税务风险等</w:t>
      </w:r>
    </w:p>
    <w:p w:rsidR="004273A3" w:rsidRDefault="004273A3" w:rsidP="004273A3">
      <w:pPr>
        <w:pStyle w:val="-"/>
        <w:ind w:firstLine="420"/>
        <w:rPr>
          <w:rFonts w:hint="eastAsia"/>
        </w:rPr>
      </w:pPr>
      <w:r>
        <w:rPr>
          <w:rFonts w:hint="eastAsia"/>
        </w:rPr>
        <w:t>3</w:t>
      </w:r>
      <w:r>
        <w:rPr>
          <w:rFonts w:hint="eastAsia"/>
        </w:rPr>
        <w:t>、本基金投资股指期货的风险。</w:t>
      </w:r>
    </w:p>
    <w:p w:rsidR="004273A3" w:rsidRDefault="004273A3" w:rsidP="004273A3">
      <w:pPr>
        <w:pStyle w:val="-"/>
        <w:ind w:firstLine="420"/>
        <w:rPr>
          <w:rFonts w:hint="eastAsia"/>
        </w:rPr>
      </w:pPr>
      <w:r>
        <w:rPr>
          <w:rFonts w:hint="eastAsia"/>
        </w:rPr>
        <w:t>本基金可投资于股指期货，股指期货作为一种金融衍生品，主要存在以下风险：</w:t>
      </w:r>
    </w:p>
    <w:p w:rsidR="004273A3" w:rsidRDefault="004273A3" w:rsidP="004273A3">
      <w:pPr>
        <w:pStyle w:val="-"/>
        <w:ind w:firstLine="420"/>
        <w:rPr>
          <w:rFonts w:hint="eastAsia"/>
        </w:rPr>
      </w:pPr>
      <w:r>
        <w:rPr>
          <w:rFonts w:hint="eastAsia"/>
        </w:rPr>
        <w:t>（</w:t>
      </w:r>
      <w:r>
        <w:rPr>
          <w:rFonts w:hint="eastAsia"/>
        </w:rPr>
        <w:t>1</w:t>
      </w:r>
      <w:r>
        <w:rPr>
          <w:rFonts w:hint="eastAsia"/>
        </w:rPr>
        <w:t>）市场风险：是指由于股指期货价格变动而给投资者带来的风险。</w:t>
      </w:r>
    </w:p>
    <w:p w:rsidR="004273A3" w:rsidRDefault="004273A3" w:rsidP="004273A3">
      <w:pPr>
        <w:pStyle w:val="-"/>
        <w:ind w:firstLine="420"/>
        <w:rPr>
          <w:rFonts w:hint="eastAsia"/>
        </w:rPr>
      </w:pPr>
      <w:r>
        <w:rPr>
          <w:rFonts w:hint="eastAsia"/>
        </w:rPr>
        <w:t>（</w:t>
      </w:r>
      <w:r>
        <w:rPr>
          <w:rFonts w:hint="eastAsia"/>
        </w:rPr>
        <w:t>2</w:t>
      </w:r>
      <w:r>
        <w:rPr>
          <w:rFonts w:hint="eastAsia"/>
        </w:rPr>
        <w:t>）流动性风险：是指由于股指期货合约无法及时变现所带来的风险。</w:t>
      </w:r>
    </w:p>
    <w:p w:rsidR="004273A3" w:rsidRDefault="004273A3" w:rsidP="004273A3">
      <w:pPr>
        <w:pStyle w:val="-"/>
        <w:ind w:firstLine="420"/>
        <w:rPr>
          <w:rFonts w:hint="eastAsia"/>
        </w:rPr>
      </w:pPr>
      <w:r>
        <w:rPr>
          <w:rFonts w:hint="eastAsia"/>
        </w:rPr>
        <w:t>（</w:t>
      </w:r>
      <w:r>
        <w:rPr>
          <w:rFonts w:hint="eastAsia"/>
        </w:rPr>
        <w:t>3</w:t>
      </w:r>
      <w:r>
        <w:rPr>
          <w:rFonts w:hint="eastAsia"/>
        </w:rPr>
        <w:t>）基差风险：是指股指期货合约价格和标的指数价格之间的价格差的波动所造成的风险。</w:t>
      </w:r>
    </w:p>
    <w:p w:rsidR="004273A3" w:rsidRDefault="004273A3" w:rsidP="004273A3">
      <w:pPr>
        <w:pStyle w:val="-"/>
        <w:ind w:firstLine="420"/>
        <w:rPr>
          <w:rFonts w:hint="eastAsia"/>
        </w:rPr>
      </w:pPr>
      <w:r>
        <w:rPr>
          <w:rFonts w:hint="eastAsia"/>
        </w:rPr>
        <w:t>（</w:t>
      </w:r>
      <w:r>
        <w:rPr>
          <w:rFonts w:hint="eastAsia"/>
        </w:rPr>
        <w:t>4</w:t>
      </w:r>
      <w:r>
        <w:rPr>
          <w:rFonts w:hint="eastAsia"/>
        </w:rPr>
        <w:t>）保证金风险：是指由于无法及时筹措资金满足建立或者维持股指期货合约头寸所要求的保证金而带来的风险。</w:t>
      </w:r>
    </w:p>
    <w:p w:rsidR="004273A3" w:rsidRDefault="004273A3" w:rsidP="004273A3">
      <w:pPr>
        <w:pStyle w:val="-"/>
        <w:ind w:firstLine="420"/>
        <w:rPr>
          <w:rFonts w:hint="eastAsia"/>
        </w:rPr>
      </w:pPr>
      <w:r>
        <w:rPr>
          <w:rFonts w:hint="eastAsia"/>
        </w:rPr>
        <w:t>（</w:t>
      </w:r>
      <w:r>
        <w:rPr>
          <w:rFonts w:hint="eastAsia"/>
        </w:rPr>
        <w:t>5</w:t>
      </w:r>
      <w:r>
        <w:rPr>
          <w:rFonts w:hint="eastAsia"/>
        </w:rPr>
        <w:t>）杠杆风险：因股指期货采用保证金交易而存在杠杆，基金财产可能因此产生更大的收益波动。</w:t>
      </w:r>
    </w:p>
    <w:p w:rsidR="004273A3" w:rsidRDefault="004273A3" w:rsidP="004273A3">
      <w:pPr>
        <w:pStyle w:val="-"/>
        <w:ind w:firstLine="420"/>
        <w:rPr>
          <w:rFonts w:hint="eastAsia"/>
        </w:rPr>
      </w:pPr>
      <w:r>
        <w:rPr>
          <w:rFonts w:hint="eastAsia"/>
        </w:rPr>
        <w:t>（</w:t>
      </w:r>
      <w:r>
        <w:rPr>
          <w:rFonts w:hint="eastAsia"/>
        </w:rPr>
        <w:t>6</w:t>
      </w:r>
      <w:r>
        <w:rPr>
          <w:rFonts w:hint="eastAsia"/>
        </w:rPr>
        <w:t>）信用风险：是指期货经纪公司违约而产生损失的风险。</w:t>
      </w:r>
    </w:p>
    <w:p w:rsidR="004273A3" w:rsidRDefault="004273A3" w:rsidP="004273A3">
      <w:pPr>
        <w:pStyle w:val="-"/>
        <w:ind w:firstLine="420"/>
        <w:rPr>
          <w:rFonts w:hint="eastAsia"/>
        </w:rPr>
      </w:pPr>
      <w:r>
        <w:rPr>
          <w:rFonts w:hint="eastAsia"/>
        </w:rPr>
        <w:t>（</w:t>
      </w:r>
      <w:r>
        <w:rPr>
          <w:rFonts w:hint="eastAsia"/>
        </w:rPr>
        <w:t>7</w:t>
      </w:r>
      <w:r>
        <w:rPr>
          <w:rFonts w:hint="eastAsia"/>
        </w:rPr>
        <w:t>）操作风险：是指由于内部流程的不完善，业务人员出现差错或者疏漏，或者系统出现故障等原因造成损失的风险。</w:t>
      </w:r>
    </w:p>
    <w:p w:rsidR="004273A3" w:rsidRDefault="004273A3" w:rsidP="004273A3">
      <w:pPr>
        <w:pStyle w:val="-"/>
        <w:ind w:firstLine="420"/>
        <w:rPr>
          <w:rFonts w:hint="eastAsia"/>
        </w:rPr>
      </w:pPr>
      <w:r>
        <w:rPr>
          <w:rFonts w:hint="eastAsia"/>
        </w:rPr>
        <w:t>4</w:t>
      </w:r>
      <w:r>
        <w:rPr>
          <w:rFonts w:hint="eastAsia"/>
        </w:rPr>
        <w:t>、本基金投资范围包括国债期货，可能给本基金带来额外风险，包括杠杆风险、期货价格与基金投资品种价格的相关度降低带来的风险等，由此可能增加本基金净值的波动性。</w:t>
      </w:r>
    </w:p>
    <w:p w:rsidR="004273A3" w:rsidRDefault="004273A3" w:rsidP="004273A3">
      <w:pPr>
        <w:pStyle w:val="-"/>
        <w:ind w:firstLine="420"/>
        <w:rPr>
          <w:rFonts w:hint="eastAsia"/>
        </w:rPr>
      </w:pPr>
      <w:r>
        <w:rPr>
          <w:rFonts w:hint="eastAsia"/>
        </w:rPr>
        <w:t>5</w:t>
      </w:r>
      <w:r>
        <w:rPr>
          <w:rFonts w:hint="eastAsia"/>
        </w:rPr>
        <w:t>、本基金的投资范围包括资产支持证券。资产支持证券存在信用风险、利率风险、流动性风险、提前偿付风险、操作风险和法律风险等。</w:t>
      </w:r>
    </w:p>
    <w:p w:rsidR="004273A3" w:rsidRDefault="004273A3" w:rsidP="004273A3">
      <w:pPr>
        <w:pStyle w:val="-"/>
        <w:ind w:firstLine="420"/>
        <w:rPr>
          <w:rFonts w:hint="eastAsia"/>
        </w:rPr>
      </w:pPr>
      <w:r>
        <w:rPr>
          <w:rFonts w:hint="eastAsia"/>
        </w:rPr>
        <w:t>（</w:t>
      </w:r>
      <w:r>
        <w:rPr>
          <w:rFonts w:hint="eastAsia"/>
        </w:rPr>
        <w:t>1</w:t>
      </w:r>
      <w:r>
        <w:rPr>
          <w:rFonts w:hint="eastAsia"/>
        </w:rPr>
        <w:t>）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p>
    <w:p w:rsidR="004273A3" w:rsidRDefault="004273A3" w:rsidP="004273A3">
      <w:pPr>
        <w:pStyle w:val="-"/>
        <w:ind w:firstLine="420"/>
        <w:rPr>
          <w:rFonts w:hint="eastAsia"/>
        </w:rPr>
      </w:pPr>
      <w:r>
        <w:rPr>
          <w:rFonts w:hint="eastAsia"/>
        </w:rPr>
        <w:t>（</w:t>
      </w:r>
      <w:r>
        <w:rPr>
          <w:rFonts w:hint="eastAsia"/>
        </w:rPr>
        <w:t>2</w:t>
      </w:r>
      <w:r>
        <w:rPr>
          <w:rFonts w:hint="eastAsia"/>
        </w:rPr>
        <w:t>）利率风险是指资产支持证券作为固定收益证券的一种，也具有利率风险，即资产支持证券的价格受利率波动发生变动而造成的风险。</w:t>
      </w:r>
    </w:p>
    <w:p w:rsidR="004273A3" w:rsidRDefault="004273A3" w:rsidP="004273A3">
      <w:pPr>
        <w:pStyle w:val="-"/>
        <w:ind w:firstLine="420"/>
        <w:rPr>
          <w:rFonts w:hint="eastAsia"/>
        </w:rPr>
      </w:pPr>
      <w:r>
        <w:rPr>
          <w:rFonts w:hint="eastAsia"/>
        </w:rPr>
        <w:t>（</w:t>
      </w:r>
      <w:r>
        <w:rPr>
          <w:rFonts w:hint="eastAsia"/>
        </w:rPr>
        <w:t>3</w:t>
      </w:r>
      <w:r>
        <w:rPr>
          <w:rFonts w:hint="eastAsia"/>
        </w:rPr>
        <w:t>）流动性风险是指资产支持证券不能迅速、低成本地变现的风险。</w:t>
      </w:r>
    </w:p>
    <w:p w:rsidR="004273A3" w:rsidRDefault="004273A3" w:rsidP="004273A3">
      <w:pPr>
        <w:pStyle w:val="-"/>
        <w:ind w:firstLine="420"/>
        <w:rPr>
          <w:rFonts w:hint="eastAsia"/>
        </w:rPr>
      </w:pPr>
      <w:r>
        <w:rPr>
          <w:rFonts w:hint="eastAsia"/>
        </w:rPr>
        <w:t>（</w:t>
      </w:r>
      <w:r>
        <w:rPr>
          <w:rFonts w:hint="eastAsia"/>
        </w:rPr>
        <w:t>4</w:t>
      </w:r>
      <w:r>
        <w:rPr>
          <w:rFonts w:hint="eastAsia"/>
        </w:rPr>
        <w:t>）提前偿付风险是指若合同约定债务人有权在产品到期前偿还，则存在由于提前偿付而使投资者遭受损失的可能性。</w:t>
      </w:r>
    </w:p>
    <w:p w:rsidR="004273A3" w:rsidRDefault="004273A3" w:rsidP="004273A3">
      <w:pPr>
        <w:pStyle w:val="-"/>
        <w:ind w:firstLine="420"/>
        <w:rPr>
          <w:rFonts w:hint="eastAsia"/>
        </w:rPr>
      </w:pPr>
      <w:r>
        <w:rPr>
          <w:rFonts w:hint="eastAsia"/>
        </w:rPr>
        <w:t>（</w:t>
      </w:r>
      <w:r>
        <w:rPr>
          <w:rFonts w:hint="eastAsia"/>
        </w:rPr>
        <w:t>5</w:t>
      </w:r>
      <w:r>
        <w:rPr>
          <w:rFonts w:hint="eastAsia"/>
        </w:rPr>
        <w:t>）操作风险是指相关各方在业务操作过程中，因操作失误或违反操作规程而引起的风险。</w:t>
      </w:r>
    </w:p>
    <w:p w:rsidR="004273A3" w:rsidRDefault="004273A3" w:rsidP="004273A3">
      <w:pPr>
        <w:pStyle w:val="-"/>
        <w:ind w:firstLine="420"/>
        <w:rPr>
          <w:rFonts w:hint="eastAsia"/>
        </w:rPr>
      </w:pPr>
      <w:r>
        <w:rPr>
          <w:rFonts w:hint="eastAsia"/>
        </w:rPr>
        <w:t>（</w:t>
      </w:r>
      <w:r>
        <w:rPr>
          <w:rFonts w:hint="eastAsia"/>
        </w:rPr>
        <w:t>6</w:t>
      </w:r>
      <w:r>
        <w:rPr>
          <w:rFonts w:hint="eastAsia"/>
        </w:rPr>
        <w:t>）法律风险是指因资产支持证券交易结构较为复杂、参与方较多、交易文件较多，而存在的法律风险和履约风险。</w:t>
      </w:r>
    </w:p>
    <w:p w:rsidR="004273A3" w:rsidRDefault="004273A3" w:rsidP="004273A3">
      <w:pPr>
        <w:pStyle w:val="-"/>
        <w:ind w:firstLine="420"/>
        <w:rPr>
          <w:rFonts w:hint="eastAsia"/>
        </w:rPr>
      </w:pPr>
      <w:r>
        <w:rPr>
          <w:rFonts w:hint="eastAsia"/>
        </w:rPr>
        <w:t>6</w:t>
      </w:r>
      <w:r>
        <w:rPr>
          <w:rFonts w:hint="eastAsia"/>
        </w:rPr>
        <w:t>、本基金投资流通受限证券的风险。</w:t>
      </w:r>
    </w:p>
    <w:p w:rsidR="004273A3" w:rsidRDefault="004273A3" w:rsidP="004273A3">
      <w:pPr>
        <w:pStyle w:val="-"/>
        <w:ind w:firstLine="420"/>
        <w:rPr>
          <w:rFonts w:hint="eastAsia"/>
        </w:rPr>
      </w:pPr>
      <w:r>
        <w:rPr>
          <w:rFonts w:hint="eastAsia"/>
        </w:rPr>
        <w:lastRenderedPageBreak/>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规。</w:t>
      </w:r>
    </w:p>
    <w:p w:rsidR="004273A3" w:rsidRDefault="004273A3" w:rsidP="004273A3">
      <w:pPr>
        <w:pStyle w:val="-"/>
        <w:ind w:firstLine="420"/>
        <w:rPr>
          <w:rFonts w:hint="eastAsia"/>
        </w:rPr>
      </w:pPr>
      <w:r>
        <w:rPr>
          <w:rFonts w:hint="eastAsia"/>
        </w:rPr>
        <w:t>7</w:t>
      </w:r>
      <w:r>
        <w:rPr>
          <w:rFonts w:hint="eastAsia"/>
        </w:rPr>
        <w:t>、本基金收益分配方式有现金分红和红利再投资两种，对于选择红利再投资的投资人，其因红利再投资所得的份额自确认之日起开始计算持有时间，并于该份额赎回时按照本基金相关法律文件的约定选择适用的赎回费率并计算赎回费，敬请投资人留意。</w:t>
      </w:r>
    </w:p>
    <w:p w:rsidR="004273A3" w:rsidRDefault="004273A3" w:rsidP="004273A3">
      <w:pPr>
        <w:pStyle w:val="-"/>
        <w:ind w:firstLine="420"/>
        <w:rPr>
          <w:rFonts w:hint="eastAsia"/>
        </w:rPr>
      </w:pPr>
      <w:r>
        <w:rPr>
          <w:rFonts w:hint="eastAsia"/>
        </w:rPr>
        <w:t>8</w:t>
      </w:r>
      <w:r>
        <w:rPr>
          <w:rFonts w:hint="eastAsia"/>
        </w:rPr>
        <w:t>、投资于存托凭证的风险</w:t>
      </w:r>
    </w:p>
    <w:p w:rsidR="004273A3" w:rsidRDefault="004273A3" w:rsidP="004273A3">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4273A3" w:rsidRDefault="004273A3" w:rsidP="004273A3">
      <w:pPr>
        <w:pStyle w:val="-"/>
        <w:ind w:firstLine="420"/>
        <w:rPr>
          <w:rFonts w:hint="eastAsia"/>
        </w:rPr>
      </w:pPr>
      <w:r>
        <w:rPr>
          <w:rFonts w:hint="eastAsia"/>
        </w:rPr>
        <w:t>二）债券市场风险。债券市场价格受到经济因素、政治因素、投资心理和交易制度等各种因素的影响，导致基金收益水平变化，产生风险。主要包括：</w:t>
      </w:r>
      <w:r>
        <w:rPr>
          <w:rFonts w:hint="eastAsia"/>
        </w:rPr>
        <w:t>1</w:t>
      </w:r>
      <w:r>
        <w:rPr>
          <w:rFonts w:hint="eastAsia"/>
        </w:rPr>
        <w:t>、政策风险。</w:t>
      </w:r>
      <w:r>
        <w:rPr>
          <w:rFonts w:hint="eastAsia"/>
        </w:rPr>
        <w:t>2</w:t>
      </w:r>
      <w:r>
        <w:rPr>
          <w:rFonts w:hint="eastAsia"/>
        </w:rPr>
        <w:t>、利率风险。</w:t>
      </w:r>
      <w:r>
        <w:rPr>
          <w:rFonts w:hint="eastAsia"/>
        </w:rPr>
        <w:t>3</w:t>
      </w:r>
      <w:r>
        <w:rPr>
          <w:rFonts w:hint="eastAsia"/>
        </w:rPr>
        <w:t>、信用风险。</w:t>
      </w:r>
      <w:r>
        <w:rPr>
          <w:rFonts w:hint="eastAsia"/>
        </w:rPr>
        <w:t>4</w:t>
      </w:r>
      <w:r>
        <w:rPr>
          <w:rFonts w:hint="eastAsia"/>
        </w:rPr>
        <w:t>、购买力风险。</w:t>
      </w:r>
      <w:r>
        <w:rPr>
          <w:rFonts w:hint="eastAsia"/>
        </w:rPr>
        <w:t>5</w:t>
      </w:r>
      <w:r>
        <w:rPr>
          <w:rFonts w:hint="eastAsia"/>
        </w:rPr>
        <w:t>、债券收益率曲线变动风险。</w:t>
      </w:r>
      <w:r>
        <w:rPr>
          <w:rFonts w:hint="eastAsia"/>
        </w:rPr>
        <w:t>6</w:t>
      </w:r>
      <w:r>
        <w:rPr>
          <w:rFonts w:hint="eastAsia"/>
        </w:rPr>
        <w:t>、再投资风险。</w:t>
      </w:r>
      <w:r>
        <w:rPr>
          <w:rFonts w:hint="eastAsia"/>
        </w:rPr>
        <w:t>7</w:t>
      </w:r>
      <w:r>
        <w:rPr>
          <w:rFonts w:hint="eastAsia"/>
        </w:rPr>
        <w:t>、债券回购风险。</w:t>
      </w:r>
      <w:r>
        <w:rPr>
          <w:rFonts w:hint="eastAsia"/>
        </w:rPr>
        <w:t>8</w:t>
      </w:r>
      <w:r>
        <w:rPr>
          <w:rFonts w:hint="eastAsia"/>
        </w:rPr>
        <w:t>、经济周期风险。</w:t>
      </w:r>
    </w:p>
    <w:p w:rsidR="004273A3" w:rsidRDefault="004273A3" w:rsidP="004273A3">
      <w:pPr>
        <w:pStyle w:val="-"/>
        <w:ind w:firstLine="420"/>
        <w:rPr>
          <w:rFonts w:hint="eastAsia"/>
        </w:rPr>
      </w:pPr>
      <w:r>
        <w:rPr>
          <w:rFonts w:hint="eastAsia"/>
        </w:rPr>
        <w:t>三）开放式基金共有的风险如管理风险、流动性风险和其他风险。</w:t>
      </w:r>
    </w:p>
    <w:p w:rsidR="004273A3" w:rsidRDefault="004273A3" w:rsidP="004273A3">
      <w:pPr>
        <w:pStyle w:val="-"/>
        <w:ind w:firstLine="420"/>
        <w:rPr>
          <w:rFonts w:hint="eastAsia"/>
        </w:rPr>
      </w:pPr>
      <w:r>
        <w:rPr>
          <w:rFonts w:hint="eastAsia"/>
        </w:rPr>
        <w:t>四）本基金法律文件风险收益特征表述与销售机构基金风险评价可能不一致的风险</w:t>
      </w:r>
    </w:p>
    <w:p w:rsidR="004273A3" w:rsidRDefault="004273A3" w:rsidP="004273A3">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4273A3" w:rsidRDefault="004273A3" w:rsidP="004273A3">
      <w:pPr>
        <w:pStyle w:val="-"/>
        <w:ind w:firstLine="420"/>
        <w:rPr>
          <w:rFonts w:hint="eastAsia"/>
        </w:rPr>
      </w:pPr>
      <w:r>
        <w:rPr>
          <w:rFonts w:hint="eastAsia"/>
        </w:rPr>
        <w:t>五）流动性风险</w:t>
      </w:r>
    </w:p>
    <w:p w:rsidR="004273A3" w:rsidRDefault="004273A3" w:rsidP="004273A3">
      <w:pPr>
        <w:pStyle w:val="-"/>
        <w:ind w:firstLine="420"/>
        <w:rPr>
          <w:rFonts w:hint="eastAsia"/>
        </w:rPr>
      </w:pPr>
      <w:r>
        <w:rPr>
          <w:rFonts w:hint="eastAsia"/>
        </w:rPr>
        <w:t>1</w:t>
      </w:r>
      <w:r>
        <w:rPr>
          <w:rFonts w:hint="eastAsia"/>
        </w:rPr>
        <w:t>、本基金的申购、赎回安排</w:t>
      </w:r>
    </w:p>
    <w:p w:rsidR="004273A3" w:rsidRDefault="004273A3" w:rsidP="004273A3">
      <w:pPr>
        <w:pStyle w:val="-"/>
        <w:ind w:firstLine="420"/>
        <w:rPr>
          <w:rFonts w:hint="eastAsia"/>
        </w:rPr>
      </w:pPr>
      <w:r>
        <w:rPr>
          <w:rFonts w:hint="eastAsia"/>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w:t>
      </w:r>
      <w:r>
        <w:rPr>
          <w:rFonts w:hint="eastAsia"/>
        </w:rPr>
        <w:t>3</w:t>
      </w:r>
      <w:r>
        <w:rPr>
          <w:rFonts w:hint="eastAsia"/>
        </w:rPr>
        <w:t>个月开始办理申购和赎回业务，具体业务办理时间在申购赎回开始公告中规定。</w:t>
      </w:r>
    </w:p>
    <w:p w:rsidR="004273A3" w:rsidRDefault="004273A3" w:rsidP="004273A3">
      <w:pPr>
        <w:pStyle w:val="-"/>
        <w:ind w:firstLine="420"/>
        <w:rPr>
          <w:rFonts w:hint="eastAsia"/>
        </w:rPr>
      </w:pPr>
      <w:r>
        <w:rPr>
          <w:rFonts w:hint="eastAsia"/>
        </w:rPr>
        <w:t>2</w:t>
      </w:r>
      <w:r>
        <w:rPr>
          <w:rFonts w:hint="eastAsia"/>
        </w:rPr>
        <w:t>、投资市场、行业及资产的流动性风险评估</w:t>
      </w:r>
    </w:p>
    <w:p w:rsidR="004273A3" w:rsidRDefault="004273A3" w:rsidP="004273A3">
      <w:pPr>
        <w:pStyle w:val="-"/>
        <w:ind w:firstLine="420"/>
        <w:rPr>
          <w:rFonts w:hint="eastAsia"/>
        </w:rPr>
      </w:pPr>
      <w:r>
        <w:rPr>
          <w:rFonts w:hint="eastAsia"/>
        </w:rPr>
        <w:t>本基金为股票型证券投资基金，股票投资占基金资产的比例为</w:t>
      </w:r>
      <w:r>
        <w:rPr>
          <w:rFonts w:hint="eastAsia"/>
        </w:rPr>
        <w:t>80%-95%</w:t>
      </w:r>
      <w:r>
        <w:rPr>
          <w:rFonts w:hint="eastAsia"/>
        </w:rPr>
        <w:t>（其中港股通股票最高投资比例不得超过股票资产的</w:t>
      </w:r>
      <w:r>
        <w:rPr>
          <w:rFonts w:hint="eastAsia"/>
        </w:rPr>
        <w:t>50%</w:t>
      </w:r>
      <w:r>
        <w:rPr>
          <w:rFonts w:hint="eastAsia"/>
        </w:rPr>
        <w:t>），其中投资于</w:t>
      </w:r>
      <w:r>
        <w:rPr>
          <w:rFonts w:hint="eastAsia"/>
        </w:rPr>
        <w:t>ESG</w:t>
      </w:r>
      <w:r>
        <w:rPr>
          <w:rFonts w:hint="eastAsia"/>
        </w:rPr>
        <w:t>主题证券资产占非现金基金资产的比例不低于</w:t>
      </w:r>
      <w:r>
        <w:rPr>
          <w:rFonts w:hint="eastAsia"/>
        </w:rPr>
        <w:t>80%</w:t>
      </w:r>
      <w:r>
        <w:rPr>
          <w:rFonts w:hint="eastAsia"/>
        </w:rPr>
        <w:t>。根据《公开募集开放式证券投资基金流动性风险管理规定》的相关要求，本基金会审慎评估所投资资产的流动性，并针对性制定流动性风险管理措施，因此本基金流动性风险也可以得到有效控制。</w:t>
      </w:r>
    </w:p>
    <w:p w:rsidR="004273A3" w:rsidRDefault="004273A3" w:rsidP="004273A3">
      <w:pPr>
        <w:pStyle w:val="-"/>
        <w:ind w:firstLine="420"/>
        <w:rPr>
          <w:rFonts w:hint="eastAsia"/>
        </w:rPr>
      </w:pPr>
      <w:r>
        <w:rPr>
          <w:rFonts w:hint="eastAsia"/>
        </w:rPr>
        <w:lastRenderedPageBreak/>
        <w:t>3</w:t>
      </w:r>
      <w:r>
        <w:rPr>
          <w:rFonts w:hint="eastAsia"/>
        </w:rPr>
        <w:t>、巨额赎回情形下的流动性风险管理措施</w:t>
      </w:r>
    </w:p>
    <w:p w:rsidR="004273A3" w:rsidRDefault="004273A3" w:rsidP="004273A3">
      <w:pPr>
        <w:pStyle w:val="-"/>
        <w:ind w:firstLine="420"/>
        <w:rPr>
          <w:rFonts w:hint="eastAsia"/>
        </w:rPr>
      </w:pPr>
      <w:r>
        <w:rPr>
          <w:rFonts w:hint="eastAsia"/>
        </w:rPr>
        <w:t>若本基金单个开放日内的基金份额净赎回申请</w:t>
      </w:r>
      <w:r>
        <w:rPr>
          <w:rFonts w:hint="eastAsia"/>
        </w:rPr>
        <w:t>(</w:t>
      </w:r>
      <w:r>
        <w:rPr>
          <w:rFonts w:hint="eastAsia"/>
        </w:rPr>
        <w:t>赎回申请份额总数加上基金转换中转出申请份额总数后扣除申购申请份额总数及基金转换中转入申请份额总数后的余额</w:t>
      </w:r>
      <w:r>
        <w:rPr>
          <w:rFonts w:hint="eastAsia"/>
        </w:rPr>
        <w:t>)</w:t>
      </w:r>
      <w:r>
        <w:rPr>
          <w:rFonts w:hint="eastAsia"/>
        </w:rPr>
        <w:t>超过前一开放日的基金总份额的</w:t>
      </w:r>
      <w:r>
        <w:rPr>
          <w:rFonts w:hint="eastAsia"/>
        </w:rPr>
        <w:t>10%</w:t>
      </w:r>
      <w:r>
        <w:rPr>
          <w:rFonts w:hint="eastAsia"/>
        </w:rPr>
        <w:t>，即认为是发生了巨额赎回。</w:t>
      </w:r>
    </w:p>
    <w:p w:rsidR="004273A3" w:rsidRDefault="004273A3" w:rsidP="004273A3">
      <w:pPr>
        <w:pStyle w:val="-"/>
        <w:ind w:firstLine="420"/>
        <w:rPr>
          <w:rFonts w:hint="eastAsia"/>
        </w:rPr>
      </w:pPr>
      <w:r>
        <w:rPr>
          <w:rFonts w:hint="eastAsia"/>
        </w:rPr>
        <w:t>当基金出现巨额赎回时，基金管理人可以根据基金当时的资产组合状况决定全额赎回或部分延期赎回。</w:t>
      </w:r>
    </w:p>
    <w:p w:rsidR="004273A3" w:rsidRDefault="004273A3" w:rsidP="004273A3">
      <w:pPr>
        <w:pStyle w:val="-"/>
        <w:ind w:firstLine="420"/>
        <w:rPr>
          <w:rFonts w:hint="eastAsia"/>
        </w:rPr>
      </w:pPr>
      <w:r>
        <w:rPr>
          <w:rFonts w:hint="eastAsia"/>
        </w:rPr>
        <w:t>1</w:t>
      </w:r>
      <w:r>
        <w:rPr>
          <w:rFonts w:hint="eastAsia"/>
        </w:rPr>
        <w:t>）全额赎回：当基金管理人认为有能力支付投资人的全部赎回申请时，按正常赎回程序执行。</w:t>
      </w:r>
    </w:p>
    <w:p w:rsidR="004273A3" w:rsidRDefault="004273A3" w:rsidP="004273A3">
      <w:pPr>
        <w:pStyle w:val="-"/>
        <w:ind w:firstLine="420"/>
        <w:rPr>
          <w:rFonts w:hint="eastAsia"/>
        </w:rPr>
      </w:pPr>
      <w:r>
        <w:rPr>
          <w:rFonts w:hint="eastAsia"/>
        </w:rPr>
        <w:t>2</w:t>
      </w:r>
      <w:r>
        <w:rPr>
          <w:rFonts w:hint="eastAsia"/>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rPr>
        <w:t>10%</w:t>
      </w:r>
      <w:r>
        <w:rPr>
          <w:rFonts w:hint="eastAsia"/>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4273A3" w:rsidRDefault="004273A3" w:rsidP="004273A3">
      <w:pPr>
        <w:pStyle w:val="-"/>
        <w:ind w:firstLine="420"/>
        <w:rPr>
          <w:rFonts w:hint="eastAsia"/>
        </w:rPr>
      </w:pPr>
      <w:r>
        <w:rPr>
          <w:rFonts w:hint="eastAsia"/>
        </w:rPr>
        <w:t>3</w:t>
      </w:r>
      <w:r>
        <w:rPr>
          <w:rFonts w:hint="eastAsia"/>
        </w:rPr>
        <w:t>）如发生单个开放日内单个基金份额持有人申请赎回的基金份额超过前一开放日的基金总份额的</w:t>
      </w:r>
      <w:r>
        <w:rPr>
          <w:rFonts w:hint="eastAsia"/>
        </w:rPr>
        <w:t>30%</w:t>
      </w:r>
      <w:r>
        <w:rPr>
          <w:rFonts w:hint="eastAsia"/>
        </w:rPr>
        <w:t>时，本基金管理人对该单个基金份额持有人持有的赎回申请实施延期办理。对于其超过基金总份额</w:t>
      </w:r>
      <w:r>
        <w:rPr>
          <w:rFonts w:hint="eastAsia"/>
        </w:rPr>
        <w:t>30%</w:t>
      </w:r>
      <w:r>
        <w:rPr>
          <w:rFonts w:hint="eastAsia"/>
        </w:rPr>
        <w:t>以上部分的赎回申请与下一开放日赎回申请一并处理，无优先权并以下一开放日的基金份额净值为基础计算赎回金额，以此类推，直到全部赎回为止。对于其不超过基金总份额</w:t>
      </w:r>
      <w:r>
        <w:rPr>
          <w:rFonts w:hint="eastAsia"/>
        </w:rPr>
        <w:t>30%</w:t>
      </w:r>
      <w:r>
        <w:rPr>
          <w:rFonts w:hint="eastAsia"/>
        </w:rPr>
        <w:t>部分作为当日有效赎回申请，基金管理人可以根据前述“（</w:t>
      </w:r>
      <w:r>
        <w:rPr>
          <w:rFonts w:hint="eastAsia"/>
        </w:rPr>
        <w:t>1</w:t>
      </w:r>
      <w:r>
        <w:rPr>
          <w:rFonts w:hint="eastAsia"/>
        </w:rPr>
        <w:t>）全额赎回”或“（</w:t>
      </w:r>
      <w:r>
        <w:rPr>
          <w:rFonts w:hint="eastAsia"/>
        </w:rPr>
        <w:t>2</w:t>
      </w:r>
      <w:r>
        <w:rPr>
          <w:rFonts w:hint="eastAsia"/>
        </w:rPr>
        <w:t>）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4273A3" w:rsidRDefault="004273A3" w:rsidP="004273A3">
      <w:pPr>
        <w:pStyle w:val="-"/>
        <w:ind w:firstLine="420"/>
        <w:rPr>
          <w:rFonts w:hint="eastAsia"/>
        </w:rPr>
      </w:pPr>
      <w:r>
        <w:rPr>
          <w:rFonts w:hint="eastAsia"/>
        </w:rPr>
        <w:t>4</w:t>
      </w:r>
      <w:r>
        <w:rPr>
          <w:rFonts w:hint="eastAsia"/>
        </w:rPr>
        <w:t>、实施备用的流动性风险管理工具的情形、程序及对投资者的潜在影响</w:t>
      </w:r>
    </w:p>
    <w:p w:rsidR="004273A3" w:rsidRDefault="004273A3" w:rsidP="004273A3">
      <w:pPr>
        <w:pStyle w:val="-"/>
        <w:ind w:firstLine="420"/>
        <w:rPr>
          <w:rFonts w:hint="eastAsia"/>
        </w:rPr>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摆动定价以及中国证监会认定的其他措施。同时基金管理人应时刻防范可能产生的流动性风险，对流动性风险进行日常监控，保护持有人的利益。当实施备用的流动性风险管理工具时，有可能无法按合同约定的时限支付赎回款项。</w:t>
      </w:r>
    </w:p>
    <w:p w:rsidR="004273A3" w:rsidRDefault="004273A3" w:rsidP="004273A3">
      <w:pPr>
        <w:pStyle w:val="-2"/>
        <w:spacing w:before="156" w:after="156"/>
      </w:pPr>
      <w:r>
        <w:rPr>
          <w:rFonts w:hint="eastAsia"/>
        </w:rPr>
        <w:t>（二）</w:t>
      </w:r>
      <w:r>
        <w:t xml:space="preserve"> </w:t>
      </w:r>
      <w:r>
        <w:t>重要提示</w:t>
      </w:r>
    </w:p>
    <w:p w:rsidR="004273A3" w:rsidRDefault="004273A3" w:rsidP="004273A3">
      <w:pPr>
        <w:pStyle w:val="-"/>
        <w:ind w:firstLine="420"/>
        <w:rPr>
          <w:rFonts w:hint="eastAsia"/>
        </w:rPr>
      </w:pPr>
      <w:r>
        <w:rPr>
          <w:rFonts w:hint="eastAsia"/>
        </w:rPr>
        <w:t>南方</w:t>
      </w:r>
      <w:r>
        <w:rPr>
          <w:rFonts w:hint="eastAsia"/>
        </w:rPr>
        <w:t>ESG</w:t>
      </w:r>
      <w:r>
        <w:rPr>
          <w:rFonts w:hint="eastAsia"/>
        </w:rPr>
        <w:t>主题股票型证券投资基金（以下简称“本基金”）经中国证监会</w:t>
      </w:r>
      <w:r>
        <w:rPr>
          <w:rFonts w:hint="eastAsia"/>
        </w:rPr>
        <w:t>2019</w:t>
      </w:r>
      <w:r>
        <w:rPr>
          <w:rFonts w:hint="eastAsia"/>
        </w:rPr>
        <w:t>年</w:t>
      </w:r>
      <w:r>
        <w:rPr>
          <w:rFonts w:hint="eastAsia"/>
        </w:rPr>
        <w:t>10</w:t>
      </w:r>
      <w:r>
        <w:rPr>
          <w:rFonts w:hint="eastAsia"/>
        </w:rPr>
        <w:t>月</w:t>
      </w:r>
      <w:r>
        <w:rPr>
          <w:rFonts w:hint="eastAsia"/>
        </w:rPr>
        <w:t>29</w:t>
      </w:r>
      <w:r>
        <w:rPr>
          <w:rFonts w:hint="eastAsia"/>
        </w:rPr>
        <w:t>日证监许可</w:t>
      </w:r>
      <w:r>
        <w:rPr>
          <w:rFonts w:hint="eastAsia"/>
        </w:rPr>
        <w:t>[2019]2066</w:t>
      </w:r>
      <w:r>
        <w:rPr>
          <w:rFonts w:hint="eastAsia"/>
        </w:rPr>
        <w:t>号文注册募集。中国证监会对本基金募集的注册，并不表明其对本基金的价值和收益作出实质性判断或保证，也不表明投资于本基金没有风险。</w:t>
      </w:r>
    </w:p>
    <w:p w:rsidR="004273A3" w:rsidRDefault="004273A3" w:rsidP="004273A3">
      <w:pPr>
        <w:pStyle w:val="-"/>
        <w:ind w:firstLine="420"/>
        <w:rPr>
          <w:rFonts w:hint="eastAsia"/>
        </w:rPr>
      </w:pPr>
      <w:r>
        <w:rPr>
          <w:rFonts w:hint="eastAsia"/>
        </w:rPr>
        <w:t>基金管理人依照恪尽职守、诚实信用、谨慎勤勉的原则管理和运用基金财产，但不保证基金一定盈利，也不保证最低收益。</w:t>
      </w:r>
    </w:p>
    <w:p w:rsidR="004273A3" w:rsidRDefault="004273A3" w:rsidP="004273A3">
      <w:pPr>
        <w:pStyle w:val="-"/>
        <w:ind w:firstLine="420"/>
        <w:rPr>
          <w:rFonts w:hint="eastAsia"/>
        </w:rPr>
      </w:pPr>
      <w:r>
        <w:rPr>
          <w:rFonts w:hint="eastAsia"/>
        </w:rPr>
        <w:t>基金投资者自依基金合同取得基金份额，即成为基金份额持有人和基金合同的当事人。</w:t>
      </w:r>
    </w:p>
    <w:p w:rsidR="004273A3" w:rsidRDefault="004273A3" w:rsidP="004273A3">
      <w:pPr>
        <w:pStyle w:val="-"/>
        <w:ind w:firstLine="420"/>
        <w:rPr>
          <w:rFonts w:hint="eastAsia"/>
        </w:rPr>
      </w:pPr>
      <w:r>
        <w:rPr>
          <w:rFonts w:hint="eastAsia"/>
        </w:rPr>
        <w:lastRenderedPageBreak/>
        <w:t>与本基金</w:t>
      </w:r>
      <w:r>
        <w:rPr>
          <w:rFonts w:hint="eastAsia"/>
        </w:rPr>
        <w:t>/</w:t>
      </w:r>
      <w:r>
        <w:rPr>
          <w:rFonts w:hint="eastAsia"/>
        </w:rPr>
        <w:t>基金合同相关的争议解决方式为仲裁。因本基金产生的或与基金合同有关的一切争议，如经友好协商未能解决的，任何一方均有权将争议提交中国国际经济贸易仲裁委员会仲裁，仲裁地点为北京市。</w:t>
      </w:r>
    </w:p>
    <w:p w:rsidR="004273A3" w:rsidRDefault="004273A3" w:rsidP="004273A3">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4273A3" w:rsidRDefault="004273A3" w:rsidP="004273A3">
      <w:pPr>
        <w:pStyle w:val="-1"/>
        <w:spacing w:before="156" w:after="156"/>
        <w:rPr>
          <w:rFonts w:hint="eastAsia"/>
        </w:rPr>
      </w:pPr>
      <w:r>
        <w:rPr>
          <w:rFonts w:hint="eastAsia"/>
        </w:rPr>
        <w:t>五、其他资料查询方式</w:t>
      </w:r>
    </w:p>
    <w:p w:rsidR="004273A3" w:rsidRDefault="004273A3" w:rsidP="004273A3">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4273A3" w:rsidRDefault="004273A3" w:rsidP="004273A3">
      <w:pPr>
        <w:pStyle w:val="-"/>
        <w:ind w:firstLine="420"/>
        <w:rPr>
          <w:rFonts w:hint="eastAsia"/>
        </w:rPr>
      </w:pPr>
      <w:r>
        <w:rPr>
          <w:rFonts w:hint="eastAsia"/>
        </w:rPr>
        <w:t>●《南方</w:t>
      </w:r>
      <w:r>
        <w:rPr>
          <w:rFonts w:hint="eastAsia"/>
        </w:rPr>
        <w:t>ESG</w:t>
      </w:r>
      <w:r>
        <w:rPr>
          <w:rFonts w:hint="eastAsia"/>
        </w:rPr>
        <w:t>主题股票型证券投资基金基金合同》、</w:t>
      </w:r>
    </w:p>
    <w:p w:rsidR="004273A3" w:rsidRDefault="004273A3" w:rsidP="004273A3">
      <w:pPr>
        <w:pStyle w:val="-"/>
        <w:ind w:firstLine="420"/>
        <w:rPr>
          <w:rFonts w:hint="eastAsia"/>
        </w:rPr>
      </w:pPr>
      <w:r>
        <w:rPr>
          <w:rFonts w:hint="eastAsia"/>
        </w:rPr>
        <w:t>《南方</w:t>
      </w:r>
      <w:r>
        <w:rPr>
          <w:rFonts w:hint="eastAsia"/>
        </w:rPr>
        <w:t>ESG</w:t>
      </w:r>
      <w:r>
        <w:rPr>
          <w:rFonts w:hint="eastAsia"/>
        </w:rPr>
        <w:t>主题股票型证券投资基金托管协议》、</w:t>
      </w:r>
    </w:p>
    <w:p w:rsidR="004273A3" w:rsidRDefault="004273A3" w:rsidP="004273A3">
      <w:pPr>
        <w:pStyle w:val="-"/>
        <w:ind w:firstLine="420"/>
        <w:rPr>
          <w:rFonts w:hint="eastAsia"/>
        </w:rPr>
      </w:pPr>
      <w:r>
        <w:rPr>
          <w:rFonts w:hint="eastAsia"/>
        </w:rPr>
        <w:t>《南方</w:t>
      </w:r>
      <w:r>
        <w:rPr>
          <w:rFonts w:hint="eastAsia"/>
        </w:rPr>
        <w:t>ESG</w:t>
      </w:r>
      <w:r>
        <w:rPr>
          <w:rFonts w:hint="eastAsia"/>
        </w:rPr>
        <w:t>主题股票型证券投资基金招募说明书》</w:t>
      </w:r>
    </w:p>
    <w:p w:rsidR="004273A3" w:rsidRDefault="004273A3" w:rsidP="004273A3">
      <w:pPr>
        <w:pStyle w:val="-"/>
        <w:ind w:firstLine="420"/>
        <w:rPr>
          <w:rFonts w:hint="eastAsia"/>
        </w:rPr>
      </w:pPr>
      <w:r>
        <w:rPr>
          <w:rFonts w:hint="eastAsia"/>
        </w:rPr>
        <w:t>●定期报告、包括基金季度报告、中期报告和年度报告</w:t>
      </w:r>
    </w:p>
    <w:p w:rsidR="004273A3" w:rsidRDefault="004273A3" w:rsidP="004273A3">
      <w:pPr>
        <w:pStyle w:val="-"/>
        <w:ind w:firstLine="420"/>
        <w:rPr>
          <w:rFonts w:hint="eastAsia"/>
        </w:rPr>
      </w:pPr>
      <w:r>
        <w:rPr>
          <w:rFonts w:hint="eastAsia"/>
        </w:rPr>
        <w:t>●基金份额净值</w:t>
      </w:r>
    </w:p>
    <w:p w:rsidR="004273A3" w:rsidRDefault="004273A3" w:rsidP="004273A3">
      <w:pPr>
        <w:pStyle w:val="-"/>
        <w:ind w:firstLine="420"/>
        <w:rPr>
          <w:rFonts w:hint="eastAsia"/>
        </w:rPr>
      </w:pPr>
      <w:r>
        <w:rPr>
          <w:rFonts w:hint="eastAsia"/>
        </w:rPr>
        <w:t>●基金销售机构及联系方式</w:t>
      </w:r>
    </w:p>
    <w:p w:rsidR="004273A3" w:rsidRDefault="004273A3" w:rsidP="004273A3">
      <w:pPr>
        <w:pStyle w:val="-"/>
        <w:ind w:firstLine="420"/>
        <w:rPr>
          <w:rFonts w:hint="eastAsia"/>
        </w:rPr>
      </w:pPr>
      <w:r>
        <w:rPr>
          <w:rFonts w:hint="eastAsia"/>
        </w:rPr>
        <w:t>●其他重要资料</w:t>
      </w:r>
    </w:p>
    <w:p w:rsidR="004273A3" w:rsidRDefault="004273A3" w:rsidP="004273A3">
      <w:pPr>
        <w:pStyle w:val="-1"/>
        <w:spacing w:before="156" w:after="156"/>
        <w:rPr>
          <w:rFonts w:hint="eastAsia"/>
        </w:rPr>
      </w:pPr>
      <w:r>
        <w:rPr>
          <w:rFonts w:hint="eastAsia"/>
        </w:rPr>
        <w:t>六、其他情况说明</w:t>
      </w:r>
    </w:p>
    <w:p w:rsidR="004273A3" w:rsidRDefault="004273A3" w:rsidP="004273A3">
      <w:pPr>
        <w:pStyle w:val="-"/>
        <w:ind w:firstLine="420"/>
        <w:rPr>
          <w:rFonts w:hint="eastAsia"/>
        </w:rPr>
      </w:pPr>
      <w:bookmarkStart w:id="0" w:name="_GoBack"/>
      <w:bookmarkEnd w:id="0"/>
      <w:r>
        <w:rPr>
          <w:rFonts w:hint="eastAsia"/>
        </w:rPr>
        <w:t>暂无。</w:t>
      </w:r>
    </w:p>
    <w:p w:rsidR="00E67375" w:rsidRPr="00ED7F31" w:rsidRDefault="004273A3" w:rsidP="004273A3">
      <w:pPr>
        <w:pStyle w:val="-"/>
        <w:ind w:firstLine="420"/>
      </w:pPr>
      <w:r w:rsidRPr="00A84177">
        <w:t xml:space="preserve"> </w:t>
      </w:r>
    </w:p>
    <w:sectPr w:rsidR="00E67375" w:rsidRPr="00ED7F31" w:rsidSect="00F03A8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3A3" w:rsidRDefault="004273A3" w:rsidP="00C06F04">
      <w:r>
        <w:separator/>
      </w:r>
    </w:p>
  </w:endnote>
  <w:endnote w:type="continuationSeparator" w:id="0">
    <w:p w:rsidR="004273A3" w:rsidRDefault="004273A3"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3A3" w:rsidRDefault="004273A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4273A3" w:rsidRPr="004273A3">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3A3" w:rsidRDefault="004273A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3A3" w:rsidRDefault="004273A3" w:rsidP="00C06F04">
      <w:r>
        <w:separator/>
      </w:r>
    </w:p>
  </w:footnote>
  <w:footnote w:type="continuationSeparator" w:id="0">
    <w:p w:rsidR="004273A3" w:rsidRDefault="004273A3"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3A3" w:rsidRDefault="004273A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4273A3" w:rsidP="00CE07B7">
    <w:pPr>
      <w:pStyle w:val="a6"/>
      <w:jc w:val="right"/>
    </w:pPr>
    <w:r>
      <w:rPr>
        <w:rFonts w:hint="eastAsia"/>
      </w:rPr>
      <w:t>南方</w:t>
    </w:r>
    <w:r>
      <w:rPr>
        <w:rFonts w:hint="eastAsia"/>
      </w:rPr>
      <w:t>ESG</w:t>
    </w:r>
    <w:r>
      <w:rPr>
        <w:rFonts w:hint="eastAsia"/>
      </w:rPr>
      <w:t>主题股票型证券投资基金（</w:t>
    </w:r>
    <w:r>
      <w:rPr>
        <w:rFonts w:hint="eastAsia"/>
      </w:rPr>
      <w:t>C</w:t>
    </w:r>
    <w:r>
      <w:rPr>
        <w:rFonts w:hint="eastAsia"/>
      </w:rPr>
      <w:t>类份额）基金产品资料概要（更新）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3A3" w:rsidRDefault="004273A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73A3"/>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6EC49-F9EA-4E11-933F-43F9C700B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967</Words>
  <Characters>5512</Characters>
  <Application>Microsoft Office Word</Application>
  <DocSecurity>0</DocSecurity>
  <Lines>45</Lines>
  <Paragraphs>12</Paragraphs>
  <ScaleCrop>false</ScaleCrop>
  <Company>MC SYSTEM</Company>
  <LinksUpToDate>false</LinksUpToDate>
  <CharactersWithSpaces>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Windows 用户</cp:lastModifiedBy>
  <cp:revision>1</cp:revision>
  <dcterms:created xsi:type="dcterms:W3CDTF">2021-10-18T07:07:00Z</dcterms:created>
  <dcterms:modified xsi:type="dcterms:W3CDTF">2021-10-18T07:07:00Z</dcterms:modified>
</cp:coreProperties>
</file>