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pn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15A4" w:rsidRPr="001C46F3" w:rsidRDefault="00FE3021" w:rsidP="00EA5DE4">
      <w:pPr>
        <w:spacing w:line="420" w:lineRule="exact"/>
        <w:jc w:val="center"/>
        <w:rPr>
          <w:rFonts w:ascii="宋体" w:hAnsi="方正黑体简体" w:cs="方正黑体简体"/>
          <w:b/>
          <w:bCs/>
          <w:iCs/>
          <w:sz w:val="31"/>
          <w:szCs w:val="36"/>
        </w:rPr>
      </w:pPr>
      <w:r>
        <w:rPr>
          <w:rFonts w:ascii="宋体" w:hAnsi="方正黑体简体" w:cs="方正黑体简体" w:hint="eastAsia"/>
          <w:b/>
          <w:bCs/>
          <w:iCs/>
          <w:sz w:val="31"/>
          <w:szCs w:val="36"/>
        </w:rPr>
        <w:t>南方全球精选配置证券投资基金基金产品资料概要（更新）</w:t>
      </w:r>
    </w:p>
    <w:p w:rsidR="00544E9D" w:rsidRDefault="00544E9D" w:rsidP="008B15A4">
      <w:pPr>
        <w:spacing w:line="420" w:lineRule="exact"/>
        <w:jc w:val="center"/>
        <w:rPr>
          <w:rFonts w:ascii="方正黑体简体" w:eastAsia="方正黑体简体" w:hAnsi="方正黑体简体" w:cs="方正黑体简体"/>
          <w:bCs/>
          <w:iCs/>
          <w:sz w:val="36"/>
          <w:szCs w:val="36"/>
        </w:rPr>
      </w:pPr>
    </w:p>
    <w:p w:rsidR="009B4E06" w:rsidRPr="009B4E06" w:rsidRDefault="009B4E06" w:rsidP="009B4E06">
      <w:pPr>
        <w:pStyle w:val="-"/>
        <w:spacing w:before="62"/>
        <w:ind w:firstLine="480"/>
        <w:jc w:val="right"/>
        <w:rPr>
          <w:rFonts w:ascii="仿宋" w:hAnsi="仿宋"/>
          <w:color w:val="000000" w:themeColor="text1"/>
          <w:sz w:val="24"/>
          <w:szCs w:val="24"/>
        </w:rPr>
      </w:pPr>
      <w:r w:rsidRPr="009B4E06">
        <w:rPr>
          <w:rFonts w:ascii="仿宋" w:hAnsi="仿宋" w:hint="eastAsia"/>
          <w:color w:val="000000" w:themeColor="text1"/>
          <w:sz w:val="24"/>
          <w:szCs w:val="24"/>
        </w:rPr>
        <w:t>编制日期：</w:t>
      </w:r>
      <w:r w:rsidR="00FE3021">
        <w:rPr>
          <w:rFonts w:ascii="仿宋" w:hAnsi="仿宋"/>
          <w:color w:val="000000" w:themeColor="text1"/>
          <w:sz w:val="24"/>
          <w:szCs w:val="24"/>
        </w:rPr>
        <w:t>2021年9月9日</w:t>
      </w:r>
    </w:p>
    <w:p w:rsidR="009B4E06" w:rsidRPr="009B4E06" w:rsidRDefault="009B4E06" w:rsidP="009B4E06">
      <w:pPr>
        <w:pStyle w:val="-"/>
        <w:spacing w:before="62"/>
        <w:ind w:firstLine="480"/>
        <w:jc w:val="center"/>
        <w:rPr>
          <w:rFonts w:ascii="仿宋" w:hAnsi="仿宋"/>
          <w:color w:val="000000" w:themeColor="text1"/>
          <w:sz w:val="24"/>
          <w:szCs w:val="24"/>
        </w:rPr>
      </w:pPr>
      <w:r w:rsidRPr="009B4E06">
        <w:rPr>
          <w:rFonts w:ascii="仿宋" w:hAnsi="仿宋"/>
          <w:color w:val="000000" w:themeColor="text1"/>
          <w:sz w:val="24"/>
          <w:szCs w:val="24"/>
        </w:rPr>
        <w:t>送出日期：</w:t>
      </w:r>
      <w:r w:rsidR="00FE3021">
        <w:rPr>
          <w:rFonts w:ascii="仿宋" w:hAnsi="仿宋"/>
          <w:color w:val="000000" w:themeColor="text1"/>
          <w:sz w:val="24"/>
          <w:szCs w:val="24"/>
        </w:rPr>
        <w:t>2021年10月8日</w:t>
      </w:r>
    </w:p>
    <w:p w:rsidR="008B15A4" w:rsidRPr="009B4E06" w:rsidRDefault="008B15A4" w:rsidP="00EA5DE4">
      <w:pPr>
        <w:tabs>
          <w:tab w:val="left" w:pos="7770"/>
        </w:tabs>
        <w:spacing w:line="500" w:lineRule="exact"/>
        <w:jc w:val="center"/>
        <w:rPr>
          <w:rFonts w:ascii="宋体" w:hAnsi="方正黑体简体" w:cs="方正黑体简体"/>
          <w:b/>
          <w:bCs/>
          <w:iCs/>
          <w:color w:val="000000" w:themeColor="text1"/>
          <w:sz w:val="31"/>
          <w:szCs w:val="30"/>
        </w:rPr>
      </w:pPr>
      <w:r w:rsidRPr="009B4E06">
        <w:rPr>
          <w:rFonts w:ascii="宋体" w:hAnsi="方正黑体简体" w:cs="方正黑体简体" w:hint="eastAsia"/>
          <w:b/>
          <w:bCs/>
          <w:iCs/>
          <w:color w:val="000000" w:themeColor="text1"/>
          <w:sz w:val="31"/>
          <w:szCs w:val="30"/>
        </w:rPr>
        <w:t>本概要提供本基金的重要信息，是招募说明书的一部分。</w:t>
      </w:r>
    </w:p>
    <w:p w:rsidR="008B15A4" w:rsidRPr="009B4E06" w:rsidRDefault="008B15A4" w:rsidP="00EA5DE4">
      <w:pPr>
        <w:jc w:val="center"/>
        <w:rPr>
          <w:rFonts w:ascii="宋体"/>
          <w:b/>
          <w:color w:val="000000" w:themeColor="text1"/>
          <w:sz w:val="31"/>
          <w:szCs w:val="30"/>
        </w:rPr>
      </w:pPr>
      <w:r w:rsidRPr="009B4E06">
        <w:rPr>
          <w:rFonts w:ascii="宋体" w:hint="eastAsia"/>
          <w:b/>
          <w:color w:val="000000" w:themeColor="text1"/>
          <w:sz w:val="31"/>
          <w:szCs w:val="30"/>
        </w:rPr>
        <w:t>作出投资决定前，请阅读完整的招募说明书等销售文件。</w:t>
      </w:r>
    </w:p>
    <w:p w:rsidR="00FE3021" w:rsidRDefault="00FE3021" w:rsidP="00FE3021">
      <w:pPr>
        <w:pStyle w:val="-1"/>
        <w:spacing w:before="156" w:after="156"/>
        <w:rPr>
          <w:rFonts w:hint="eastAsia"/>
        </w:rPr>
      </w:pPr>
      <w:r>
        <w:rPr>
          <w:rFonts w:hint="eastAsia"/>
        </w:rPr>
        <w:t>一、产品概况</w:t>
      </w:r>
    </w:p>
    <w:tbl>
      <w:tblPr>
        <w:tblStyle w:val="-noheader"/>
        <w:tblW w:w="0" w:type="auto"/>
        <w:tblLayout w:type="fixed"/>
        <w:tblLook w:val="04A0" w:firstRow="1" w:lastRow="0" w:firstColumn="1" w:lastColumn="0" w:noHBand="0" w:noVBand="1"/>
      </w:tblPr>
      <w:tblGrid>
        <w:gridCol w:w="2076"/>
        <w:gridCol w:w="2076"/>
        <w:gridCol w:w="2077"/>
        <w:gridCol w:w="2077"/>
      </w:tblGrid>
      <w:tr w:rsidR="00FE3021" w:rsidTr="00FE3021">
        <w:tc>
          <w:tcPr>
            <w:tcW w:w="2076" w:type="dxa"/>
          </w:tcPr>
          <w:p w:rsidR="00FE3021" w:rsidRDefault="00FE3021" w:rsidP="00FE3021">
            <w:pPr>
              <w:jc w:val="left"/>
            </w:pPr>
            <w:r>
              <w:rPr>
                <w:rFonts w:hint="eastAsia"/>
              </w:rPr>
              <w:t>基金简称</w:t>
            </w:r>
          </w:p>
        </w:tc>
        <w:tc>
          <w:tcPr>
            <w:tcW w:w="2076" w:type="dxa"/>
          </w:tcPr>
          <w:p w:rsidR="00FE3021" w:rsidRDefault="00FE3021" w:rsidP="00FE3021">
            <w:pPr>
              <w:jc w:val="left"/>
            </w:pPr>
            <w:r>
              <w:rPr>
                <w:rFonts w:hint="eastAsia"/>
              </w:rPr>
              <w:t>南方全球精选配置</w:t>
            </w:r>
            <w:r>
              <w:rPr>
                <w:rFonts w:hint="eastAsia"/>
              </w:rPr>
              <w:t>(QDII-FOF)</w:t>
            </w:r>
          </w:p>
        </w:tc>
        <w:tc>
          <w:tcPr>
            <w:tcW w:w="2077" w:type="dxa"/>
          </w:tcPr>
          <w:p w:rsidR="00FE3021" w:rsidRDefault="00FE3021" w:rsidP="00FE3021">
            <w:pPr>
              <w:jc w:val="left"/>
            </w:pPr>
            <w:r>
              <w:rPr>
                <w:rFonts w:hint="eastAsia"/>
              </w:rPr>
              <w:t>基金代码</w:t>
            </w:r>
          </w:p>
        </w:tc>
        <w:tc>
          <w:tcPr>
            <w:tcW w:w="2077" w:type="dxa"/>
          </w:tcPr>
          <w:p w:rsidR="00FE3021" w:rsidRDefault="00FE3021" w:rsidP="00FE3021">
            <w:pPr>
              <w:jc w:val="left"/>
            </w:pPr>
            <w:r>
              <w:t>202801</w:t>
            </w:r>
          </w:p>
        </w:tc>
      </w:tr>
      <w:tr w:rsidR="00FE3021" w:rsidTr="00FE3021">
        <w:tc>
          <w:tcPr>
            <w:tcW w:w="2076" w:type="dxa"/>
          </w:tcPr>
          <w:p w:rsidR="00FE3021" w:rsidRDefault="00FE3021" w:rsidP="00FE3021">
            <w:pPr>
              <w:jc w:val="left"/>
            </w:pPr>
            <w:r>
              <w:rPr>
                <w:rFonts w:hint="eastAsia"/>
              </w:rPr>
              <w:t>基金管理人</w:t>
            </w:r>
          </w:p>
        </w:tc>
        <w:tc>
          <w:tcPr>
            <w:tcW w:w="2076" w:type="dxa"/>
          </w:tcPr>
          <w:p w:rsidR="00FE3021" w:rsidRDefault="00FE3021" w:rsidP="00FE3021">
            <w:pPr>
              <w:jc w:val="left"/>
            </w:pPr>
            <w:r>
              <w:rPr>
                <w:rFonts w:hint="eastAsia"/>
              </w:rPr>
              <w:t>南方基金管理股份有限公司</w:t>
            </w:r>
          </w:p>
        </w:tc>
        <w:tc>
          <w:tcPr>
            <w:tcW w:w="2077" w:type="dxa"/>
          </w:tcPr>
          <w:p w:rsidR="00FE3021" w:rsidRDefault="00FE3021" w:rsidP="00FE3021">
            <w:pPr>
              <w:jc w:val="left"/>
            </w:pPr>
            <w:r>
              <w:rPr>
                <w:rFonts w:hint="eastAsia"/>
              </w:rPr>
              <w:t>基金托管人</w:t>
            </w:r>
          </w:p>
        </w:tc>
        <w:tc>
          <w:tcPr>
            <w:tcW w:w="2077" w:type="dxa"/>
          </w:tcPr>
          <w:p w:rsidR="00FE3021" w:rsidRDefault="00FE3021" w:rsidP="00FE3021">
            <w:pPr>
              <w:jc w:val="left"/>
            </w:pPr>
            <w:r>
              <w:rPr>
                <w:rFonts w:hint="eastAsia"/>
              </w:rPr>
              <w:t>中国工商银行股份有限公司</w:t>
            </w:r>
          </w:p>
        </w:tc>
      </w:tr>
      <w:tr w:rsidR="00FE3021" w:rsidTr="00FE3021">
        <w:tc>
          <w:tcPr>
            <w:tcW w:w="2076" w:type="dxa"/>
          </w:tcPr>
          <w:p w:rsidR="00FE3021" w:rsidRDefault="00FE3021" w:rsidP="00FE3021">
            <w:pPr>
              <w:jc w:val="left"/>
            </w:pPr>
            <w:r>
              <w:rPr>
                <w:rFonts w:hint="eastAsia"/>
              </w:rPr>
              <w:t>境外托管人中文名称</w:t>
            </w:r>
          </w:p>
        </w:tc>
        <w:tc>
          <w:tcPr>
            <w:tcW w:w="2076" w:type="dxa"/>
          </w:tcPr>
          <w:p w:rsidR="00FE3021" w:rsidRDefault="00FE3021" w:rsidP="00FE3021">
            <w:pPr>
              <w:jc w:val="left"/>
            </w:pPr>
            <w:r>
              <w:rPr>
                <w:rFonts w:hint="eastAsia"/>
              </w:rPr>
              <w:t>纽约梅隆银行股份有限公司</w:t>
            </w:r>
          </w:p>
        </w:tc>
        <w:tc>
          <w:tcPr>
            <w:tcW w:w="2077" w:type="dxa"/>
          </w:tcPr>
          <w:p w:rsidR="00FE3021" w:rsidRDefault="00FE3021" w:rsidP="00FE3021">
            <w:pPr>
              <w:jc w:val="left"/>
            </w:pPr>
            <w:r>
              <w:rPr>
                <w:rFonts w:hint="eastAsia"/>
              </w:rPr>
              <w:t>境外托管人英文名称</w:t>
            </w:r>
          </w:p>
        </w:tc>
        <w:tc>
          <w:tcPr>
            <w:tcW w:w="2077" w:type="dxa"/>
          </w:tcPr>
          <w:p w:rsidR="00FE3021" w:rsidRDefault="00FE3021" w:rsidP="00FE3021">
            <w:pPr>
              <w:jc w:val="left"/>
            </w:pPr>
            <w:r>
              <w:t>The Bank of New York Mellon Corporation</w:t>
            </w:r>
          </w:p>
        </w:tc>
      </w:tr>
      <w:tr w:rsidR="00FE3021" w:rsidTr="002B442B">
        <w:tc>
          <w:tcPr>
            <w:tcW w:w="2076" w:type="dxa"/>
          </w:tcPr>
          <w:p w:rsidR="00FE3021" w:rsidRDefault="00FE3021" w:rsidP="00FE3021">
            <w:pPr>
              <w:jc w:val="left"/>
            </w:pPr>
            <w:r>
              <w:rPr>
                <w:rFonts w:hint="eastAsia"/>
              </w:rPr>
              <w:t>基金合同生效日</w:t>
            </w:r>
          </w:p>
        </w:tc>
        <w:tc>
          <w:tcPr>
            <w:tcW w:w="6230" w:type="dxa"/>
            <w:gridSpan w:val="3"/>
          </w:tcPr>
          <w:p w:rsidR="00FE3021" w:rsidRDefault="00FE3021" w:rsidP="00FE3021">
            <w:pPr>
              <w:jc w:val="left"/>
            </w:pPr>
            <w:r>
              <w:rPr>
                <w:rFonts w:hint="eastAsia"/>
              </w:rPr>
              <w:t>2007</w:t>
            </w:r>
            <w:r>
              <w:rPr>
                <w:rFonts w:hint="eastAsia"/>
              </w:rPr>
              <w:t>年</w:t>
            </w:r>
            <w:r>
              <w:rPr>
                <w:rFonts w:hint="eastAsia"/>
              </w:rPr>
              <w:t>9</w:t>
            </w:r>
            <w:r>
              <w:rPr>
                <w:rFonts w:hint="eastAsia"/>
              </w:rPr>
              <w:t>月</w:t>
            </w:r>
            <w:r>
              <w:rPr>
                <w:rFonts w:hint="eastAsia"/>
              </w:rPr>
              <w:t>19</w:t>
            </w:r>
            <w:r>
              <w:rPr>
                <w:rFonts w:hint="eastAsia"/>
              </w:rPr>
              <w:t>日</w:t>
            </w:r>
          </w:p>
        </w:tc>
      </w:tr>
      <w:tr w:rsidR="00FE3021" w:rsidTr="00FE3021">
        <w:tc>
          <w:tcPr>
            <w:tcW w:w="2076" w:type="dxa"/>
          </w:tcPr>
          <w:p w:rsidR="00FE3021" w:rsidRDefault="00FE3021" w:rsidP="00FE3021">
            <w:pPr>
              <w:jc w:val="left"/>
            </w:pPr>
            <w:r>
              <w:rPr>
                <w:rFonts w:hint="eastAsia"/>
              </w:rPr>
              <w:t>基金类型</w:t>
            </w:r>
          </w:p>
        </w:tc>
        <w:tc>
          <w:tcPr>
            <w:tcW w:w="2076" w:type="dxa"/>
          </w:tcPr>
          <w:p w:rsidR="00FE3021" w:rsidRDefault="00FE3021" w:rsidP="00FE3021">
            <w:pPr>
              <w:jc w:val="left"/>
            </w:pPr>
            <w:r>
              <w:rPr>
                <w:rFonts w:hint="eastAsia"/>
              </w:rPr>
              <w:t>股票型</w:t>
            </w:r>
          </w:p>
        </w:tc>
        <w:tc>
          <w:tcPr>
            <w:tcW w:w="2077" w:type="dxa"/>
          </w:tcPr>
          <w:p w:rsidR="00FE3021" w:rsidRDefault="00FE3021" w:rsidP="00FE3021">
            <w:pPr>
              <w:jc w:val="left"/>
            </w:pPr>
            <w:r>
              <w:rPr>
                <w:rFonts w:hint="eastAsia"/>
              </w:rPr>
              <w:t>交易币种</w:t>
            </w:r>
          </w:p>
        </w:tc>
        <w:tc>
          <w:tcPr>
            <w:tcW w:w="2077" w:type="dxa"/>
          </w:tcPr>
          <w:p w:rsidR="00FE3021" w:rsidRDefault="00FE3021" w:rsidP="00FE3021">
            <w:pPr>
              <w:jc w:val="left"/>
            </w:pPr>
            <w:r>
              <w:rPr>
                <w:rFonts w:hint="eastAsia"/>
              </w:rPr>
              <w:t>人民币</w:t>
            </w:r>
          </w:p>
        </w:tc>
      </w:tr>
      <w:tr w:rsidR="00FE3021" w:rsidTr="00B616BD">
        <w:tc>
          <w:tcPr>
            <w:tcW w:w="2076" w:type="dxa"/>
          </w:tcPr>
          <w:p w:rsidR="00FE3021" w:rsidRDefault="00FE3021" w:rsidP="00FE3021">
            <w:pPr>
              <w:jc w:val="left"/>
            </w:pPr>
            <w:r>
              <w:rPr>
                <w:rFonts w:hint="eastAsia"/>
              </w:rPr>
              <w:t>运作方式</w:t>
            </w:r>
          </w:p>
        </w:tc>
        <w:tc>
          <w:tcPr>
            <w:tcW w:w="6230" w:type="dxa"/>
            <w:gridSpan w:val="3"/>
          </w:tcPr>
          <w:p w:rsidR="00FE3021" w:rsidRDefault="00FE3021" w:rsidP="00FE3021">
            <w:pPr>
              <w:jc w:val="left"/>
            </w:pPr>
            <w:r>
              <w:rPr>
                <w:rFonts w:hint="eastAsia"/>
              </w:rPr>
              <w:t>普通开放式</w:t>
            </w:r>
          </w:p>
        </w:tc>
      </w:tr>
      <w:tr w:rsidR="00FE3021" w:rsidTr="006C45D4">
        <w:tc>
          <w:tcPr>
            <w:tcW w:w="2076" w:type="dxa"/>
          </w:tcPr>
          <w:p w:rsidR="00FE3021" w:rsidRDefault="00FE3021" w:rsidP="00FE3021">
            <w:pPr>
              <w:jc w:val="left"/>
            </w:pPr>
            <w:r>
              <w:rPr>
                <w:rFonts w:hint="eastAsia"/>
              </w:rPr>
              <w:t>开放频率</w:t>
            </w:r>
          </w:p>
        </w:tc>
        <w:tc>
          <w:tcPr>
            <w:tcW w:w="6230" w:type="dxa"/>
            <w:gridSpan w:val="3"/>
          </w:tcPr>
          <w:p w:rsidR="00FE3021" w:rsidRDefault="00FE3021" w:rsidP="00FE3021">
            <w:pPr>
              <w:jc w:val="left"/>
            </w:pPr>
            <w:r>
              <w:rPr>
                <w:rFonts w:hint="eastAsia"/>
              </w:rPr>
              <w:t>参见南方</w:t>
            </w:r>
            <w:r>
              <w:rPr>
                <w:rFonts w:hint="eastAsia"/>
              </w:rPr>
              <w:t>QDII</w:t>
            </w:r>
            <w:r>
              <w:rPr>
                <w:rFonts w:hint="eastAsia"/>
              </w:rPr>
              <w:t>产品开放日列表</w:t>
            </w:r>
          </w:p>
        </w:tc>
      </w:tr>
      <w:tr w:rsidR="00FE3021" w:rsidTr="00FE3021">
        <w:tc>
          <w:tcPr>
            <w:tcW w:w="2076" w:type="dxa"/>
            <w:vMerge w:val="restart"/>
          </w:tcPr>
          <w:p w:rsidR="00FE3021" w:rsidRDefault="00FE3021" w:rsidP="00FE3021">
            <w:pPr>
              <w:jc w:val="left"/>
            </w:pPr>
            <w:r>
              <w:rPr>
                <w:rFonts w:hint="eastAsia"/>
              </w:rPr>
              <w:t>基金经理</w:t>
            </w:r>
          </w:p>
        </w:tc>
        <w:tc>
          <w:tcPr>
            <w:tcW w:w="2076" w:type="dxa"/>
            <w:vMerge w:val="restart"/>
          </w:tcPr>
          <w:p w:rsidR="00FE3021" w:rsidRDefault="00FE3021" w:rsidP="00FE3021">
            <w:pPr>
              <w:jc w:val="left"/>
            </w:pPr>
            <w:r>
              <w:rPr>
                <w:rFonts w:hint="eastAsia"/>
              </w:rPr>
              <w:t>黄亮</w:t>
            </w:r>
          </w:p>
        </w:tc>
        <w:tc>
          <w:tcPr>
            <w:tcW w:w="2077" w:type="dxa"/>
          </w:tcPr>
          <w:p w:rsidR="00FE3021" w:rsidRDefault="00FE3021" w:rsidP="00FE3021">
            <w:pPr>
              <w:jc w:val="left"/>
            </w:pPr>
            <w:r>
              <w:rPr>
                <w:rFonts w:hint="eastAsia"/>
              </w:rPr>
              <w:t>开始担任本基金基金经理的日期</w:t>
            </w:r>
          </w:p>
        </w:tc>
        <w:tc>
          <w:tcPr>
            <w:tcW w:w="2077" w:type="dxa"/>
          </w:tcPr>
          <w:p w:rsidR="00FE3021" w:rsidRDefault="00FE3021" w:rsidP="00FE3021">
            <w:pPr>
              <w:jc w:val="left"/>
            </w:pPr>
            <w:r>
              <w:rPr>
                <w:rFonts w:hint="eastAsia"/>
              </w:rPr>
              <w:t>2009</w:t>
            </w:r>
            <w:r>
              <w:rPr>
                <w:rFonts w:hint="eastAsia"/>
              </w:rPr>
              <w:t>年</w:t>
            </w:r>
            <w:r>
              <w:rPr>
                <w:rFonts w:hint="eastAsia"/>
              </w:rPr>
              <w:t>6</w:t>
            </w:r>
            <w:r>
              <w:rPr>
                <w:rFonts w:hint="eastAsia"/>
              </w:rPr>
              <w:t>月</w:t>
            </w:r>
            <w:r>
              <w:rPr>
                <w:rFonts w:hint="eastAsia"/>
              </w:rPr>
              <w:t>25</w:t>
            </w:r>
            <w:r>
              <w:rPr>
                <w:rFonts w:hint="eastAsia"/>
              </w:rPr>
              <w:t>日</w:t>
            </w:r>
          </w:p>
        </w:tc>
      </w:tr>
      <w:tr w:rsidR="00FE3021" w:rsidTr="00FE3021">
        <w:tc>
          <w:tcPr>
            <w:tcW w:w="2076" w:type="dxa"/>
            <w:vMerge/>
          </w:tcPr>
          <w:p w:rsidR="00FE3021" w:rsidRDefault="00FE3021" w:rsidP="00FE3021">
            <w:pPr>
              <w:jc w:val="left"/>
            </w:pPr>
          </w:p>
        </w:tc>
        <w:tc>
          <w:tcPr>
            <w:tcW w:w="2076" w:type="dxa"/>
            <w:vMerge/>
          </w:tcPr>
          <w:p w:rsidR="00FE3021" w:rsidRDefault="00FE3021" w:rsidP="00FE3021">
            <w:pPr>
              <w:jc w:val="left"/>
            </w:pPr>
          </w:p>
        </w:tc>
        <w:tc>
          <w:tcPr>
            <w:tcW w:w="2077" w:type="dxa"/>
          </w:tcPr>
          <w:p w:rsidR="00FE3021" w:rsidRDefault="00FE3021" w:rsidP="00FE3021">
            <w:pPr>
              <w:jc w:val="left"/>
            </w:pPr>
            <w:r>
              <w:rPr>
                <w:rFonts w:hint="eastAsia"/>
              </w:rPr>
              <w:t>证券从业日期</w:t>
            </w:r>
          </w:p>
        </w:tc>
        <w:tc>
          <w:tcPr>
            <w:tcW w:w="2077" w:type="dxa"/>
          </w:tcPr>
          <w:p w:rsidR="00FE3021" w:rsidRDefault="00FE3021" w:rsidP="00FE3021">
            <w:pPr>
              <w:jc w:val="left"/>
            </w:pPr>
            <w:r>
              <w:rPr>
                <w:rFonts w:hint="eastAsia"/>
              </w:rPr>
              <w:t>2001</w:t>
            </w:r>
            <w:r>
              <w:rPr>
                <w:rFonts w:hint="eastAsia"/>
              </w:rPr>
              <w:t>年</w:t>
            </w:r>
            <w:r>
              <w:rPr>
                <w:rFonts w:hint="eastAsia"/>
              </w:rPr>
              <w:t>2</w:t>
            </w:r>
            <w:r>
              <w:rPr>
                <w:rFonts w:hint="eastAsia"/>
              </w:rPr>
              <w:t>月</w:t>
            </w:r>
            <w:r>
              <w:rPr>
                <w:rFonts w:hint="eastAsia"/>
              </w:rPr>
              <w:t>2</w:t>
            </w:r>
            <w:r>
              <w:rPr>
                <w:rFonts w:hint="eastAsia"/>
              </w:rPr>
              <w:t>日</w:t>
            </w:r>
          </w:p>
        </w:tc>
      </w:tr>
    </w:tbl>
    <w:p w:rsidR="00FE3021" w:rsidRDefault="00FE3021" w:rsidP="00FE3021">
      <w:pPr>
        <w:pStyle w:val="-1"/>
        <w:spacing w:before="156" w:after="156"/>
        <w:rPr>
          <w:rFonts w:hint="eastAsia"/>
        </w:rPr>
      </w:pPr>
      <w:r>
        <w:rPr>
          <w:rFonts w:hint="eastAsia"/>
        </w:rPr>
        <w:t>二、基金投资与净值表现</w:t>
      </w:r>
    </w:p>
    <w:p w:rsidR="00FE3021" w:rsidRDefault="00FE3021" w:rsidP="00FE3021">
      <w:pPr>
        <w:pStyle w:val="-2"/>
        <w:spacing w:before="156" w:after="156"/>
        <w:rPr>
          <w:rFonts w:hint="eastAsia"/>
        </w:rPr>
      </w:pPr>
      <w:r>
        <w:rPr>
          <w:rFonts w:hint="eastAsia"/>
        </w:rPr>
        <w:t>（一）</w:t>
      </w:r>
      <w:r>
        <w:rPr>
          <w:rFonts w:hint="eastAsia"/>
        </w:rPr>
        <w:t xml:space="preserve"> </w:t>
      </w:r>
      <w:r>
        <w:rPr>
          <w:rFonts w:hint="eastAsia"/>
        </w:rPr>
        <w:t>投资目标与投资策略</w:t>
      </w:r>
    </w:p>
    <w:p w:rsidR="00FE3021" w:rsidRDefault="00FE3021" w:rsidP="00FE3021">
      <w:pPr>
        <w:pStyle w:val="-"/>
        <w:ind w:firstLine="420"/>
        <w:rPr>
          <w:rFonts w:hint="eastAsia"/>
        </w:rPr>
      </w:pPr>
      <w:r>
        <w:rPr>
          <w:rFonts w:hint="eastAsia"/>
        </w:rPr>
        <w:t>详见《南方全球精选配置证券投资基金招募说明书》第四部分“基金的投资”。</w:t>
      </w:r>
    </w:p>
    <w:tbl>
      <w:tblPr>
        <w:tblStyle w:val="-noheader"/>
        <w:tblW w:w="8505" w:type="dxa"/>
        <w:tblLayout w:type="fixed"/>
        <w:tblLook w:val="04A0" w:firstRow="1" w:lastRow="0" w:firstColumn="1" w:lastColumn="0" w:noHBand="0" w:noVBand="1"/>
      </w:tblPr>
      <w:tblGrid>
        <w:gridCol w:w="1701"/>
        <w:gridCol w:w="6804"/>
      </w:tblGrid>
      <w:tr w:rsidR="00FE3021" w:rsidTr="00FE3021">
        <w:tc>
          <w:tcPr>
            <w:tcW w:w="8505" w:type="nil"/>
          </w:tcPr>
          <w:p w:rsidR="00FE3021" w:rsidRDefault="00FE3021" w:rsidP="00FE3021">
            <w:pPr>
              <w:pStyle w:val="-"/>
              <w:shd w:val="clear" w:color="auto" w:fill="auto"/>
              <w:ind w:firstLineChars="0" w:firstLine="0"/>
              <w:jc w:val="left"/>
            </w:pPr>
            <w:r>
              <w:rPr>
                <w:rFonts w:hint="eastAsia"/>
              </w:rPr>
              <w:t>投资目标</w:t>
            </w:r>
          </w:p>
        </w:tc>
        <w:tc>
          <w:tcPr>
            <w:tcW w:w="8505" w:type="nil"/>
          </w:tcPr>
          <w:p w:rsidR="00FE3021" w:rsidRDefault="00FE3021" w:rsidP="00FE3021">
            <w:pPr>
              <w:pStyle w:val="-"/>
              <w:shd w:val="clear" w:color="auto" w:fill="auto"/>
              <w:ind w:firstLineChars="0" w:firstLine="0"/>
              <w:jc w:val="left"/>
            </w:pPr>
            <w:r>
              <w:rPr>
                <w:rFonts w:hint="eastAsia"/>
              </w:rPr>
              <w:t>通过基金全球化的资产配置和组合管理，实现组合资产的分散化投资，在降低组合波动性的同时，实现基金资产的最大增值。</w:t>
            </w:r>
          </w:p>
        </w:tc>
      </w:tr>
      <w:tr w:rsidR="00FE3021" w:rsidTr="00FE3021">
        <w:tc>
          <w:tcPr>
            <w:tcW w:w="8505" w:type="nil"/>
          </w:tcPr>
          <w:p w:rsidR="00FE3021" w:rsidRDefault="00FE3021" w:rsidP="00FE3021">
            <w:pPr>
              <w:pStyle w:val="-"/>
              <w:shd w:val="clear" w:color="auto" w:fill="auto"/>
              <w:ind w:firstLineChars="0" w:firstLine="0"/>
              <w:jc w:val="left"/>
            </w:pPr>
            <w:r>
              <w:rPr>
                <w:rFonts w:hint="eastAsia"/>
              </w:rPr>
              <w:t>投资范围</w:t>
            </w:r>
          </w:p>
        </w:tc>
        <w:tc>
          <w:tcPr>
            <w:tcW w:w="8505" w:type="nil"/>
          </w:tcPr>
          <w:p w:rsidR="00FE3021" w:rsidRDefault="00FE3021" w:rsidP="00FE3021">
            <w:pPr>
              <w:pStyle w:val="-"/>
              <w:shd w:val="clear" w:color="auto" w:fill="auto"/>
              <w:ind w:firstLineChars="0" w:firstLine="0"/>
              <w:jc w:val="left"/>
            </w:pPr>
            <w:r>
              <w:rPr>
                <w:rFonts w:hint="eastAsia"/>
              </w:rPr>
              <w:t>本基金的投资范围为在已与中国证监会签署双边监管合作谅解备忘录的国家或地区证券监管机构登记注册的境外交易型开放式指数基金（</w:t>
            </w:r>
            <w:r>
              <w:t>ETF</w:t>
            </w:r>
            <w:r>
              <w:t>），主动管理的股票型公募基金，在香港证券市场公开发行、上市的股票，货币市场工具以及中国证监会允许本基金投资的其他金融工具。</w:t>
            </w:r>
          </w:p>
          <w:p w:rsidR="00FE3021" w:rsidRDefault="00FE3021" w:rsidP="00FE3021">
            <w:pPr>
              <w:pStyle w:val="-"/>
              <w:shd w:val="clear" w:color="auto" w:fill="auto"/>
              <w:ind w:firstLineChars="0" w:firstLine="0"/>
              <w:jc w:val="left"/>
            </w:pPr>
            <w:r>
              <w:rPr>
                <w:rFonts w:hint="eastAsia"/>
              </w:rPr>
              <w:t>本基金投资组合为：对基金和股票投资占本基金基金资产的目标比例为</w:t>
            </w:r>
            <w:r>
              <w:t>95%</w:t>
            </w:r>
            <w:r>
              <w:t>，可能比例为</w:t>
            </w:r>
            <w:r>
              <w:t>60%-100%</w:t>
            </w:r>
            <w:r>
              <w:t>，其中投资于基金的部分不低于本基金基金资产的</w:t>
            </w:r>
            <w:r>
              <w:t>60%</w:t>
            </w:r>
            <w:r>
              <w:t>，投资于股票的部分</w:t>
            </w:r>
            <w:r>
              <w:t>(</w:t>
            </w:r>
            <w:r>
              <w:t>仅限于香港证券市场公开发行、上市的股票</w:t>
            </w:r>
            <w:r>
              <w:t>)</w:t>
            </w:r>
            <w:r>
              <w:t>不高于本基金基金资产的</w:t>
            </w:r>
            <w:r>
              <w:t>40%</w:t>
            </w:r>
            <w:r>
              <w:t>；货币市场工具及其他金融工</w:t>
            </w:r>
            <w:r>
              <w:rPr>
                <w:rFonts w:hint="eastAsia"/>
              </w:rPr>
              <w:t>具占本基金基金资产的</w:t>
            </w:r>
            <w:r>
              <w:t>0-40%</w:t>
            </w:r>
            <w:r>
              <w:t>。</w:t>
            </w:r>
          </w:p>
          <w:p w:rsidR="00FE3021" w:rsidRDefault="00FE3021" w:rsidP="00FE3021">
            <w:pPr>
              <w:pStyle w:val="-"/>
              <w:shd w:val="clear" w:color="auto" w:fill="auto"/>
              <w:ind w:firstLineChars="0" w:firstLine="0"/>
              <w:jc w:val="left"/>
            </w:pPr>
            <w:r>
              <w:rPr>
                <w:rFonts w:hint="eastAsia"/>
              </w:rPr>
              <w:t>本基金的基金资产将投资于全球主要证券市场，主要投资于与中国证监会签订了双边监管合作谅解备忘录的国家或地区，投资于与中国证监会</w:t>
            </w:r>
            <w:r>
              <w:rPr>
                <w:rFonts w:hint="eastAsia"/>
              </w:rPr>
              <w:lastRenderedPageBreak/>
              <w:t>签署双边监管合作谅解备忘录国家或地区以外的其他国家或地区的证券资产不得超过基金资产净值的</w:t>
            </w:r>
            <w:r>
              <w:t>10%</w:t>
            </w:r>
            <w:r>
              <w:t>。</w:t>
            </w:r>
          </w:p>
          <w:p w:rsidR="00FE3021" w:rsidRDefault="00FE3021" w:rsidP="00FE3021">
            <w:pPr>
              <w:pStyle w:val="-"/>
              <w:shd w:val="clear" w:color="auto" w:fill="auto"/>
              <w:ind w:firstLineChars="0" w:firstLine="0"/>
              <w:jc w:val="left"/>
            </w:pPr>
            <w:r>
              <w:rPr>
                <w:rFonts w:hint="eastAsia"/>
              </w:rPr>
              <w:t>如与中国证监会签订双边监管合作谅解备忘录的国家或地区增加、减少或变更，本基金投资的主要证券市场将相应调整。</w:t>
            </w:r>
          </w:p>
          <w:p w:rsidR="00FE3021" w:rsidRDefault="00FE3021" w:rsidP="00FE3021">
            <w:pPr>
              <w:pStyle w:val="-"/>
              <w:shd w:val="clear" w:color="auto" w:fill="auto"/>
              <w:ind w:firstLineChars="0" w:firstLine="0"/>
              <w:jc w:val="left"/>
            </w:pPr>
            <w:r>
              <w:rPr>
                <w:rFonts w:hint="eastAsia"/>
              </w:rPr>
              <w:t>如法律法规或监管机构以后允许本基金投资其他品种，基金管理人在履行适当程序后，可以将其纳入投资范围。</w:t>
            </w:r>
          </w:p>
        </w:tc>
      </w:tr>
      <w:tr w:rsidR="00FE3021" w:rsidTr="00FE3021">
        <w:tc>
          <w:tcPr>
            <w:tcW w:w="8505" w:type="nil"/>
          </w:tcPr>
          <w:p w:rsidR="00FE3021" w:rsidRDefault="00FE3021" w:rsidP="00FE3021">
            <w:pPr>
              <w:pStyle w:val="-"/>
              <w:shd w:val="clear" w:color="auto" w:fill="auto"/>
              <w:ind w:firstLineChars="0" w:firstLine="0"/>
              <w:jc w:val="left"/>
            </w:pPr>
            <w:r>
              <w:rPr>
                <w:rFonts w:hint="eastAsia"/>
              </w:rPr>
              <w:lastRenderedPageBreak/>
              <w:t>主要投资策略</w:t>
            </w:r>
          </w:p>
        </w:tc>
        <w:tc>
          <w:tcPr>
            <w:tcW w:w="8505" w:type="nil"/>
          </w:tcPr>
          <w:p w:rsidR="00FE3021" w:rsidRDefault="00FE3021" w:rsidP="00FE3021">
            <w:pPr>
              <w:pStyle w:val="-"/>
              <w:shd w:val="clear" w:color="auto" w:fill="auto"/>
              <w:ind w:firstLineChars="0" w:firstLine="0"/>
              <w:jc w:val="left"/>
            </w:pPr>
            <w:r>
              <w:rPr>
                <w:rFonts w:hint="eastAsia"/>
              </w:rPr>
              <w:t>本基金在基金资产的配置上采取战略性资产配置和战术性资产配置相结合的配置策略，在有效分散风险的基础上，提高基金资产的收益。</w:t>
            </w:r>
            <w:r>
              <w:t xml:space="preserve"> 1</w:t>
            </w:r>
            <w:r>
              <w:t>、战略性资产配置策略（</w:t>
            </w:r>
            <w:r>
              <w:t>Strategic Asset Allocation</w:t>
            </w:r>
            <w:r>
              <w:t>）</w:t>
            </w:r>
            <w:r>
              <w:t xml:space="preserve"> </w:t>
            </w:r>
            <w:r>
              <w:t>在宏观经济与地区经济分析、掌握全球经济趋势的基础上，通过量化分析，确定资产种类</w:t>
            </w:r>
            <w:r>
              <w:t>(Asset Class)</w:t>
            </w:r>
            <w:r>
              <w:t>与权重，并定期进行回顾和动态调整。</w:t>
            </w:r>
            <w:r>
              <w:t xml:space="preserve"> 2</w:t>
            </w:r>
            <w:r>
              <w:t>、战术性资产配置策略（</w:t>
            </w:r>
            <w:r>
              <w:t>Tactical Asset Allocation</w:t>
            </w:r>
            <w:r>
              <w:t>）</w:t>
            </w:r>
            <w:r>
              <w:t xml:space="preserve"> </w:t>
            </w:r>
            <w:r>
              <w:t>在成熟市场和新兴市场中根据不同国家和地区经济发展及证券市场的发展变化对资产进行国家及区域配</w:t>
            </w:r>
            <w:r>
              <w:rPr>
                <w:rFonts w:hint="eastAsia"/>
              </w:rPr>
              <w:t>置，在不同国家的配置比例上采用“全球资产配置量化”模型进行配置和调整。由于短期市场会受到一些非理性或者非基本面因素的影响而产生波动，基金经理将根据对不同因素的研究与判断，对基金投资组合进行调整，以降低投资组合的投资风险。本基金的大部分资产将投资于</w:t>
            </w:r>
            <w:r>
              <w:t>ETF</w:t>
            </w:r>
            <w:r>
              <w:t>基金、股票型基金和在香港市场投资于公开发行、上市的股票。利用定量和定性的方式筛选基金，在香港市场的选股策略的主要标准：</w:t>
            </w:r>
            <w:r>
              <w:t xml:space="preserve"> </w:t>
            </w:r>
            <w:r>
              <w:t>市场及行业地位（</w:t>
            </w:r>
            <w:r>
              <w:t>market position</w:t>
            </w:r>
            <w:r>
              <w:t>）、估值（</w:t>
            </w:r>
            <w:r>
              <w:t>intrinsic value</w:t>
            </w:r>
            <w:r>
              <w:t>）、盈利预期（</w:t>
            </w:r>
            <w:r>
              <w:t>earning surprise</w:t>
            </w:r>
            <w:r>
              <w:t>）、和</w:t>
            </w:r>
            <w:r>
              <w:rPr>
                <w:rFonts w:hint="eastAsia"/>
              </w:rPr>
              <w:t>良好的趋势（</w:t>
            </w:r>
            <w:r>
              <w:t>investment trend</w:t>
            </w:r>
            <w:r>
              <w:t>）。</w:t>
            </w:r>
          </w:p>
        </w:tc>
      </w:tr>
      <w:tr w:rsidR="00FE3021" w:rsidTr="00FE3021">
        <w:tc>
          <w:tcPr>
            <w:tcW w:w="8505" w:type="nil"/>
          </w:tcPr>
          <w:p w:rsidR="00FE3021" w:rsidRDefault="00FE3021" w:rsidP="00FE3021">
            <w:pPr>
              <w:pStyle w:val="-"/>
              <w:shd w:val="clear" w:color="auto" w:fill="auto"/>
              <w:ind w:firstLineChars="0" w:firstLine="0"/>
              <w:jc w:val="left"/>
            </w:pPr>
            <w:r>
              <w:rPr>
                <w:rFonts w:hint="eastAsia"/>
              </w:rPr>
              <w:t>业绩比较基准</w:t>
            </w:r>
          </w:p>
        </w:tc>
        <w:tc>
          <w:tcPr>
            <w:tcW w:w="8505" w:type="nil"/>
          </w:tcPr>
          <w:p w:rsidR="00FE3021" w:rsidRDefault="00FE3021" w:rsidP="00FE3021">
            <w:pPr>
              <w:pStyle w:val="-"/>
              <w:shd w:val="clear" w:color="auto" w:fill="auto"/>
              <w:ind w:firstLineChars="0" w:firstLine="0"/>
              <w:jc w:val="left"/>
            </w:pPr>
            <w:r>
              <w:t>60%×MSCI</w:t>
            </w:r>
            <w:r>
              <w:t>世界指数（</w:t>
            </w:r>
            <w:r>
              <w:t>MSCI World Index</w:t>
            </w:r>
            <w:r>
              <w:t>）</w:t>
            </w:r>
            <w:r>
              <w:t>+40%×MSCI</w:t>
            </w:r>
            <w:r>
              <w:t>新兴市场指数（</w:t>
            </w:r>
            <w:r>
              <w:t>MSCI Emerging Markets Index</w:t>
            </w:r>
            <w:r>
              <w:t>）。</w:t>
            </w:r>
          </w:p>
        </w:tc>
      </w:tr>
      <w:tr w:rsidR="00FE3021" w:rsidTr="00FE3021">
        <w:tc>
          <w:tcPr>
            <w:tcW w:w="8505" w:type="nil"/>
          </w:tcPr>
          <w:p w:rsidR="00FE3021" w:rsidRDefault="00FE3021" w:rsidP="00FE3021">
            <w:pPr>
              <w:pStyle w:val="-"/>
              <w:shd w:val="clear" w:color="auto" w:fill="auto"/>
              <w:ind w:firstLineChars="0" w:firstLine="0"/>
              <w:jc w:val="left"/>
            </w:pPr>
            <w:r>
              <w:rPr>
                <w:rFonts w:hint="eastAsia"/>
              </w:rPr>
              <w:t>风险收益特征</w:t>
            </w:r>
          </w:p>
        </w:tc>
        <w:tc>
          <w:tcPr>
            <w:tcW w:w="8505" w:type="nil"/>
          </w:tcPr>
          <w:p w:rsidR="00FE3021" w:rsidRDefault="00FE3021" w:rsidP="00FE3021">
            <w:pPr>
              <w:pStyle w:val="-"/>
              <w:shd w:val="clear" w:color="auto" w:fill="auto"/>
              <w:ind w:firstLineChars="0" w:firstLine="0"/>
              <w:jc w:val="left"/>
            </w:pPr>
            <w:r>
              <w:rPr>
                <w:rFonts w:hint="eastAsia"/>
              </w:rPr>
              <w:t>本基金为基金中基金，属于中等偏高预期风险和预期收益的证券投资基金品种，其预期风险和收益水平低于全球股票型基金、高于债券基金及货币市场基金。前款有关风险收益特征的表述是基于投资范围、投资比例、证券市场普遍规律等做出的概述性描述，代表了一般市场情况下本基金的长期风险收益特征。销售机构</w:t>
            </w:r>
            <w:r>
              <w:t>(</w:t>
            </w:r>
            <w:r>
              <w:t>包括基金管理人直销机构和其他销售机构</w:t>
            </w:r>
            <w:r>
              <w:t>)</w:t>
            </w:r>
            <w:r>
              <w:t>根据相关法律法规对本基金进行风险评价，不同销售机构采用的评价方法也不同，因此销售机构的风险等级评价与基金法律文件中风险收益特征的表述可能存在不同。本基金的风险等级可能有相应变化，具体风险评级</w:t>
            </w:r>
            <w:r>
              <w:rPr>
                <w:rFonts w:hint="eastAsia"/>
              </w:rPr>
              <w:t>结果应以销售机构的评级结果为准。</w:t>
            </w:r>
          </w:p>
        </w:tc>
      </w:tr>
    </w:tbl>
    <w:p w:rsidR="00FE3021" w:rsidRDefault="00FE3021" w:rsidP="00FE3021">
      <w:pPr>
        <w:pStyle w:val="-2"/>
        <w:spacing w:before="156" w:after="156"/>
      </w:pPr>
      <w:r>
        <w:rPr>
          <w:rFonts w:hint="eastAsia"/>
        </w:rPr>
        <w:t>（二）</w:t>
      </w:r>
      <w:r>
        <w:t xml:space="preserve"> </w:t>
      </w:r>
      <w:r>
        <w:t>投资组合资产配置图表</w:t>
      </w:r>
      <w:r>
        <w:t>/</w:t>
      </w:r>
      <w:r>
        <w:t>区域配置图表</w:t>
      </w:r>
    </w:p>
    <w:p w:rsidR="00FE3021" w:rsidRDefault="00FE3021" w:rsidP="00FE3021">
      <w:r>
        <w:rPr>
          <w:noProof/>
        </w:rPr>
        <w:lastRenderedPageBreak/>
        <w:drawing>
          <wp:inline distT="0" distB="0" distL="0" distR="0">
            <wp:extent cx="5274310" cy="2658745"/>
            <wp:effectExtent l="0" t="0" r="2540" b="8255"/>
            <wp:docPr id="1" name="图片 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5274310" cy="2658745"/>
                    </a:xfrm>
                    <a:prstGeom prst="rect">
                      <a:avLst/>
                    </a:prstGeom>
                  </pic:spPr>
                </pic:pic>
              </a:graphicData>
            </a:graphic>
          </wp:inline>
        </w:drawing>
      </w:r>
    </w:p>
    <w:p w:rsidR="00FE3021" w:rsidRDefault="00FE3021" w:rsidP="00FE3021">
      <w:r>
        <w:rPr>
          <w:noProof/>
        </w:rPr>
        <w:drawing>
          <wp:inline distT="0" distB="0" distL="0" distR="0">
            <wp:extent cx="5274310" cy="3000375"/>
            <wp:effectExtent l="0" t="0" r="2540" b="9525"/>
            <wp:docPr id="2" name="图片 2"/>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8">
                      <a:extLst>
                        <a:ext uri="{28A0092B-C50C-407E-A947-70E740481C1C}">
                          <a14:useLocalDpi xmlns:a14="http://schemas.microsoft.com/office/drawing/2010/main" val="0"/>
                        </a:ext>
                      </a:extLst>
                    </a:blip>
                    <a:stretch>
                      <a:fillRect/>
                    </a:stretch>
                  </pic:blipFill>
                  <pic:spPr>
                    <a:xfrm>
                      <a:off x="0" y="0"/>
                      <a:ext cx="5274310" cy="3000375"/>
                    </a:xfrm>
                    <a:prstGeom prst="rect">
                      <a:avLst/>
                    </a:prstGeom>
                  </pic:spPr>
                </pic:pic>
              </a:graphicData>
            </a:graphic>
          </wp:inline>
        </w:drawing>
      </w:r>
    </w:p>
    <w:p w:rsidR="00FE3021" w:rsidRDefault="00FE3021" w:rsidP="00FE3021">
      <w:pPr>
        <w:pStyle w:val="-2"/>
        <w:spacing w:before="156" w:after="156"/>
        <w:rPr>
          <w:rFonts w:hint="eastAsia"/>
        </w:rPr>
      </w:pPr>
      <w:r>
        <w:rPr>
          <w:rFonts w:hint="eastAsia"/>
        </w:rPr>
        <w:t>（三）</w:t>
      </w:r>
      <w:r>
        <w:rPr>
          <w:rFonts w:hint="eastAsia"/>
        </w:rPr>
        <w:t xml:space="preserve"> </w:t>
      </w:r>
      <w:r>
        <w:rPr>
          <w:rFonts w:hint="eastAsia"/>
        </w:rPr>
        <w:t>最近十年基金每年的净值增长率及与同期业绩比较基准的比较图</w:t>
      </w:r>
    </w:p>
    <w:p w:rsidR="00FE3021" w:rsidRDefault="00FE3021" w:rsidP="00FE3021">
      <w:r>
        <w:rPr>
          <w:noProof/>
        </w:rPr>
        <w:lastRenderedPageBreak/>
        <w:drawing>
          <wp:inline distT="0" distB="0" distL="0" distR="0">
            <wp:extent cx="5274310" cy="3028950"/>
            <wp:effectExtent l="0" t="0" r="2540" b="0"/>
            <wp:docPr id="3" name="图片 3"/>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9">
                      <a:extLst>
                        <a:ext uri="{28A0092B-C50C-407E-A947-70E740481C1C}">
                          <a14:useLocalDpi xmlns:a14="http://schemas.microsoft.com/office/drawing/2010/main" val="0"/>
                        </a:ext>
                      </a:extLst>
                    </a:blip>
                    <a:stretch>
                      <a:fillRect/>
                    </a:stretch>
                  </pic:blipFill>
                  <pic:spPr>
                    <a:xfrm>
                      <a:off x="0" y="0"/>
                      <a:ext cx="5274310" cy="3028950"/>
                    </a:xfrm>
                    <a:prstGeom prst="rect">
                      <a:avLst/>
                    </a:prstGeom>
                  </pic:spPr>
                </pic:pic>
              </a:graphicData>
            </a:graphic>
          </wp:inline>
        </w:drawing>
      </w:r>
    </w:p>
    <w:p w:rsidR="00FE3021" w:rsidRDefault="00FE3021" w:rsidP="00FE3021">
      <w:pPr>
        <w:pStyle w:val="-1"/>
        <w:spacing w:before="156" w:after="156"/>
        <w:rPr>
          <w:rFonts w:hint="eastAsia"/>
        </w:rPr>
      </w:pPr>
      <w:r>
        <w:rPr>
          <w:rFonts w:hint="eastAsia"/>
        </w:rPr>
        <w:t>三、投资本基金涉及的费用</w:t>
      </w:r>
    </w:p>
    <w:p w:rsidR="00FE3021" w:rsidRDefault="00FE3021" w:rsidP="00FE3021">
      <w:pPr>
        <w:pStyle w:val="-2"/>
        <w:spacing w:before="156" w:after="156"/>
        <w:rPr>
          <w:rFonts w:hint="eastAsia"/>
        </w:rPr>
      </w:pPr>
      <w:r>
        <w:rPr>
          <w:rFonts w:hint="eastAsia"/>
        </w:rPr>
        <w:t>（一）</w:t>
      </w:r>
      <w:r>
        <w:rPr>
          <w:rFonts w:hint="eastAsia"/>
        </w:rPr>
        <w:t xml:space="preserve"> </w:t>
      </w:r>
      <w:r>
        <w:rPr>
          <w:rFonts w:hint="eastAsia"/>
        </w:rPr>
        <w:t>基金销售相关费用</w:t>
      </w:r>
    </w:p>
    <w:tbl>
      <w:tblPr>
        <w:tblStyle w:val="-noheader"/>
        <w:tblW w:w="0" w:type="auto"/>
        <w:tblLayout w:type="fixed"/>
        <w:tblLook w:val="04A0" w:firstRow="1" w:lastRow="0" w:firstColumn="1" w:lastColumn="0" w:noHBand="0" w:noVBand="1"/>
      </w:tblPr>
      <w:tblGrid>
        <w:gridCol w:w="2076"/>
        <w:gridCol w:w="2076"/>
        <w:gridCol w:w="2077"/>
        <w:gridCol w:w="2077"/>
      </w:tblGrid>
      <w:tr w:rsidR="00FE3021" w:rsidTr="00FE3021">
        <w:tc>
          <w:tcPr>
            <w:tcW w:w="2076" w:type="dxa"/>
          </w:tcPr>
          <w:p w:rsidR="00FE3021" w:rsidRDefault="00FE3021" w:rsidP="00FE3021">
            <w:pPr>
              <w:jc w:val="center"/>
            </w:pPr>
            <w:r>
              <w:rPr>
                <w:rFonts w:hint="eastAsia"/>
              </w:rPr>
              <w:t>费用类型</w:t>
            </w:r>
          </w:p>
        </w:tc>
        <w:tc>
          <w:tcPr>
            <w:tcW w:w="2076" w:type="dxa"/>
          </w:tcPr>
          <w:p w:rsidR="00FE3021" w:rsidRDefault="00FE3021" w:rsidP="00FE3021">
            <w:pPr>
              <w:jc w:val="center"/>
            </w:pPr>
            <w:r>
              <w:rPr>
                <w:rFonts w:hint="eastAsia"/>
              </w:rPr>
              <w:t>份额（</w:t>
            </w:r>
            <w:r>
              <w:rPr>
                <w:rFonts w:hint="eastAsia"/>
              </w:rPr>
              <w:t>S</w:t>
            </w:r>
            <w:r>
              <w:rPr>
                <w:rFonts w:hint="eastAsia"/>
              </w:rPr>
              <w:t>）或金额（</w:t>
            </w:r>
            <w:r>
              <w:rPr>
                <w:rFonts w:hint="eastAsia"/>
              </w:rPr>
              <w:t>M</w:t>
            </w:r>
            <w:r>
              <w:rPr>
                <w:rFonts w:hint="eastAsia"/>
              </w:rPr>
              <w:t>）</w:t>
            </w:r>
            <w:r>
              <w:rPr>
                <w:rFonts w:hint="eastAsia"/>
              </w:rPr>
              <w:t>/</w:t>
            </w:r>
            <w:r>
              <w:rPr>
                <w:rFonts w:hint="eastAsia"/>
              </w:rPr>
              <w:t>持有期限（</w:t>
            </w:r>
            <w:r>
              <w:rPr>
                <w:rFonts w:hint="eastAsia"/>
              </w:rPr>
              <w:t>N</w:t>
            </w:r>
            <w:r>
              <w:rPr>
                <w:rFonts w:hint="eastAsia"/>
              </w:rPr>
              <w:t>）</w:t>
            </w:r>
          </w:p>
        </w:tc>
        <w:tc>
          <w:tcPr>
            <w:tcW w:w="2077" w:type="dxa"/>
          </w:tcPr>
          <w:p w:rsidR="00FE3021" w:rsidRDefault="00FE3021" w:rsidP="00FE3021">
            <w:pPr>
              <w:jc w:val="center"/>
            </w:pPr>
            <w:r>
              <w:rPr>
                <w:rFonts w:hint="eastAsia"/>
              </w:rPr>
              <w:t>收费方式</w:t>
            </w:r>
            <w:r>
              <w:rPr>
                <w:rFonts w:hint="eastAsia"/>
              </w:rPr>
              <w:t>/</w:t>
            </w:r>
            <w:r>
              <w:rPr>
                <w:rFonts w:hint="eastAsia"/>
              </w:rPr>
              <w:t>费率</w:t>
            </w:r>
          </w:p>
        </w:tc>
        <w:tc>
          <w:tcPr>
            <w:tcW w:w="2077" w:type="dxa"/>
          </w:tcPr>
          <w:p w:rsidR="00FE3021" w:rsidRDefault="00FE3021" w:rsidP="00FE3021">
            <w:pPr>
              <w:jc w:val="center"/>
            </w:pPr>
            <w:r>
              <w:rPr>
                <w:rFonts w:hint="eastAsia"/>
              </w:rPr>
              <w:t>备注</w:t>
            </w:r>
          </w:p>
        </w:tc>
      </w:tr>
      <w:tr w:rsidR="00FE3021" w:rsidTr="00FE3021">
        <w:tc>
          <w:tcPr>
            <w:tcW w:w="2076" w:type="dxa"/>
            <w:vMerge w:val="restart"/>
          </w:tcPr>
          <w:p w:rsidR="00FE3021" w:rsidRDefault="00FE3021" w:rsidP="00FE3021">
            <w:pPr>
              <w:jc w:val="center"/>
            </w:pPr>
            <w:r>
              <w:rPr>
                <w:rFonts w:hint="eastAsia"/>
              </w:rPr>
              <w:t>认购费</w:t>
            </w:r>
          </w:p>
        </w:tc>
        <w:tc>
          <w:tcPr>
            <w:tcW w:w="2076" w:type="dxa"/>
          </w:tcPr>
          <w:p w:rsidR="00FE3021" w:rsidRDefault="00FE3021" w:rsidP="00FE3021">
            <w:pPr>
              <w:jc w:val="left"/>
            </w:pPr>
            <w:r>
              <w:rPr>
                <w:rFonts w:hint="eastAsia"/>
              </w:rPr>
              <w:t>M&lt; 100</w:t>
            </w:r>
            <w:r>
              <w:rPr>
                <w:rFonts w:hint="eastAsia"/>
              </w:rPr>
              <w:t>万元</w:t>
            </w:r>
          </w:p>
        </w:tc>
        <w:tc>
          <w:tcPr>
            <w:tcW w:w="2077" w:type="dxa"/>
          </w:tcPr>
          <w:p w:rsidR="00FE3021" w:rsidRDefault="00FE3021" w:rsidP="00FE3021">
            <w:pPr>
              <w:jc w:val="right"/>
            </w:pPr>
            <w:r>
              <w:t>1.5%</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100</w:t>
            </w:r>
            <w:r>
              <w:rPr>
                <w:rFonts w:hint="eastAsia"/>
              </w:rPr>
              <w:t>万元≤</w:t>
            </w:r>
            <w:r>
              <w:rPr>
                <w:rFonts w:hint="eastAsia"/>
              </w:rPr>
              <w:t>M&lt; 500</w:t>
            </w:r>
            <w:r>
              <w:rPr>
                <w:rFonts w:hint="eastAsia"/>
              </w:rPr>
              <w:t>万元</w:t>
            </w:r>
          </w:p>
        </w:tc>
        <w:tc>
          <w:tcPr>
            <w:tcW w:w="2077" w:type="dxa"/>
          </w:tcPr>
          <w:p w:rsidR="00FE3021" w:rsidRDefault="00FE3021" w:rsidP="00FE3021">
            <w:pPr>
              <w:jc w:val="right"/>
            </w:pPr>
            <w:r>
              <w:t>0.9%</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500</w:t>
            </w:r>
            <w:r>
              <w:rPr>
                <w:rFonts w:hint="eastAsia"/>
              </w:rPr>
              <w:t>万元≤</w:t>
            </w:r>
            <w:r>
              <w:rPr>
                <w:rFonts w:hint="eastAsia"/>
              </w:rPr>
              <w:t>M&lt; 1000</w:t>
            </w:r>
            <w:r>
              <w:rPr>
                <w:rFonts w:hint="eastAsia"/>
              </w:rPr>
              <w:t>万元</w:t>
            </w:r>
          </w:p>
        </w:tc>
        <w:tc>
          <w:tcPr>
            <w:tcW w:w="2077" w:type="dxa"/>
          </w:tcPr>
          <w:p w:rsidR="00FE3021" w:rsidRDefault="00FE3021" w:rsidP="00FE3021">
            <w:pPr>
              <w:jc w:val="right"/>
            </w:pPr>
            <w:r>
              <w:t>0.3%</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1000</w:t>
            </w:r>
            <w:r>
              <w:rPr>
                <w:rFonts w:hint="eastAsia"/>
              </w:rPr>
              <w:t>万元≤</w:t>
            </w:r>
            <w:r>
              <w:rPr>
                <w:rFonts w:hint="eastAsia"/>
              </w:rPr>
              <w:t xml:space="preserve">M </w:t>
            </w:r>
          </w:p>
        </w:tc>
        <w:tc>
          <w:tcPr>
            <w:tcW w:w="2077" w:type="dxa"/>
          </w:tcPr>
          <w:p w:rsidR="00FE3021" w:rsidRDefault="00FE3021" w:rsidP="00FE3021">
            <w:pPr>
              <w:jc w:val="left"/>
            </w:pPr>
            <w:r>
              <w:rPr>
                <w:rFonts w:hint="eastAsia"/>
              </w:rPr>
              <w:t>每笔</w:t>
            </w:r>
            <w:r>
              <w:rPr>
                <w:rFonts w:hint="eastAsia"/>
              </w:rPr>
              <w:t>1000</w:t>
            </w:r>
            <w:r>
              <w:rPr>
                <w:rFonts w:hint="eastAsia"/>
              </w:rPr>
              <w:t>元</w:t>
            </w:r>
          </w:p>
        </w:tc>
        <w:tc>
          <w:tcPr>
            <w:tcW w:w="2077" w:type="dxa"/>
          </w:tcPr>
          <w:p w:rsidR="00FE3021" w:rsidRDefault="00FE3021" w:rsidP="00FE3021">
            <w:pPr>
              <w:jc w:val="right"/>
            </w:pPr>
            <w:r>
              <w:t>-</w:t>
            </w:r>
          </w:p>
        </w:tc>
      </w:tr>
      <w:tr w:rsidR="00FE3021" w:rsidTr="00FE3021">
        <w:tc>
          <w:tcPr>
            <w:tcW w:w="2076" w:type="dxa"/>
            <w:vMerge w:val="restart"/>
          </w:tcPr>
          <w:p w:rsidR="00FE3021" w:rsidRDefault="00FE3021" w:rsidP="00FE3021">
            <w:pPr>
              <w:jc w:val="center"/>
            </w:pPr>
            <w:r>
              <w:rPr>
                <w:rFonts w:hint="eastAsia"/>
              </w:rPr>
              <w:t>申购费（前收费）</w:t>
            </w:r>
          </w:p>
        </w:tc>
        <w:tc>
          <w:tcPr>
            <w:tcW w:w="2076" w:type="dxa"/>
          </w:tcPr>
          <w:p w:rsidR="00FE3021" w:rsidRDefault="00FE3021" w:rsidP="00FE3021">
            <w:pPr>
              <w:jc w:val="left"/>
            </w:pPr>
            <w:r>
              <w:rPr>
                <w:rFonts w:hint="eastAsia"/>
              </w:rPr>
              <w:t>M&lt; 100</w:t>
            </w:r>
            <w:r>
              <w:rPr>
                <w:rFonts w:hint="eastAsia"/>
              </w:rPr>
              <w:t>万元</w:t>
            </w:r>
          </w:p>
        </w:tc>
        <w:tc>
          <w:tcPr>
            <w:tcW w:w="2077" w:type="dxa"/>
          </w:tcPr>
          <w:p w:rsidR="00FE3021" w:rsidRDefault="00FE3021" w:rsidP="00FE3021">
            <w:pPr>
              <w:jc w:val="right"/>
            </w:pPr>
            <w:r>
              <w:t>1.6%</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100</w:t>
            </w:r>
            <w:r>
              <w:rPr>
                <w:rFonts w:hint="eastAsia"/>
              </w:rPr>
              <w:t>万元≤</w:t>
            </w:r>
            <w:r>
              <w:rPr>
                <w:rFonts w:hint="eastAsia"/>
              </w:rPr>
              <w:t>M&lt; 500</w:t>
            </w:r>
            <w:r>
              <w:rPr>
                <w:rFonts w:hint="eastAsia"/>
              </w:rPr>
              <w:t>万元</w:t>
            </w:r>
          </w:p>
        </w:tc>
        <w:tc>
          <w:tcPr>
            <w:tcW w:w="2077" w:type="dxa"/>
          </w:tcPr>
          <w:p w:rsidR="00FE3021" w:rsidRDefault="00FE3021" w:rsidP="00FE3021">
            <w:pPr>
              <w:jc w:val="right"/>
            </w:pPr>
            <w:r>
              <w:t>1%</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500</w:t>
            </w:r>
            <w:r>
              <w:rPr>
                <w:rFonts w:hint="eastAsia"/>
              </w:rPr>
              <w:t>万元≤</w:t>
            </w:r>
            <w:r>
              <w:rPr>
                <w:rFonts w:hint="eastAsia"/>
              </w:rPr>
              <w:t>M&lt; 1000</w:t>
            </w:r>
            <w:r>
              <w:rPr>
                <w:rFonts w:hint="eastAsia"/>
              </w:rPr>
              <w:t>万元</w:t>
            </w:r>
          </w:p>
        </w:tc>
        <w:tc>
          <w:tcPr>
            <w:tcW w:w="2077" w:type="dxa"/>
          </w:tcPr>
          <w:p w:rsidR="00FE3021" w:rsidRDefault="00FE3021" w:rsidP="00FE3021">
            <w:pPr>
              <w:jc w:val="right"/>
            </w:pPr>
            <w:r>
              <w:t>0.5%</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1000</w:t>
            </w:r>
            <w:r>
              <w:rPr>
                <w:rFonts w:hint="eastAsia"/>
              </w:rPr>
              <w:t>万元≤</w:t>
            </w:r>
            <w:r>
              <w:rPr>
                <w:rFonts w:hint="eastAsia"/>
              </w:rPr>
              <w:t xml:space="preserve">M </w:t>
            </w:r>
          </w:p>
        </w:tc>
        <w:tc>
          <w:tcPr>
            <w:tcW w:w="2077" w:type="dxa"/>
          </w:tcPr>
          <w:p w:rsidR="00FE3021" w:rsidRDefault="00FE3021" w:rsidP="00FE3021">
            <w:pPr>
              <w:jc w:val="left"/>
            </w:pPr>
            <w:r>
              <w:rPr>
                <w:rFonts w:hint="eastAsia"/>
              </w:rPr>
              <w:t>每笔</w:t>
            </w:r>
            <w:r>
              <w:rPr>
                <w:rFonts w:hint="eastAsia"/>
              </w:rPr>
              <w:t>1000</w:t>
            </w:r>
            <w:r>
              <w:rPr>
                <w:rFonts w:hint="eastAsia"/>
              </w:rPr>
              <w:t>元</w:t>
            </w:r>
          </w:p>
        </w:tc>
        <w:tc>
          <w:tcPr>
            <w:tcW w:w="2077" w:type="dxa"/>
          </w:tcPr>
          <w:p w:rsidR="00FE3021" w:rsidRDefault="00FE3021" w:rsidP="00FE3021">
            <w:pPr>
              <w:jc w:val="right"/>
            </w:pPr>
            <w:r>
              <w:t>-</w:t>
            </w:r>
          </w:p>
        </w:tc>
      </w:tr>
      <w:tr w:rsidR="00FE3021" w:rsidTr="00FE3021">
        <w:tc>
          <w:tcPr>
            <w:tcW w:w="2076" w:type="dxa"/>
            <w:vMerge w:val="restart"/>
          </w:tcPr>
          <w:p w:rsidR="00FE3021" w:rsidRDefault="00FE3021" w:rsidP="00FE3021">
            <w:pPr>
              <w:jc w:val="center"/>
            </w:pPr>
            <w:r>
              <w:rPr>
                <w:rFonts w:hint="eastAsia"/>
              </w:rPr>
              <w:t>赎回费</w:t>
            </w:r>
          </w:p>
        </w:tc>
        <w:tc>
          <w:tcPr>
            <w:tcW w:w="2076" w:type="dxa"/>
          </w:tcPr>
          <w:p w:rsidR="00FE3021" w:rsidRDefault="00FE3021" w:rsidP="00FE3021">
            <w:pPr>
              <w:jc w:val="left"/>
            </w:pPr>
            <w:r>
              <w:rPr>
                <w:rFonts w:hint="eastAsia"/>
              </w:rPr>
              <w:t>N&lt; 7</w:t>
            </w:r>
            <w:r>
              <w:rPr>
                <w:rFonts w:hint="eastAsia"/>
              </w:rPr>
              <w:t>天</w:t>
            </w:r>
          </w:p>
        </w:tc>
        <w:tc>
          <w:tcPr>
            <w:tcW w:w="2077" w:type="dxa"/>
          </w:tcPr>
          <w:p w:rsidR="00FE3021" w:rsidRDefault="00FE3021" w:rsidP="00FE3021">
            <w:pPr>
              <w:jc w:val="right"/>
            </w:pPr>
            <w:r>
              <w:t>1.5%</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7</w:t>
            </w:r>
            <w:r>
              <w:rPr>
                <w:rFonts w:hint="eastAsia"/>
              </w:rPr>
              <w:t>天≤</w:t>
            </w:r>
            <w:r>
              <w:rPr>
                <w:rFonts w:hint="eastAsia"/>
              </w:rPr>
              <w:t xml:space="preserve"> N&lt; 365</w:t>
            </w:r>
            <w:r>
              <w:rPr>
                <w:rFonts w:hint="eastAsia"/>
              </w:rPr>
              <w:t>天</w:t>
            </w:r>
          </w:p>
        </w:tc>
        <w:tc>
          <w:tcPr>
            <w:tcW w:w="2077" w:type="dxa"/>
          </w:tcPr>
          <w:p w:rsidR="00FE3021" w:rsidRDefault="00FE3021" w:rsidP="00FE3021">
            <w:pPr>
              <w:jc w:val="right"/>
            </w:pPr>
            <w:r>
              <w:t>0.5%</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1</w:t>
            </w:r>
            <w:r>
              <w:rPr>
                <w:rFonts w:hint="eastAsia"/>
              </w:rPr>
              <w:t>年≤</w:t>
            </w:r>
            <w:r>
              <w:rPr>
                <w:rFonts w:hint="eastAsia"/>
              </w:rPr>
              <w:t xml:space="preserve"> N&lt; 2</w:t>
            </w:r>
            <w:r>
              <w:rPr>
                <w:rFonts w:hint="eastAsia"/>
              </w:rPr>
              <w:t>年</w:t>
            </w:r>
          </w:p>
        </w:tc>
        <w:tc>
          <w:tcPr>
            <w:tcW w:w="2077" w:type="dxa"/>
          </w:tcPr>
          <w:p w:rsidR="00FE3021" w:rsidRDefault="00FE3021" w:rsidP="00FE3021">
            <w:pPr>
              <w:jc w:val="right"/>
            </w:pPr>
            <w:r>
              <w:t>0.3%</w:t>
            </w:r>
          </w:p>
        </w:tc>
        <w:tc>
          <w:tcPr>
            <w:tcW w:w="2077" w:type="dxa"/>
          </w:tcPr>
          <w:p w:rsidR="00FE3021" w:rsidRDefault="00FE3021" w:rsidP="00FE3021">
            <w:pPr>
              <w:jc w:val="right"/>
            </w:pPr>
            <w:r>
              <w:t>-</w:t>
            </w:r>
          </w:p>
        </w:tc>
      </w:tr>
      <w:tr w:rsidR="00FE3021" w:rsidTr="00FE3021">
        <w:tc>
          <w:tcPr>
            <w:tcW w:w="2076" w:type="dxa"/>
            <w:vMerge/>
          </w:tcPr>
          <w:p w:rsidR="00FE3021" w:rsidRDefault="00FE3021" w:rsidP="00FE3021">
            <w:pPr>
              <w:jc w:val="left"/>
            </w:pPr>
          </w:p>
        </w:tc>
        <w:tc>
          <w:tcPr>
            <w:tcW w:w="2076" w:type="dxa"/>
          </w:tcPr>
          <w:p w:rsidR="00FE3021" w:rsidRDefault="00FE3021" w:rsidP="00FE3021">
            <w:pPr>
              <w:jc w:val="left"/>
            </w:pPr>
            <w:r>
              <w:rPr>
                <w:rFonts w:hint="eastAsia"/>
              </w:rPr>
              <w:t>2</w:t>
            </w:r>
            <w:r>
              <w:rPr>
                <w:rFonts w:hint="eastAsia"/>
              </w:rPr>
              <w:t>年≤</w:t>
            </w:r>
            <w:r>
              <w:rPr>
                <w:rFonts w:hint="eastAsia"/>
              </w:rPr>
              <w:t xml:space="preserve"> N </w:t>
            </w:r>
          </w:p>
        </w:tc>
        <w:tc>
          <w:tcPr>
            <w:tcW w:w="2077" w:type="dxa"/>
          </w:tcPr>
          <w:p w:rsidR="00FE3021" w:rsidRDefault="00FE3021" w:rsidP="00FE3021">
            <w:pPr>
              <w:jc w:val="right"/>
            </w:pPr>
            <w:r>
              <w:t>0%</w:t>
            </w:r>
          </w:p>
        </w:tc>
        <w:tc>
          <w:tcPr>
            <w:tcW w:w="2077" w:type="dxa"/>
          </w:tcPr>
          <w:p w:rsidR="00FE3021" w:rsidRDefault="00FE3021" w:rsidP="00FE3021">
            <w:pPr>
              <w:jc w:val="right"/>
            </w:pPr>
            <w:r>
              <w:t>-</w:t>
            </w:r>
          </w:p>
        </w:tc>
      </w:tr>
    </w:tbl>
    <w:p w:rsidR="00FE3021" w:rsidRDefault="00FE3021" w:rsidP="00FE3021">
      <w:pPr>
        <w:pStyle w:val="-"/>
        <w:ind w:firstLine="420"/>
        <w:rPr>
          <w:rFonts w:hint="eastAsia"/>
        </w:rPr>
      </w:pPr>
      <w:r>
        <w:rPr>
          <w:rFonts w:hint="eastAsia"/>
        </w:rPr>
        <w:t>除对持续持有期少于</w:t>
      </w:r>
      <w:r>
        <w:rPr>
          <w:rFonts w:hint="eastAsia"/>
        </w:rPr>
        <w:t>7</w:t>
      </w:r>
      <w:r>
        <w:rPr>
          <w:rFonts w:hint="eastAsia"/>
        </w:rPr>
        <w:t>日的投资人收取的赎回费全额计入基金财产外，赎回费的</w:t>
      </w:r>
      <w:r>
        <w:rPr>
          <w:rFonts w:hint="eastAsia"/>
        </w:rPr>
        <w:t>25%</w:t>
      </w:r>
      <w:r>
        <w:rPr>
          <w:rFonts w:hint="eastAsia"/>
        </w:rPr>
        <w:t>归基金资产所有。</w:t>
      </w:r>
    </w:p>
    <w:p w:rsidR="00FE3021" w:rsidRDefault="00FE3021" w:rsidP="00FE3021">
      <w:pPr>
        <w:pStyle w:val="-2"/>
        <w:spacing w:before="156" w:after="156"/>
      </w:pPr>
      <w:r>
        <w:rPr>
          <w:rFonts w:hint="eastAsia"/>
        </w:rPr>
        <w:t>（二）</w:t>
      </w:r>
      <w:r>
        <w:t xml:space="preserve"> </w:t>
      </w:r>
      <w:r>
        <w:t>基金运作相关费用</w:t>
      </w:r>
    </w:p>
    <w:tbl>
      <w:tblPr>
        <w:tblStyle w:val="-noheader"/>
        <w:tblW w:w="0" w:type="auto"/>
        <w:tblLayout w:type="fixed"/>
        <w:tblLook w:val="04A0" w:firstRow="1" w:lastRow="0" w:firstColumn="1" w:lastColumn="0" w:noHBand="0" w:noVBand="1"/>
      </w:tblPr>
      <w:tblGrid>
        <w:gridCol w:w="2768"/>
        <w:gridCol w:w="2769"/>
        <w:gridCol w:w="2769"/>
      </w:tblGrid>
      <w:tr w:rsidR="00FE3021" w:rsidTr="00FE3021">
        <w:tc>
          <w:tcPr>
            <w:tcW w:w="2768" w:type="dxa"/>
          </w:tcPr>
          <w:p w:rsidR="00FE3021" w:rsidRDefault="00FE3021" w:rsidP="00FE3021">
            <w:pPr>
              <w:jc w:val="left"/>
            </w:pPr>
            <w:r>
              <w:rPr>
                <w:rFonts w:hint="eastAsia"/>
              </w:rPr>
              <w:t>费用类别</w:t>
            </w:r>
          </w:p>
        </w:tc>
        <w:tc>
          <w:tcPr>
            <w:tcW w:w="2769" w:type="dxa"/>
          </w:tcPr>
          <w:p w:rsidR="00FE3021" w:rsidRDefault="00FE3021" w:rsidP="00FE3021">
            <w:pPr>
              <w:jc w:val="left"/>
            </w:pPr>
            <w:r>
              <w:rPr>
                <w:rFonts w:hint="eastAsia"/>
              </w:rPr>
              <w:t>收费方式</w:t>
            </w:r>
          </w:p>
        </w:tc>
        <w:tc>
          <w:tcPr>
            <w:tcW w:w="2769" w:type="dxa"/>
          </w:tcPr>
          <w:p w:rsidR="00FE3021" w:rsidRDefault="00FE3021" w:rsidP="00FE3021">
            <w:pPr>
              <w:jc w:val="left"/>
            </w:pPr>
            <w:r>
              <w:rPr>
                <w:rFonts w:hint="eastAsia"/>
              </w:rPr>
              <w:t>年费率</w:t>
            </w:r>
          </w:p>
        </w:tc>
      </w:tr>
      <w:tr w:rsidR="00FE3021" w:rsidTr="00FE3021">
        <w:tc>
          <w:tcPr>
            <w:tcW w:w="2768" w:type="dxa"/>
          </w:tcPr>
          <w:p w:rsidR="00FE3021" w:rsidRDefault="00FE3021" w:rsidP="00FE3021">
            <w:pPr>
              <w:jc w:val="left"/>
            </w:pPr>
            <w:r>
              <w:rPr>
                <w:rFonts w:hint="eastAsia"/>
              </w:rPr>
              <w:lastRenderedPageBreak/>
              <w:t>管理费</w:t>
            </w:r>
          </w:p>
        </w:tc>
        <w:tc>
          <w:tcPr>
            <w:tcW w:w="2769" w:type="dxa"/>
          </w:tcPr>
          <w:p w:rsidR="00FE3021" w:rsidRDefault="00FE3021" w:rsidP="00FE3021">
            <w:pPr>
              <w:jc w:val="right"/>
            </w:pPr>
            <w:r>
              <w:t>-</w:t>
            </w:r>
          </w:p>
        </w:tc>
        <w:tc>
          <w:tcPr>
            <w:tcW w:w="2769" w:type="dxa"/>
          </w:tcPr>
          <w:p w:rsidR="00FE3021" w:rsidRDefault="00FE3021" w:rsidP="00FE3021">
            <w:pPr>
              <w:jc w:val="right"/>
            </w:pPr>
            <w:r>
              <w:t>1.85%</w:t>
            </w:r>
          </w:p>
        </w:tc>
      </w:tr>
      <w:tr w:rsidR="00FE3021" w:rsidTr="00FE3021">
        <w:tc>
          <w:tcPr>
            <w:tcW w:w="2768" w:type="dxa"/>
          </w:tcPr>
          <w:p w:rsidR="00FE3021" w:rsidRDefault="00FE3021" w:rsidP="00FE3021">
            <w:pPr>
              <w:jc w:val="left"/>
            </w:pPr>
            <w:r>
              <w:rPr>
                <w:rFonts w:hint="eastAsia"/>
              </w:rPr>
              <w:t>托管费</w:t>
            </w:r>
          </w:p>
        </w:tc>
        <w:tc>
          <w:tcPr>
            <w:tcW w:w="2769" w:type="dxa"/>
          </w:tcPr>
          <w:p w:rsidR="00FE3021" w:rsidRDefault="00FE3021" w:rsidP="00FE3021">
            <w:pPr>
              <w:jc w:val="right"/>
            </w:pPr>
            <w:r>
              <w:t>-</w:t>
            </w:r>
          </w:p>
        </w:tc>
        <w:tc>
          <w:tcPr>
            <w:tcW w:w="2769" w:type="dxa"/>
          </w:tcPr>
          <w:p w:rsidR="00FE3021" w:rsidRDefault="00FE3021" w:rsidP="00FE3021">
            <w:pPr>
              <w:jc w:val="right"/>
            </w:pPr>
            <w:r>
              <w:t>0.30%</w:t>
            </w:r>
          </w:p>
        </w:tc>
      </w:tr>
      <w:tr w:rsidR="00FE3021" w:rsidTr="00FE3021">
        <w:tc>
          <w:tcPr>
            <w:tcW w:w="2768" w:type="dxa"/>
          </w:tcPr>
          <w:p w:rsidR="00FE3021" w:rsidRDefault="00FE3021" w:rsidP="00FE3021">
            <w:pPr>
              <w:jc w:val="left"/>
            </w:pPr>
            <w:r>
              <w:rPr>
                <w:rFonts w:hint="eastAsia"/>
              </w:rPr>
              <w:t>销售服务费</w:t>
            </w:r>
          </w:p>
        </w:tc>
        <w:tc>
          <w:tcPr>
            <w:tcW w:w="2769" w:type="dxa"/>
          </w:tcPr>
          <w:p w:rsidR="00FE3021" w:rsidRDefault="00FE3021" w:rsidP="00FE3021">
            <w:pPr>
              <w:jc w:val="right"/>
            </w:pPr>
            <w:r>
              <w:t>-</w:t>
            </w:r>
          </w:p>
        </w:tc>
        <w:tc>
          <w:tcPr>
            <w:tcW w:w="2769" w:type="dxa"/>
          </w:tcPr>
          <w:p w:rsidR="00FE3021" w:rsidRDefault="00FE3021" w:rsidP="00FE3021">
            <w:pPr>
              <w:jc w:val="right"/>
            </w:pPr>
            <w:r>
              <w:t>-</w:t>
            </w:r>
          </w:p>
        </w:tc>
      </w:tr>
      <w:tr w:rsidR="00FE3021" w:rsidTr="00405B8E">
        <w:tc>
          <w:tcPr>
            <w:tcW w:w="2768" w:type="dxa"/>
          </w:tcPr>
          <w:p w:rsidR="00FE3021" w:rsidRDefault="00FE3021" w:rsidP="00FE3021">
            <w:pPr>
              <w:jc w:val="left"/>
            </w:pPr>
            <w:r>
              <w:rPr>
                <w:rFonts w:hint="eastAsia"/>
              </w:rPr>
              <w:t>其他费用</w:t>
            </w:r>
          </w:p>
        </w:tc>
        <w:tc>
          <w:tcPr>
            <w:tcW w:w="5538" w:type="dxa"/>
            <w:gridSpan w:val="2"/>
          </w:tcPr>
          <w:p w:rsidR="00FE3021" w:rsidRDefault="00FE3021" w:rsidP="00FE3021">
            <w:pPr>
              <w:jc w:val="left"/>
            </w:pPr>
            <w:r>
              <w:rPr>
                <w:rFonts w:hint="eastAsia"/>
              </w:rPr>
              <w:t>《基金合同》生效后与基金相关的信息披露费用；《基金合同》生效后与基金相关的会计师费、律师费、审计费、诉讼费和仲裁费；基金份额持有人大会费用；基金的证券、期货交易费用；基金的银行汇划费用；基金相关账户的开户及维护费用；按照国家有关规定和《基金合同》约定，可以在基金财产中列支的其他费用。</w:t>
            </w:r>
          </w:p>
        </w:tc>
      </w:tr>
    </w:tbl>
    <w:p w:rsidR="00FE3021" w:rsidRDefault="00FE3021" w:rsidP="00FE3021">
      <w:pPr>
        <w:pStyle w:val="-7"/>
        <w:ind w:firstLine="420"/>
        <w:rPr>
          <w:rFonts w:hint="eastAsia"/>
        </w:rPr>
      </w:pPr>
      <w:r>
        <w:rPr>
          <w:rFonts w:hint="eastAsia"/>
        </w:rPr>
        <w:t>注：本基金交易证券、基金等产生的费用和税负，按实际发生额从基金资产扣除。</w:t>
      </w:r>
    </w:p>
    <w:p w:rsidR="00FE3021" w:rsidRDefault="00FE3021" w:rsidP="00FE3021">
      <w:pPr>
        <w:pStyle w:val="-"/>
        <w:ind w:firstLine="420"/>
        <w:rPr>
          <w:rFonts w:hint="eastAsia"/>
        </w:rPr>
      </w:pPr>
      <w:r>
        <w:rPr>
          <w:rFonts w:hint="eastAsia"/>
        </w:rPr>
        <w:t>本基金终止清算时所发生费用，按实际支出额从基金财产总值中扣除。</w:t>
      </w:r>
    </w:p>
    <w:p w:rsidR="00FE3021" w:rsidRDefault="00FE3021" w:rsidP="00FE3021">
      <w:pPr>
        <w:pStyle w:val="-1"/>
        <w:spacing w:before="156" w:after="156"/>
        <w:rPr>
          <w:rFonts w:hint="eastAsia"/>
        </w:rPr>
      </w:pPr>
      <w:r>
        <w:rPr>
          <w:rFonts w:hint="eastAsia"/>
        </w:rPr>
        <w:t>四、风险揭示与重要提示</w:t>
      </w:r>
    </w:p>
    <w:p w:rsidR="00FE3021" w:rsidRDefault="00FE3021" w:rsidP="00FE3021">
      <w:pPr>
        <w:pStyle w:val="-2"/>
        <w:spacing w:before="156" w:after="156"/>
        <w:rPr>
          <w:rFonts w:hint="eastAsia"/>
        </w:rPr>
      </w:pPr>
      <w:r>
        <w:rPr>
          <w:rFonts w:hint="eastAsia"/>
        </w:rPr>
        <w:t>（一）</w:t>
      </w:r>
      <w:r>
        <w:rPr>
          <w:rFonts w:hint="eastAsia"/>
        </w:rPr>
        <w:t xml:space="preserve"> </w:t>
      </w:r>
      <w:r>
        <w:rPr>
          <w:rFonts w:hint="eastAsia"/>
        </w:rPr>
        <w:t>风险揭示</w:t>
      </w:r>
    </w:p>
    <w:p w:rsidR="00FE3021" w:rsidRDefault="00FE3021" w:rsidP="00FE3021">
      <w:pPr>
        <w:pStyle w:val="-"/>
        <w:ind w:firstLine="420"/>
        <w:rPr>
          <w:rFonts w:hint="eastAsia"/>
        </w:rPr>
      </w:pPr>
      <w:r>
        <w:rPr>
          <w:rFonts w:hint="eastAsia"/>
        </w:rPr>
        <w:t>本基金不提供任何保证。投资者可能损失投资本金。</w:t>
      </w:r>
    </w:p>
    <w:p w:rsidR="00FE3021" w:rsidRDefault="00FE3021" w:rsidP="00FE3021">
      <w:pPr>
        <w:pStyle w:val="-"/>
        <w:ind w:firstLine="420"/>
        <w:rPr>
          <w:rFonts w:hint="eastAsia"/>
        </w:rPr>
      </w:pPr>
      <w:r>
        <w:rPr>
          <w:rFonts w:hint="eastAsia"/>
        </w:rPr>
        <w:t>投资有风险，投资者购买基金时应认真阅读本基金的《招募说明书》等销售文件。</w:t>
      </w:r>
    </w:p>
    <w:p w:rsidR="00FE3021" w:rsidRDefault="00FE3021" w:rsidP="00FE3021">
      <w:pPr>
        <w:pStyle w:val="-"/>
        <w:ind w:firstLine="420"/>
        <w:rPr>
          <w:rFonts w:hint="eastAsia"/>
        </w:rPr>
      </w:pPr>
      <w:r>
        <w:rPr>
          <w:rFonts w:hint="eastAsia"/>
        </w:rPr>
        <w:t>1</w:t>
      </w:r>
      <w:r>
        <w:rPr>
          <w:rFonts w:hint="eastAsia"/>
        </w:rPr>
        <w:t>、境外投资产品风险</w:t>
      </w:r>
    </w:p>
    <w:p w:rsidR="00FE3021" w:rsidRDefault="00FE3021" w:rsidP="00FE3021">
      <w:pPr>
        <w:pStyle w:val="-"/>
        <w:ind w:firstLine="420"/>
        <w:rPr>
          <w:rFonts w:hint="eastAsia"/>
        </w:rPr>
      </w:pPr>
      <w:r>
        <w:rPr>
          <w:rFonts w:hint="eastAsia"/>
        </w:rPr>
        <w:t>（</w:t>
      </w:r>
      <w:r>
        <w:rPr>
          <w:rFonts w:hint="eastAsia"/>
        </w:rPr>
        <w:t>1</w:t>
      </w:r>
      <w:r>
        <w:rPr>
          <w:rFonts w:hint="eastAsia"/>
        </w:rPr>
        <w:t>）海外市场风险：市场风险是指由于市场因素如基础利率、汇率、股票价格和商品价格的变化或由于这些市场因素的波动率的变化而引起的证券价格的非预期变化，并产生损失的可能性。</w:t>
      </w:r>
    </w:p>
    <w:p w:rsidR="00FE3021" w:rsidRDefault="00FE3021" w:rsidP="00FE3021">
      <w:pPr>
        <w:pStyle w:val="-"/>
        <w:ind w:firstLine="420"/>
        <w:rPr>
          <w:rFonts w:hint="eastAsia"/>
        </w:rPr>
      </w:pPr>
      <w:r>
        <w:rPr>
          <w:rFonts w:hint="eastAsia"/>
        </w:rPr>
        <w:t>由于本基金将投资于海外股票市场，因此一方面基金净值会因全球股市的整体变化而出现价格波动。另一方面，各国各地区处于不同的产业经济循环周期之中，这也将对基金的投资绩效产生影响。具体而言，海外股票市场对于负面的特定事件的反映各不相同；各国或地区有其独特的政治因素、法律法规、市场状况、经济发展趋势；并且美国、英国、香港等证券交易市场对每日证券交易价格并无涨跌幅上下限的规定，使得这些国家或地区证券的每日涨跌幅空间相对较大。以上所述因素都可能会带来市场的急剧下跌，从而导致投资风险的增加。</w:t>
      </w:r>
    </w:p>
    <w:p w:rsidR="00FE3021" w:rsidRDefault="00FE3021" w:rsidP="00FE3021">
      <w:pPr>
        <w:pStyle w:val="-"/>
        <w:ind w:firstLine="420"/>
        <w:rPr>
          <w:rFonts w:hint="eastAsia"/>
        </w:rPr>
      </w:pPr>
      <w:r>
        <w:rPr>
          <w:rFonts w:hint="eastAsia"/>
        </w:rPr>
        <w:t>（</w:t>
      </w:r>
      <w:r>
        <w:rPr>
          <w:rFonts w:hint="eastAsia"/>
        </w:rPr>
        <w:t>2</w:t>
      </w:r>
      <w:r>
        <w:rPr>
          <w:rFonts w:hint="eastAsia"/>
        </w:rPr>
        <w:t>）汇率风险：一方面，本基金每日的净资产价值以人民币计价，因此当汇率发生变动时，将会影响到人民币计价的净资产价值。另一方面，对应资产可能投资于以非美元报价的各类资产，因此非美元资产的表现将受资产所持货币兑美元的汇率变动所影响。</w:t>
      </w:r>
    </w:p>
    <w:p w:rsidR="00FE3021" w:rsidRDefault="00FE3021" w:rsidP="00FE3021">
      <w:pPr>
        <w:pStyle w:val="-"/>
        <w:ind w:firstLine="420"/>
        <w:rPr>
          <w:rFonts w:hint="eastAsia"/>
        </w:rPr>
      </w:pPr>
      <w:r>
        <w:rPr>
          <w:rFonts w:hint="eastAsia"/>
        </w:rPr>
        <w:t>为了避免币值波动而影响到基金的投资收益，基金管理公司将利用远期合约、互换以及其他经中国证监会认可的金融衍生产品，就本基金投资的货币间汇率进行避险，以降低汇率风险。</w:t>
      </w:r>
    </w:p>
    <w:p w:rsidR="00FE3021" w:rsidRDefault="00FE3021" w:rsidP="00FE3021">
      <w:pPr>
        <w:pStyle w:val="-"/>
        <w:ind w:firstLine="420"/>
        <w:rPr>
          <w:rFonts w:hint="eastAsia"/>
        </w:rPr>
      </w:pPr>
      <w:r>
        <w:rPr>
          <w:rFonts w:hint="eastAsia"/>
        </w:rPr>
        <w:t>（</w:t>
      </w:r>
      <w:r>
        <w:rPr>
          <w:rFonts w:hint="eastAsia"/>
        </w:rPr>
        <w:t>3</w:t>
      </w:r>
      <w:r>
        <w:rPr>
          <w:rFonts w:hint="eastAsia"/>
        </w:rPr>
        <w:t>）政治管制风险：在所投资国家或地区中，包含成熟市场以及新兴市场。新兴市场国家一般对外汇的管制较严格，因此存在一定的外汇管制风险，可能导致汇兑损益。本基金将尽量避免投资于政治管制过于严格的国家或地区，同时密切关注已投资地区的政治管制风险。</w:t>
      </w:r>
    </w:p>
    <w:p w:rsidR="00FE3021" w:rsidRDefault="00FE3021" w:rsidP="00FE3021">
      <w:pPr>
        <w:pStyle w:val="-"/>
        <w:ind w:firstLine="420"/>
        <w:rPr>
          <w:rFonts w:hint="eastAsia"/>
        </w:rPr>
      </w:pPr>
      <w:r>
        <w:rPr>
          <w:rFonts w:hint="eastAsia"/>
        </w:rPr>
        <w:t>（</w:t>
      </w:r>
      <w:r>
        <w:rPr>
          <w:rFonts w:hint="eastAsia"/>
        </w:rPr>
        <w:t>4</w:t>
      </w:r>
      <w:r>
        <w:rPr>
          <w:rFonts w:hint="eastAsia"/>
        </w:rPr>
        <w:t>）政治风险：国家或地区的财政政策、货币政策、产业政策、地区发展政策等宏观政策发生变化，导致市场波动而影响基金收益，也会产生风险，称之为政治风险。例如，外国政府可能会鉴于政治上的优先考虑，改变支付政策；新政府或许会拒绝承担前任政府的债务。</w:t>
      </w:r>
    </w:p>
    <w:p w:rsidR="00FE3021" w:rsidRDefault="00FE3021" w:rsidP="00FE3021">
      <w:pPr>
        <w:pStyle w:val="-"/>
        <w:ind w:firstLine="420"/>
        <w:rPr>
          <w:rFonts w:hint="eastAsia"/>
        </w:rPr>
      </w:pPr>
      <w:r>
        <w:rPr>
          <w:rFonts w:hint="eastAsia"/>
        </w:rPr>
        <w:t>本基金以全球市场为主要的投资地区，因此全球的政治、社会或经济情势的变动</w:t>
      </w:r>
      <w:r>
        <w:rPr>
          <w:rFonts w:hint="eastAsia"/>
        </w:rPr>
        <w:t>(</w:t>
      </w:r>
      <w:r>
        <w:rPr>
          <w:rFonts w:hint="eastAsia"/>
        </w:rPr>
        <w:t>包括天然灾害、战争、暴动或罢工等</w:t>
      </w:r>
      <w:r>
        <w:rPr>
          <w:rFonts w:hint="eastAsia"/>
        </w:rPr>
        <w:t>)</w:t>
      </w:r>
      <w:r>
        <w:rPr>
          <w:rFonts w:hint="eastAsia"/>
        </w:rPr>
        <w:t>，都可能对本基金所参与的投资市场或投资产品造成直接</w:t>
      </w:r>
      <w:r>
        <w:rPr>
          <w:rFonts w:hint="eastAsia"/>
        </w:rPr>
        <w:lastRenderedPageBreak/>
        <w:t>或者是间接的负面冲击。本基金将在内部及外部研究机构的支持下，密切关注各国政治、经济和产业政策的变化，适时调整投资策略以应对政治风险的变化。</w:t>
      </w:r>
    </w:p>
    <w:p w:rsidR="00FE3021" w:rsidRDefault="00FE3021" w:rsidP="00FE3021">
      <w:pPr>
        <w:pStyle w:val="-"/>
        <w:ind w:firstLine="420"/>
        <w:rPr>
          <w:rFonts w:hint="eastAsia"/>
        </w:rPr>
      </w:pPr>
      <w:r>
        <w:rPr>
          <w:rFonts w:hint="eastAsia"/>
        </w:rPr>
        <w:t>2</w:t>
      </w:r>
      <w:r>
        <w:rPr>
          <w:rFonts w:hint="eastAsia"/>
        </w:rPr>
        <w:t>、本基金法律文件风险收益特征表述与销售机构基金风险评价可能不一致的风险</w:t>
      </w:r>
    </w:p>
    <w:p w:rsidR="00FE3021" w:rsidRDefault="00FE3021" w:rsidP="00FE3021">
      <w:pPr>
        <w:pStyle w:val="-"/>
        <w:ind w:firstLine="420"/>
        <w:rPr>
          <w:rFonts w:hint="eastAsia"/>
        </w:rPr>
      </w:pPr>
      <w:r>
        <w:rPr>
          <w:rFonts w:hint="eastAsia"/>
        </w:rPr>
        <w:t>本基金法律文件投资章节有关风险收益特征的表述是基于投资范围、投资比例、证券市场普遍规律等做出的概述性描述，代表了一般市场情况下本基金的长期风险收益特征。销售机构</w:t>
      </w:r>
      <w:r>
        <w:rPr>
          <w:rFonts w:hint="eastAsia"/>
        </w:rPr>
        <w:t>(</w:t>
      </w:r>
      <w:r>
        <w:rPr>
          <w:rFonts w:hint="eastAsia"/>
        </w:rPr>
        <w:t>包括基金管理人直销机构和代销机构</w:t>
      </w:r>
      <w:r>
        <w:rPr>
          <w:rFonts w:hint="eastAsia"/>
        </w:rPr>
        <w:t>)</w:t>
      </w:r>
      <w:r>
        <w:rPr>
          <w:rFonts w:hint="eastAsia"/>
        </w:rPr>
        <w:t>根据相关法律法规对本基金进行风险评价，不同的销售机构采用的评价方法也不同，因此销售机构的风险等级评价与基金法律文件中风险收益特征的表述可能存在不同，投资人在购买本基金时需按照销售机构的要求完成风险承受能力与产品风险之间的匹配检验。</w:t>
      </w:r>
    </w:p>
    <w:p w:rsidR="00FE3021" w:rsidRDefault="00FE3021" w:rsidP="00FE3021">
      <w:pPr>
        <w:pStyle w:val="-"/>
        <w:ind w:firstLine="420"/>
      </w:pPr>
    </w:p>
    <w:p w:rsidR="00FE3021" w:rsidRDefault="00FE3021" w:rsidP="00FE3021">
      <w:pPr>
        <w:pStyle w:val="-"/>
        <w:ind w:firstLine="420"/>
        <w:rPr>
          <w:rFonts w:hint="eastAsia"/>
        </w:rPr>
      </w:pPr>
      <w:r>
        <w:rPr>
          <w:rFonts w:hint="eastAsia"/>
        </w:rPr>
        <w:t>3</w:t>
      </w:r>
      <w:r>
        <w:rPr>
          <w:rFonts w:hint="eastAsia"/>
        </w:rPr>
        <w:t>、实施备用的流动性风险管理工具的情形、程序及对投资者的潜在影响</w:t>
      </w:r>
    </w:p>
    <w:p w:rsidR="00FE3021" w:rsidRDefault="00FE3021" w:rsidP="00FE3021">
      <w:pPr>
        <w:pStyle w:val="-"/>
        <w:ind w:firstLine="420"/>
        <w:rPr>
          <w:rFonts w:hint="eastAsia"/>
        </w:rPr>
      </w:pPr>
      <w:r>
        <w:rPr>
          <w:rFonts w:hint="eastAsia"/>
        </w:rPr>
        <w:t>本基金在面临大规模赎回的情况下有可能因为无法变现造成流动性风险。如果出现流动性风险，基金管理人经与基金托管人协商，在确保投资者得到公平对待的前提下，可实施备用的流动性风险管理工具，作为特定情形下基金管理人流动性风险管理的辅助措施，包括但不限于延期办理巨额赎回申请、暂停接受赎回申请、延缓支付赎回款项、收取短期赎回费、暂停基金估值以及中国证监会认定的其他措施。同时基金管理人应时刻防范可能产生的流动性风险，对流动性风险进行日常监控，保护持有人的利益。当实施备用的流动性风险管理工具时，有可能无法按基金合同约定的时限支付赎回款项。</w:t>
      </w:r>
    </w:p>
    <w:p w:rsidR="00FE3021" w:rsidRDefault="00FE3021" w:rsidP="00FE3021">
      <w:pPr>
        <w:pStyle w:val="-"/>
        <w:ind w:firstLine="420"/>
      </w:pPr>
    </w:p>
    <w:p w:rsidR="00FE3021" w:rsidRDefault="00FE3021" w:rsidP="00FE3021">
      <w:pPr>
        <w:pStyle w:val="-"/>
        <w:ind w:firstLine="420"/>
        <w:rPr>
          <w:rFonts w:hint="eastAsia"/>
        </w:rPr>
      </w:pPr>
      <w:r>
        <w:rPr>
          <w:rFonts w:hint="eastAsia"/>
        </w:rPr>
        <w:t>4</w:t>
      </w:r>
      <w:r>
        <w:rPr>
          <w:rFonts w:hint="eastAsia"/>
        </w:rPr>
        <w:t>、本基金面临的主要风险还存在</w:t>
      </w:r>
      <w:r>
        <w:rPr>
          <w:rFonts w:hint="eastAsia"/>
        </w:rPr>
        <w:t>:</w:t>
      </w:r>
      <w:r>
        <w:rPr>
          <w:rFonts w:hint="eastAsia"/>
        </w:rPr>
        <w:t>利率风险、信用风险、流动性风险、操作风险、会计核算风险、税务风险、交易结算风险、法律风险、金融模型风险、衍生品风险。</w:t>
      </w:r>
    </w:p>
    <w:p w:rsidR="00FE3021" w:rsidRDefault="00FE3021" w:rsidP="00FE3021">
      <w:pPr>
        <w:pStyle w:val="-2"/>
        <w:spacing w:before="156" w:after="156"/>
      </w:pPr>
      <w:r>
        <w:rPr>
          <w:rFonts w:hint="eastAsia"/>
        </w:rPr>
        <w:t>（二）</w:t>
      </w:r>
      <w:r>
        <w:t xml:space="preserve"> </w:t>
      </w:r>
      <w:r>
        <w:t>重要提示</w:t>
      </w:r>
    </w:p>
    <w:p w:rsidR="00FE3021" w:rsidRDefault="00FE3021" w:rsidP="00FE3021">
      <w:pPr>
        <w:pStyle w:val="-"/>
        <w:ind w:firstLine="420"/>
        <w:rPr>
          <w:rFonts w:hint="eastAsia"/>
        </w:rPr>
      </w:pPr>
      <w:r>
        <w:rPr>
          <w:rFonts w:hint="eastAsia"/>
        </w:rPr>
        <w:t>南方全球精选配置证券投资基金（以下简称“本基金”）</w:t>
      </w:r>
      <w:r>
        <w:rPr>
          <w:rFonts w:hint="eastAsia"/>
        </w:rPr>
        <w:t xml:space="preserve"> </w:t>
      </w:r>
      <w:r>
        <w:rPr>
          <w:rFonts w:hint="eastAsia"/>
        </w:rPr>
        <w:t>经中国证监会</w:t>
      </w:r>
      <w:r>
        <w:rPr>
          <w:rFonts w:hint="eastAsia"/>
        </w:rPr>
        <w:t>2007</w:t>
      </w:r>
      <w:r>
        <w:rPr>
          <w:rFonts w:hint="eastAsia"/>
        </w:rPr>
        <w:t>年</w:t>
      </w:r>
      <w:r>
        <w:rPr>
          <w:rFonts w:hint="eastAsia"/>
        </w:rPr>
        <w:t>8</w:t>
      </w:r>
      <w:r>
        <w:rPr>
          <w:rFonts w:hint="eastAsia"/>
        </w:rPr>
        <w:t>月</w:t>
      </w:r>
      <w:r>
        <w:rPr>
          <w:rFonts w:hint="eastAsia"/>
        </w:rPr>
        <w:t>31</w:t>
      </w:r>
      <w:r>
        <w:rPr>
          <w:rFonts w:hint="eastAsia"/>
        </w:rPr>
        <w:t>日证监基金字</w:t>
      </w:r>
      <w:r>
        <w:rPr>
          <w:rFonts w:hint="eastAsia"/>
        </w:rPr>
        <w:t>[2007]244</w:t>
      </w:r>
      <w:r>
        <w:rPr>
          <w:rFonts w:hint="eastAsia"/>
        </w:rPr>
        <w:t>号文核准募集。中国证监会对本基金募集的核准，并不表明其对本基金的价值和收益作出实质性判断或保证，也不表明投资于本基金没有风险。</w:t>
      </w:r>
    </w:p>
    <w:p w:rsidR="00FE3021" w:rsidRDefault="00FE3021" w:rsidP="00FE3021">
      <w:pPr>
        <w:pStyle w:val="-"/>
        <w:ind w:firstLine="420"/>
        <w:rPr>
          <w:rFonts w:hint="eastAsia"/>
        </w:rPr>
      </w:pPr>
      <w:r>
        <w:rPr>
          <w:rFonts w:hint="eastAsia"/>
        </w:rPr>
        <w:t>基金管理人依照恪尽职守、诚实信用、谨慎勤勉的原则管理和运用基金财产，但不保证基金一定盈利，也不保证最低收益。</w:t>
      </w:r>
    </w:p>
    <w:p w:rsidR="00FE3021" w:rsidRDefault="00FE3021" w:rsidP="00FE3021">
      <w:pPr>
        <w:pStyle w:val="-"/>
        <w:ind w:firstLine="420"/>
        <w:rPr>
          <w:rFonts w:hint="eastAsia"/>
        </w:rPr>
      </w:pPr>
      <w:r>
        <w:rPr>
          <w:rFonts w:hint="eastAsia"/>
        </w:rPr>
        <w:t>基金投资者自依基金合同取得基金份额，即成为基金份额持有人和基金合同的当事人。</w:t>
      </w:r>
    </w:p>
    <w:p w:rsidR="00FE3021" w:rsidRDefault="00FE3021" w:rsidP="00FE3021">
      <w:pPr>
        <w:pStyle w:val="-"/>
        <w:ind w:firstLine="420"/>
        <w:rPr>
          <w:rFonts w:hint="eastAsia"/>
        </w:rPr>
      </w:pPr>
      <w:r>
        <w:rPr>
          <w:rFonts w:hint="eastAsia"/>
        </w:rPr>
        <w:t>与本基金</w:t>
      </w:r>
      <w:r>
        <w:rPr>
          <w:rFonts w:hint="eastAsia"/>
        </w:rPr>
        <w:t>/</w:t>
      </w:r>
      <w:r>
        <w:rPr>
          <w:rFonts w:hint="eastAsia"/>
        </w:rPr>
        <w:t>基金合同相关的争议解决方式为仲裁。因本基金产生的或与基金合同有关的一切争议，如经友好协商未能解决的，任何一方均有权将争议提交中国国际经济贸易仲裁委员会仲裁，仲裁地点为北京市。</w:t>
      </w:r>
    </w:p>
    <w:p w:rsidR="00FE3021" w:rsidRDefault="00FE3021" w:rsidP="00FE3021">
      <w:pPr>
        <w:pStyle w:val="-"/>
        <w:ind w:firstLine="420"/>
        <w:rPr>
          <w:rFonts w:hint="eastAsia"/>
        </w:rPr>
      </w:pPr>
      <w:r>
        <w:rPr>
          <w:rFonts w:hint="eastAsia"/>
        </w:rPr>
        <w:t>基金产品资料概要信息发生重大变更的，基金管理人将在三个工作日内更新，其他信息发生变更的，基金管理人每年更新一次。因此，本文件内容相比基金的实际情况可能存在一定的滞后，如需及时、准确获取基金的相关信息，敬请同时关注基金管理人发布的相关临时公告等。</w:t>
      </w:r>
    </w:p>
    <w:p w:rsidR="00FE3021" w:rsidRDefault="00FE3021" w:rsidP="00FE3021">
      <w:pPr>
        <w:pStyle w:val="-1"/>
        <w:spacing w:before="156" w:after="156"/>
        <w:rPr>
          <w:rFonts w:hint="eastAsia"/>
        </w:rPr>
      </w:pPr>
      <w:r>
        <w:rPr>
          <w:rFonts w:hint="eastAsia"/>
        </w:rPr>
        <w:t>五、其他资料查询方式</w:t>
      </w:r>
    </w:p>
    <w:p w:rsidR="00FE3021" w:rsidRDefault="00FE3021" w:rsidP="00FE3021">
      <w:pPr>
        <w:pStyle w:val="-"/>
        <w:ind w:firstLine="420"/>
        <w:rPr>
          <w:rFonts w:hint="eastAsia"/>
        </w:rPr>
      </w:pPr>
      <w:r>
        <w:rPr>
          <w:rFonts w:hint="eastAsia"/>
        </w:rPr>
        <w:t>以下资料详见基金管理人网站</w:t>
      </w:r>
      <w:r>
        <w:rPr>
          <w:rFonts w:hint="eastAsia"/>
        </w:rPr>
        <w:t>[www.nffund.com][</w:t>
      </w:r>
      <w:r>
        <w:rPr>
          <w:rFonts w:hint="eastAsia"/>
        </w:rPr>
        <w:t>客服电话：</w:t>
      </w:r>
      <w:r>
        <w:rPr>
          <w:rFonts w:hint="eastAsia"/>
        </w:rPr>
        <w:t>400-889-8899]</w:t>
      </w:r>
    </w:p>
    <w:p w:rsidR="00FE3021" w:rsidRDefault="00FE3021" w:rsidP="00FE3021">
      <w:pPr>
        <w:pStyle w:val="-"/>
        <w:ind w:firstLine="420"/>
        <w:rPr>
          <w:rFonts w:hint="eastAsia"/>
        </w:rPr>
      </w:pPr>
      <w:r>
        <w:rPr>
          <w:rFonts w:hint="eastAsia"/>
        </w:rPr>
        <w:t>●《南方全球精选配置证券投资基金基金合同》、</w:t>
      </w:r>
    </w:p>
    <w:p w:rsidR="00FE3021" w:rsidRDefault="00FE3021" w:rsidP="00FE3021">
      <w:pPr>
        <w:pStyle w:val="-"/>
        <w:ind w:firstLine="420"/>
        <w:rPr>
          <w:rFonts w:hint="eastAsia"/>
        </w:rPr>
      </w:pPr>
      <w:r>
        <w:rPr>
          <w:rFonts w:hint="eastAsia"/>
        </w:rPr>
        <w:t>《南方全球精选配置证券投资基金托管协议》、</w:t>
      </w:r>
    </w:p>
    <w:p w:rsidR="00FE3021" w:rsidRDefault="00FE3021" w:rsidP="00FE3021">
      <w:pPr>
        <w:pStyle w:val="-"/>
        <w:ind w:firstLine="420"/>
        <w:rPr>
          <w:rFonts w:hint="eastAsia"/>
        </w:rPr>
      </w:pPr>
      <w:r>
        <w:rPr>
          <w:rFonts w:hint="eastAsia"/>
        </w:rPr>
        <w:t>《南方全球精选配置证券投资基金招募说明书》</w:t>
      </w:r>
    </w:p>
    <w:p w:rsidR="00FE3021" w:rsidRDefault="00FE3021" w:rsidP="00FE3021">
      <w:pPr>
        <w:pStyle w:val="-"/>
        <w:ind w:firstLine="420"/>
        <w:rPr>
          <w:rFonts w:hint="eastAsia"/>
        </w:rPr>
      </w:pPr>
      <w:r>
        <w:rPr>
          <w:rFonts w:hint="eastAsia"/>
        </w:rPr>
        <w:t>●定期报告、包括基金季度报告、中期报告和年度报告</w:t>
      </w:r>
    </w:p>
    <w:p w:rsidR="00FE3021" w:rsidRDefault="00FE3021" w:rsidP="00FE3021">
      <w:pPr>
        <w:pStyle w:val="-"/>
        <w:ind w:firstLine="420"/>
        <w:rPr>
          <w:rFonts w:hint="eastAsia"/>
        </w:rPr>
      </w:pPr>
      <w:r>
        <w:rPr>
          <w:rFonts w:hint="eastAsia"/>
        </w:rPr>
        <w:t>●基金份额净值</w:t>
      </w:r>
    </w:p>
    <w:p w:rsidR="00FE3021" w:rsidRDefault="00FE3021" w:rsidP="00FE3021">
      <w:pPr>
        <w:pStyle w:val="-"/>
        <w:ind w:firstLine="420"/>
        <w:rPr>
          <w:rFonts w:hint="eastAsia"/>
        </w:rPr>
      </w:pPr>
      <w:r>
        <w:rPr>
          <w:rFonts w:hint="eastAsia"/>
        </w:rPr>
        <w:t>●基金销售机构及联系方式</w:t>
      </w:r>
    </w:p>
    <w:p w:rsidR="00FE3021" w:rsidRDefault="00FE3021" w:rsidP="00FE3021">
      <w:pPr>
        <w:pStyle w:val="-"/>
        <w:ind w:firstLine="420"/>
        <w:rPr>
          <w:rFonts w:hint="eastAsia"/>
        </w:rPr>
      </w:pPr>
      <w:r>
        <w:rPr>
          <w:rFonts w:hint="eastAsia"/>
        </w:rPr>
        <w:lastRenderedPageBreak/>
        <w:t>●其他重要资料</w:t>
      </w:r>
    </w:p>
    <w:p w:rsidR="00FE3021" w:rsidRDefault="00FE3021" w:rsidP="00FE3021">
      <w:pPr>
        <w:pStyle w:val="-1"/>
        <w:spacing w:before="156" w:after="156"/>
        <w:rPr>
          <w:rFonts w:hint="eastAsia"/>
        </w:rPr>
      </w:pPr>
      <w:r>
        <w:rPr>
          <w:rFonts w:hint="eastAsia"/>
        </w:rPr>
        <w:t>六、其他情况说明</w:t>
      </w:r>
    </w:p>
    <w:p w:rsidR="00FE3021" w:rsidRDefault="00FE3021" w:rsidP="00FE3021">
      <w:pPr>
        <w:pStyle w:val="-"/>
        <w:ind w:firstLine="420"/>
        <w:rPr>
          <w:rFonts w:hint="eastAsia"/>
        </w:rPr>
      </w:pPr>
      <w:bookmarkStart w:id="0" w:name="_GoBack"/>
      <w:bookmarkEnd w:id="0"/>
      <w:r>
        <w:rPr>
          <w:rFonts w:hint="eastAsia"/>
        </w:rPr>
        <w:t>暂无。</w:t>
      </w:r>
    </w:p>
    <w:p w:rsidR="00E67375" w:rsidRPr="00ED7F31" w:rsidRDefault="00FE3021" w:rsidP="00FE3021">
      <w:pPr>
        <w:pStyle w:val="-"/>
        <w:ind w:firstLine="420"/>
      </w:pPr>
      <w:r w:rsidRPr="00A84177">
        <w:t xml:space="preserve"> </w:t>
      </w:r>
    </w:p>
    <w:sectPr w:rsidR="00E67375" w:rsidRPr="00ED7F31" w:rsidSect="00F03A80">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3021" w:rsidRDefault="00FE3021" w:rsidP="00C06F04">
      <w:r>
        <w:separator/>
      </w:r>
    </w:p>
  </w:endnote>
  <w:endnote w:type="continuationSeparator" w:id="0">
    <w:p w:rsidR="00FE3021" w:rsidRDefault="00FE3021" w:rsidP="00C06F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方正黑体简体">
    <w:altName w:val="微软雅黑"/>
    <w:charset w:val="86"/>
    <w:family w:val="auto"/>
    <w:pitch w:val="default"/>
    <w:sig w:usb0="00000000"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3021" w:rsidRDefault="00FE302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097D" w:rsidRDefault="00FA097D">
    <w:pPr>
      <w:pStyle w:val="a7"/>
      <w:jc w:val="right"/>
    </w:pPr>
    <w:r>
      <w:fldChar w:fldCharType="begin"/>
    </w:r>
    <w:r>
      <w:instrText xml:space="preserve"> PAGE   \* MERGEFORMAT </w:instrText>
    </w:r>
    <w:r>
      <w:fldChar w:fldCharType="separate"/>
    </w:r>
    <w:r w:rsidR="00FE3021" w:rsidRPr="00FE3021">
      <w:rPr>
        <w:noProof/>
        <w:lang w:val="zh-CN"/>
      </w:rPr>
      <w:t>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3021" w:rsidRDefault="00FE302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3021" w:rsidRDefault="00FE3021" w:rsidP="00C06F04">
      <w:r>
        <w:separator/>
      </w:r>
    </w:p>
  </w:footnote>
  <w:footnote w:type="continuationSeparator" w:id="0">
    <w:p w:rsidR="00FE3021" w:rsidRDefault="00FE3021" w:rsidP="00C06F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3021" w:rsidRDefault="00FE302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7B7" w:rsidRDefault="00FE3021" w:rsidP="00CE07B7">
    <w:pPr>
      <w:pStyle w:val="a6"/>
      <w:jc w:val="right"/>
    </w:pPr>
    <w:r>
      <w:rPr>
        <w:rFonts w:hint="eastAsia"/>
      </w:rPr>
      <w:t>南方全球精选配置证券投资基金基金产品资料概要（更新）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3021" w:rsidRDefault="00FE302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AD4"/>
    <w:rsid w:val="0001145D"/>
    <w:rsid w:val="0001706E"/>
    <w:rsid w:val="00045B9C"/>
    <w:rsid w:val="000629C7"/>
    <w:rsid w:val="00073A17"/>
    <w:rsid w:val="00100924"/>
    <w:rsid w:val="001064E3"/>
    <w:rsid w:val="001750FE"/>
    <w:rsid w:val="00175E81"/>
    <w:rsid w:val="00181325"/>
    <w:rsid w:val="00187B2C"/>
    <w:rsid w:val="0019575F"/>
    <w:rsid w:val="001B4F59"/>
    <w:rsid w:val="001C46F3"/>
    <w:rsid w:val="002073CE"/>
    <w:rsid w:val="00225A93"/>
    <w:rsid w:val="0023093B"/>
    <w:rsid w:val="00230942"/>
    <w:rsid w:val="002956D4"/>
    <w:rsid w:val="00296BEC"/>
    <w:rsid w:val="00362863"/>
    <w:rsid w:val="0038669A"/>
    <w:rsid w:val="003A2389"/>
    <w:rsid w:val="003A31A8"/>
    <w:rsid w:val="003D279E"/>
    <w:rsid w:val="00412878"/>
    <w:rsid w:val="00427E43"/>
    <w:rsid w:val="00440E3F"/>
    <w:rsid w:val="00465118"/>
    <w:rsid w:val="00484A2E"/>
    <w:rsid w:val="004B1A87"/>
    <w:rsid w:val="004C06E8"/>
    <w:rsid w:val="004C7B13"/>
    <w:rsid w:val="00543191"/>
    <w:rsid w:val="00544E9D"/>
    <w:rsid w:val="00575E4D"/>
    <w:rsid w:val="005C29BB"/>
    <w:rsid w:val="006014C5"/>
    <w:rsid w:val="00614557"/>
    <w:rsid w:val="006175A8"/>
    <w:rsid w:val="00624C8B"/>
    <w:rsid w:val="006255DD"/>
    <w:rsid w:val="00665FED"/>
    <w:rsid w:val="00666D53"/>
    <w:rsid w:val="006B012F"/>
    <w:rsid w:val="006C778B"/>
    <w:rsid w:val="006F182B"/>
    <w:rsid w:val="006F63DB"/>
    <w:rsid w:val="0071135D"/>
    <w:rsid w:val="007379A3"/>
    <w:rsid w:val="007475A0"/>
    <w:rsid w:val="007745B9"/>
    <w:rsid w:val="007B5088"/>
    <w:rsid w:val="007C71B7"/>
    <w:rsid w:val="00800FA0"/>
    <w:rsid w:val="008630EB"/>
    <w:rsid w:val="008730C5"/>
    <w:rsid w:val="008A7263"/>
    <w:rsid w:val="008B15A4"/>
    <w:rsid w:val="008C33E1"/>
    <w:rsid w:val="008C4B46"/>
    <w:rsid w:val="00945B9D"/>
    <w:rsid w:val="00964788"/>
    <w:rsid w:val="0097681E"/>
    <w:rsid w:val="009A69BD"/>
    <w:rsid w:val="009B4E06"/>
    <w:rsid w:val="009C63D0"/>
    <w:rsid w:val="00A150DC"/>
    <w:rsid w:val="00A216D6"/>
    <w:rsid w:val="00A26343"/>
    <w:rsid w:val="00A84177"/>
    <w:rsid w:val="00AD7920"/>
    <w:rsid w:val="00B12045"/>
    <w:rsid w:val="00B3351A"/>
    <w:rsid w:val="00B5016C"/>
    <w:rsid w:val="00B652A8"/>
    <w:rsid w:val="00BA533C"/>
    <w:rsid w:val="00BB4D04"/>
    <w:rsid w:val="00BC2145"/>
    <w:rsid w:val="00BC22E5"/>
    <w:rsid w:val="00BC6F00"/>
    <w:rsid w:val="00C04636"/>
    <w:rsid w:val="00C06F04"/>
    <w:rsid w:val="00C17603"/>
    <w:rsid w:val="00C359DD"/>
    <w:rsid w:val="00C64CE6"/>
    <w:rsid w:val="00C9694E"/>
    <w:rsid w:val="00C975C3"/>
    <w:rsid w:val="00CC4E42"/>
    <w:rsid w:val="00CE07B7"/>
    <w:rsid w:val="00CE4F75"/>
    <w:rsid w:val="00CE5671"/>
    <w:rsid w:val="00D051CB"/>
    <w:rsid w:val="00D15F45"/>
    <w:rsid w:val="00D928F8"/>
    <w:rsid w:val="00D92B0B"/>
    <w:rsid w:val="00D95BCA"/>
    <w:rsid w:val="00DC7415"/>
    <w:rsid w:val="00DD0E43"/>
    <w:rsid w:val="00E04FA5"/>
    <w:rsid w:val="00E063EF"/>
    <w:rsid w:val="00E15747"/>
    <w:rsid w:val="00E43A74"/>
    <w:rsid w:val="00E46AD4"/>
    <w:rsid w:val="00E67375"/>
    <w:rsid w:val="00EA5DE4"/>
    <w:rsid w:val="00ED7F31"/>
    <w:rsid w:val="00F03A80"/>
    <w:rsid w:val="00F27944"/>
    <w:rsid w:val="00F45ADF"/>
    <w:rsid w:val="00F56A67"/>
    <w:rsid w:val="00F719C8"/>
    <w:rsid w:val="00F73C89"/>
    <w:rsid w:val="00F76D55"/>
    <w:rsid w:val="00FA097D"/>
    <w:rsid w:val="00FA1FAB"/>
    <w:rsid w:val="00FE30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C7817F74-6EDA-4306-B734-0A952831C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Char"/>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Char"/>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rsid w:val="00A216D6"/>
    <w:pPr>
      <w:shd w:val="clear" w:color="auto" w:fill="FFFFFF"/>
      <w:snapToGrid w:val="0"/>
      <w:spacing w:before="0" w:beforeAutospacing="0" w:after="0" w:afterAutospacing="0" w:line="311" w:lineRule="exact"/>
      <w:ind w:firstLineChars="200" w:firstLine="200"/>
      <w:jc w:val="both"/>
    </w:pPr>
    <w:rPr>
      <w:rFonts w:eastAsia="仿宋"/>
      <w:color w:val="222222"/>
      <w:sz w:val="21"/>
      <w:szCs w:val="21"/>
    </w:rPr>
  </w:style>
  <w:style w:type="character" w:customStyle="1" w:styleId="2Char">
    <w:name w:val="标题 2 Char"/>
    <w:link w:val="2"/>
    <w:uiPriority w:val="9"/>
    <w:rsid w:val="00E063EF"/>
    <w:rPr>
      <w:rFonts w:ascii="宋体" w:hAnsi="宋体" w:cs="宋体"/>
      <w:b/>
      <w:bCs/>
      <w:sz w:val="18"/>
      <w:szCs w:val="18"/>
    </w:rPr>
  </w:style>
  <w:style w:type="character" w:customStyle="1" w:styleId="Char">
    <w:name w:val="普通(网站) Char"/>
    <w:link w:val="a3"/>
    <w:uiPriority w:val="99"/>
    <w:rsid w:val="00800FA0"/>
    <w:rPr>
      <w:rFonts w:ascii="宋体" w:hAnsi="宋体" w:cs="宋体"/>
      <w:sz w:val="24"/>
      <w:szCs w:val="24"/>
    </w:rPr>
  </w:style>
  <w:style w:type="character" w:customStyle="1" w:styleId="-Char">
    <w:name w:val="模板-正文 Char"/>
    <w:link w:val="-"/>
    <w:rsid w:val="00A216D6"/>
    <w:rPr>
      <w:rFonts w:ascii="宋体" w:eastAsia="仿宋" w:hAnsi="宋体"/>
      <w:color w:val="222222"/>
      <w:sz w:val="21"/>
      <w:szCs w:val="21"/>
      <w:shd w:val="clear" w:color="auto" w:fill="FFFFFF"/>
      <w:lang w:val="x-none" w:eastAsia="x-none"/>
    </w:rPr>
  </w:style>
  <w:style w:type="character" w:customStyle="1" w:styleId="docorderno">
    <w:name w:val="doc_order_no"/>
    <w:rsid w:val="00E063EF"/>
  </w:style>
  <w:style w:type="paragraph" w:customStyle="1" w:styleId="-2">
    <w:name w:val="模板-标题 2"/>
    <w:basedOn w:val="2"/>
    <w:link w:val="-2Char"/>
    <w:qFormat/>
    <w:rsid w:val="00C17603"/>
    <w:pPr>
      <w:shd w:val="clear" w:color="auto" w:fill="FFFFFF"/>
      <w:spacing w:beforeLines="50" w:before="50" w:beforeAutospacing="0" w:afterLines="50" w:after="50" w:afterAutospacing="0" w:line="290" w:lineRule="exact"/>
    </w:pPr>
    <w:rPr>
      <w:rFonts w:eastAsia="仿宋"/>
      <w:color w:val="222222"/>
      <w:sz w:val="21"/>
    </w:rPr>
  </w:style>
  <w:style w:type="paragraph" w:styleId="20">
    <w:name w:val="toc 2"/>
    <w:basedOn w:val="a"/>
    <w:next w:val="a"/>
    <w:autoRedefine/>
    <w:uiPriority w:val="39"/>
    <w:rsid w:val="00E063EF"/>
    <w:pPr>
      <w:ind w:leftChars="200" w:left="420"/>
    </w:pPr>
  </w:style>
  <w:style w:type="character" w:customStyle="1" w:styleId="-2Char">
    <w:name w:val="模板-标题 2 Char"/>
    <w:link w:val="-2"/>
    <w:rsid w:val="00C17603"/>
    <w:rPr>
      <w:rFonts w:ascii="宋体" w:eastAsia="仿宋" w:hAnsi="宋体"/>
      <w:b/>
      <w:bCs/>
      <w:color w:val="222222"/>
      <w:sz w:val="21"/>
      <w:szCs w:val="18"/>
      <w:shd w:val="clear" w:color="auto" w:fill="FFFFFF"/>
      <w:lang w:val="x-none" w:eastAsia="x-none"/>
    </w:rPr>
  </w:style>
  <w:style w:type="character" w:styleId="a4">
    <w:name w:val="Hyperlink"/>
    <w:uiPriority w:val="99"/>
    <w:unhideWhenUsed/>
    <w:rsid w:val="00E063EF"/>
    <w:rPr>
      <w:color w:val="0000FF"/>
      <w:u w:val="single"/>
    </w:rPr>
  </w:style>
  <w:style w:type="character" w:customStyle="1" w:styleId="1Char">
    <w:name w:val="标题 1 Char"/>
    <w:link w:val="1"/>
    <w:uiPriority w:val="9"/>
    <w:rsid w:val="00E063EF"/>
    <w:rPr>
      <w:b/>
      <w:bCs/>
      <w:kern w:val="44"/>
      <w:sz w:val="44"/>
      <w:szCs w:val="44"/>
    </w:rPr>
  </w:style>
  <w:style w:type="paragraph" w:customStyle="1" w:styleId="-1">
    <w:name w:val="模板-标题 1"/>
    <w:basedOn w:val="1"/>
    <w:link w:val="-1Char"/>
    <w:qFormat/>
    <w:rsid w:val="00C17603"/>
    <w:pPr>
      <w:keepNext w:val="0"/>
      <w:keepLines w:val="0"/>
      <w:widowControl/>
      <w:shd w:val="clear" w:color="auto" w:fill="FFFFFF"/>
      <w:spacing w:beforeLines="50" w:before="50" w:afterLines="50" w:after="50" w:line="290" w:lineRule="exact"/>
      <w:jc w:val="left"/>
    </w:pPr>
    <w:rPr>
      <w:rFonts w:ascii="宋体" w:eastAsia="仿宋" w:hAnsi="宋体"/>
      <w:color w:val="222222"/>
      <w:kern w:val="36"/>
      <w:sz w:val="24"/>
      <w:szCs w:val="24"/>
    </w:rPr>
  </w:style>
  <w:style w:type="paragraph" w:styleId="10">
    <w:name w:val="toc 1"/>
    <w:basedOn w:val="a"/>
    <w:next w:val="a"/>
    <w:autoRedefine/>
    <w:uiPriority w:val="39"/>
    <w:rsid w:val="00E063EF"/>
  </w:style>
  <w:style w:type="character" w:customStyle="1" w:styleId="-1Char">
    <w:name w:val="模板-标题 1 Char"/>
    <w:link w:val="-1"/>
    <w:rsid w:val="00C17603"/>
    <w:rPr>
      <w:rFonts w:ascii="宋体" w:eastAsia="仿宋" w:hAnsi="宋体"/>
      <w:b/>
      <w:bCs/>
      <w:color w:val="222222"/>
      <w:kern w:val="36"/>
      <w:sz w:val="24"/>
      <w:szCs w:val="24"/>
      <w:shd w:val="clear" w:color="auto" w:fill="FFFFFF"/>
      <w:lang w:val="x-none" w:eastAsia="x-none"/>
    </w:rPr>
  </w:style>
  <w:style w:type="paragraph" w:customStyle="1" w:styleId="-3">
    <w:name w:val="模板-标题 3"/>
    <w:basedOn w:val="a"/>
    <w:link w:val="-3Char"/>
    <w:qFormat/>
    <w:rsid w:val="00C17603"/>
    <w:pPr>
      <w:spacing w:beforeLines="50" w:before="50" w:afterLines="50" w:after="50" w:line="290" w:lineRule="atLeast"/>
    </w:pPr>
    <w:rPr>
      <w:rFonts w:eastAsia="仿宋"/>
      <w:b/>
      <w:color w:val="222222"/>
      <w:szCs w:val="18"/>
      <w:lang w:val="x-none" w:eastAsia="x-none"/>
    </w:rPr>
  </w:style>
  <w:style w:type="table" w:styleId="a5">
    <w:name w:val="Table Grid"/>
    <w:basedOn w:val="a1"/>
    <w:rsid w:val="00E67375"/>
    <w:pPr>
      <w:spacing w:line="312" w:lineRule="exact"/>
      <w:jc w:val="center"/>
      <w:textAlignment w:val="center"/>
    </w:pPr>
    <w:rPr>
      <w:rFonts w:eastAsia="仿宋"/>
      <w:color w:val="000000" w:themeColor="text1"/>
      <w:sz w:val="21"/>
    </w:rPr>
    <w:tblPr>
      <w:jc w:val="center"/>
      <w:tblBorders>
        <w:top w:val="single" w:sz="4" w:space="0" w:color="auto"/>
        <w:bottom w:val="single" w:sz="4" w:space="0" w:color="auto"/>
        <w:insideH w:val="dashed" w:sz="4" w:space="0" w:color="auto"/>
      </w:tblBorders>
    </w:tblPr>
    <w:trPr>
      <w:jc w:val="center"/>
    </w:trPr>
    <w:tcPr>
      <w:vAlign w:val="center"/>
    </w:tcPr>
  </w:style>
  <w:style w:type="character" w:customStyle="1" w:styleId="-3Char">
    <w:name w:val="模板-标题 3 Char"/>
    <w:link w:val="-3"/>
    <w:rsid w:val="00C17603"/>
    <w:rPr>
      <w:rFonts w:eastAsia="仿宋"/>
      <w:b/>
      <w:color w:val="222222"/>
      <w:kern w:val="2"/>
      <w:sz w:val="21"/>
      <w:szCs w:val="18"/>
      <w:lang w:val="x-none" w:eastAsia="x-none"/>
    </w:rPr>
  </w:style>
  <w:style w:type="table" w:customStyle="1" w:styleId="-0">
    <w:name w:val="模板-表格"/>
    <w:basedOn w:val="a1"/>
    <w:rsid w:val="00E67375"/>
    <w:pPr>
      <w:spacing w:line="312" w:lineRule="exact"/>
      <w:textAlignment w:val="center"/>
    </w:pPr>
    <w:rPr>
      <w:rFonts w:eastAsia="仿宋"/>
      <w:color w:val="000000" w:themeColor="text1"/>
      <w:sz w:val="21"/>
    </w:rPr>
    <w:tblPr>
      <w:jc w:val="center"/>
      <w:tblBorders>
        <w:top w:val="single" w:sz="4" w:space="0" w:color="auto"/>
        <w:bottom w:val="single" w:sz="4" w:space="0" w:color="auto"/>
        <w:insideH w:val="dashed" w:sz="4" w:space="0" w:color="auto"/>
      </w:tblBorders>
    </w:tblPr>
    <w:trPr>
      <w:jc w:val="center"/>
    </w:trPr>
    <w:tcPr>
      <w:vAlign w:val="center"/>
    </w:tcPr>
    <w:tblStylePr w:type="firstRow">
      <w:tblPr/>
      <w:tcPr>
        <w:shd w:val="clear" w:color="auto" w:fill="BFBFBF"/>
      </w:tcPr>
    </w:tblStylePr>
  </w:style>
  <w:style w:type="paragraph" w:styleId="a6">
    <w:name w:val="header"/>
    <w:basedOn w:val="a"/>
    <w:link w:val="Char0"/>
    <w:uiPriority w:val="99"/>
    <w:rsid w:val="00C06F04"/>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0">
    <w:name w:val="页眉 Char"/>
    <w:link w:val="a6"/>
    <w:uiPriority w:val="99"/>
    <w:rsid w:val="00C06F04"/>
    <w:rPr>
      <w:kern w:val="2"/>
      <w:sz w:val="18"/>
      <w:szCs w:val="18"/>
    </w:rPr>
  </w:style>
  <w:style w:type="paragraph" w:styleId="a7">
    <w:name w:val="footer"/>
    <w:basedOn w:val="a"/>
    <w:link w:val="Char1"/>
    <w:uiPriority w:val="99"/>
    <w:rsid w:val="00C06F04"/>
    <w:pPr>
      <w:tabs>
        <w:tab w:val="center" w:pos="4153"/>
        <w:tab w:val="right" w:pos="8306"/>
      </w:tabs>
      <w:snapToGrid w:val="0"/>
      <w:jc w:val="left"/>
    </w:pPr>
    <w:rPr>
      <w:sz w:val="18"/>
      <w:szCs w:val="18"/>
      <w:lang w:val="x-none" w:eastAsia="x-none"/>
    </w:rPr>
  </w:style>
  <w:style w:type="character" w:customStyle="1" w:styleId="Char1">
    <w:name w:val="页脚 Char"/>
    <w:link w:val="a7"/>
    <w:uiPriority w:val="99"/>
    <w:rsid w:val="00C06F04"/>
    <w:rPr>
      <w:kern w:val="2"/>
      <w:sz w:val="18"/>
      <w:szCs w:val="18"/>
    </w:rPr>
  </w:style>
  <w:style w:type="paragraph" w:styleId="a8">
    <w:name w:val="Document Map"/>
    <w:basedOn w:val="a"/>
    <w:link w:val="Char2"/>
    <w:rsid w:val="00624C8B"/>
    <w:rPr>
      <w:rFonts w:ascii="宋体"/>
      <w:sz w:val="18"/>
      <w:szCs w:val="18"/>
      <w:lang w:val="x-none" w:eastAsia="x-none"/>
    </w:rPr>
  </w:style>
  <w:style w:type="character" w:customStyle="1" w:styleId="Char2">
    <w:name w:val="文档结构图 Char"/>
    <w:link w:val="a8"/>
    <w:rsid w:val="00624C8B"/>
    <w:rPr>
      <w:rFonts w:ascii="宋体"/>
      <w:kern w:val="2"/>
      <w:sz w:val="18"/>
      <w:szCs w:val="18"/>
    </w:rPr>
  </w:style>
  <w:style w:type="paragraph" w:styleId="a9">
    <w:name w:val="Title"/>
    <w:basedOn w:val="a"/>
    <w:next w:val="a"/>
    <w:link w:val="Char3"/>
    <w:qFormat/>
    <w:rsid w:val="00D92B0B"/>
    <w:pPr>
      <w:spacing w:before="240" w:after="60"/>
      <w:jc w:val="center"/>
      <w:outlineLvl w:val="0"/>
    </w:pPr>
    <w:rPr>
      <w:rFonts w:ascii="Cambria" w:hAnsi="Cambria"/>
      <w:b/>
      <w:bCs/>
      <w:sz w:val="32"/>
      <w:szCs w:val="32"/>
      <w:lang w:val="x-none" w:eastAsia="x-none"/>
    </w:rPr>
  </w:style>
  <w:style w:type="character" w:customStyle="1" w:styleId="Char3">
    <w:name w:val="标题 Char"/>
    <w:link w:val="a9"/>
    <w:rsid w:val="00D92B0B"/>
    <w:rPr>
      <w:rFonts w:ascii="Cambria" w:hAnsi="Cambria" w:cs="Times New Roman"/>
      <w:b/>
      <w:bCs/>
      <w:kern w:val="2"/>
      <w:sz w:val="32"/>
      <w:szCs w:val="32"/>
    </w:rPr>
  </w:style>
  <w:style w:type="paragraph" w:customStyle="1" w:styleId="-4">
    <w:name w:val="模板-标题"/>
    <w:basedOn w:val="a9"/>
    <w:qFormat/>
    <w:rsid w:val="0038669A"/>
    <w:pPr>
      <w:spacing w:before="0" w:afterLines="100" w:after="100" w:line="290" w:lineRule="exact"/>
      <w:outlineLvl w:val="9"/>
    </w:pPr>
    <w:rPr>
      <w:rFonts w:eastAsia="仿宋"/>
      <w:color w:val="000000" w:themeColor="text1"/>
      <w:sz w:val="24"/>
    </w:rPr>
  </w:style>
  <w:style w:type="paragraph" w:customStyle="1" w:styleId="-40">
    <w:name w:val="模板-标题 4"/>
    <w:basedOn w:val="a"/>
    <w:qFormat/>
    <w:rsid w:val="00C17603"/>
    <w:pPr>
      <w:spacing w:line="290" w:lineRule="exact"/>
    </w:pPr>
    <w:rPr>
      <w:rFonts w:eastAsia="仿宋"/>
      <w:b/>
      <w:color w:val="000000" w:themeColor="text1"/>
    </w:rPr>
  </w:style>
  <w:style w:type="paragraph" w:customStyle="1" w:styleId="-5">
    <w:name w:val="模板-标题 5"/>
    <w:basedOn w:val="-40"/>
    <w:qFormat/>
    <w:rsid w:val="00DD0E43"/>
  </w:style>
  <w:style w:type="paragraph" w:customStyle="1" w:styleId="-6">
    <w:name w:val="模板-标题 6"/>
    <w:basedOn w:val="-5"/>
    <w:qFormat/>
    <w:rsid w:val="007C71B7"/>
  </w:style>
  <w:style w:type="table" w:customStyle="1" w:styleId="-noheader">
    <w:name w:val="模板-表格_noheader"/>
    <w:basedOn w:val="a1"/>
    <w:rsid w:val="00E67375"/>
    <w:pPr>
      <w:spacing w:line="312" w:lineRule="exact"/>
      <w:jc w:val="center"/>
      <w:textAlignment w:val="center"/>
    </w:pPr>
    <w:rPr>
      <w:rFonts w:eastAsia="仿宋"/>
      <w:color w:val="000000" w:themeColor="text1"/>
      <w:sz w:val="21"/>
    </w:rPr>
    <w:tblPr>
      <w:jc w:val="center"/>
      <w:tblBorders>
        <w:top w:val="single" w:sz="4" w:space="0" w:color="auto"/>
        <w:bottom w:val="single" w:sz="4" w:space="0" w:color="auto"/>
        <w:insideH w:val="dashed" w:sz="4" w:space="0" w:color="auto"/>
      </w:tblBorders>
    </w:tblPr>
    <w:trPr>
      <w:jc w:val="center"/>
    </w:trPr>
    <w:tcPr>
      <w:vAlign w:val="center"/>
    </w:tcPr>
  </w:style>
  <w:style w:type="paragraph" w:customStyle="1" w:styleId="-7">
    <w:name w:val="模板-正文无缩进"/>
    <w:basedOn w:val="-"/>
    <w:link w:val="-8"/>
    <w:rsid w:val="00A216D6"/>
    <w:pPr>
      <w:spacing w:line="312" w:lineRule="exact"/>
    </w:pPr>
  </w:style>
  <w:style w:type="character" w:customStyle="1" w:styleId="-8">
    <w:name w:val="模板-正文无缩进 字符"/>
    <w:basedOn w:val="-Char"/>
    <w:link w:val="-7"/>
    <w:rsid w:val="00A216D6"/>
    <w:rPr>
      <w:rFonts w:ascii="宋体" w:eastAsia="仿宋" w:hAnsi="宋体"/>
      <w:color w:val="222222"/>
      <w:sz w:val="21"/>
      <w:szCs w:val="21"/>
      <w:shd w:val="clear" w:color="auto" w:fill="FFFFFF"/>
      <w:lang w:val="x-none" w:eastAsia="x-none"/>
    </w:rPr>
  </w:style>
  <w:style w:type="paragraph" w:customStyle="1" w:styleId="-9">
    <w:name w:val="模板-正文下划线"/>
    <w:basedOn w:val="-"/>
    <w:link w:val="-a"/>
    <w:qFormat/>
    <w:rsid w:val="008A7263"/>
    <w:pPr>
      <w:spacing w:line="312" w:lineRule="exact"/>
    </w:pPr>
    <w:rPr>
      <w:u w:val="single"/>
    </w:rPr>
  </w:style>
  <w:style w:type="character" w:customStyle="1" w:styleId="-a">
    <w:name w:val="模板-正文下划线 字符"/>
    <w:basedOn w:val="-Char"/>
    <w:link w:val="-9"/>
    <w:rsid w:val="008A7263"/>
    <w:rPr>
      <w:rFonts w:ascii="宋体" w:eastAsia="仿宋" w:hAnsi="宋体"/>
      <w:color w:val="222222"/>
      <w:sz w:val="21"/>
      <w:szCs w:val="21"/>
      <w:u w:val="single"/>
      <w:shd w:val="clear" w:color="auto" w:fill="FFFFFF"/>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9897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C4321E-5FAA-4703-8261-2C1045ABCE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731</Words>
  <Characters>4168</Characters>
  <Application>Microsoft Office Word</Application>
  <DocSecurity>0</DocSecurity>
  <Lines>34</Lines>
  <Paragraphs>9</Paragraphs>
  <ScaleCrop>false</ScaleCrop>
  <Company>MC SYSTEM</Company>
  <LinksUpToDate>false</LinksUpToDate>
  <CharactersWithSpaces>4890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cp:lastModifiedBy>Windows 用户</cp:lastModifiedBy>
  <cp:revision>1</cp:revision>
  <dcterms:created xsi:type="dcterms:W3CDTF">2021-09-17T03:55:00Z</dcterms:created>
  <dcterms:modified xsi:type="dcterms:W3CDTF">2021-09-17T03:55:00Z</dcterms:modified>
</cp:coreProperties>
</file>