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3770D"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南方高增长混合型证券投资基金基金产品资料概要（</w:t>
      </w:r>
      <w:r>
        <w:rPr>
          <w:rFonts w:ascii="宋体" w:hAnsi="方正黑体简体" w:cs="方正黑体简体"/>
          <w:b/>
          <w:bCs/>
          <w:iCs/>
          <w:sz w:val="31"/>
          <w:szCs w:val="36"/>
        </w:rPr>
        <w:t>20210825更新）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3770D">
        <w:rPr>
          <w:rFonts w:ascii="仿宋" w:hAnsi="仿宋"/>
          <w:color w:val="000000" w:themeColor="text1"/>
          <w:sz w:val="24"/>
          <w:szCs w:val="24"/>
        </w:rPr>
        <w:t>2021年8月25日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3770D">
        <w:rPr>
          <w:rFonts w:ascii="仿宋" w:hAnsi="仿宋"/>
          <w:color w:val="000000" w:themeColor="text1"/>
          <w:sz w:val="24"/>
          <w:szCs w:val="24"/>
        </w:rPr>
        <w:t>2021年8月25日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3770D" w:rsidRDefault="0033770D" w:rsidP="0033770D">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3770D" w:rsidTr="0033770D">
        <w:tc>
          <w:tcPr>
            <w:tcW w:w="2076" w:type="dxa"/>
            <w:vMerge w:val="restart"/>
          </w:tcPr>
          <w:p w:rsidR="0033770D" w:rsidRDefault="0033770D" w:rsidP="0033770D">
            <w:pPr>
              <w:jc w:val="left"/>
            </w:pPr>
            <w:r>
              <w:rPr>
                <w:rFonts w:hint="eastAsia"/>
              </w:rPr>
              <w:t>基金简称</w:t>
            </w:r>
          </w:p>
        </w:tc>
        <w:tc>
          <w:tcPr>
            <w:tcW w:w="2076" w:type="dxa"/>
            <w:vMerge w:val="restart"/>
          </w:tcPr>
          <w:p w:rsidR="0033770D" w:rsidRDefault="0033770D" w:rsidP="0033770D">
            <w:pPr>
              <w:jc w:val="left"/>
            </w:pPr>
            <w:r>
              <w:rPr>
                <w:rFonts w:hint="eastAsia"/>
              </w:rPr>
              <w:t>南方高增长混合</w:t>
            </w:r>
            <w:r>
              <w:rPr>
                <w:rFonts w:hint="eastAsia"/>
              </w:rPr>
              <w:t>(LOF)</w:t>
            </w:r>
          </w:p>
        </w:tc>
        <w:tc>
          <w:tcPr>
            <w:tcW w:w="2077" w:type="dxa"/>
          </w:tcPr>
          <w:p w:rsidR="0033770D" w:rsidRDefault="0033770D" w:rsidP="0033770D">
            <w:pPr>
              <w:jc w:val="left"/>
            </w:pPr>
            <w:r>
              <w:rPr>
                <w:rFonts w:hint="eastAsia"/>
              </w:rPr>
              <w:t>基金代码</w:t>
            </w:r>
          </w:p>
        </w:tc>
        <w:tc>
          <w:tcPr>
            <w:tcW w:w="2077" w:type="dxa"/>
          </w:tcPr>
          <w:p w:rsidR="0033770D" w:rsidRDefault="0033770D" w:rsidP="0033770D">
            <w:pPr>
              <w:jc w:val="left"/>
            </w:pPr>
            <w:r>
              <w:t>160106</w:t>
            </w:r>
          </w:p>
        </w:tc>
      </w:tr>
      <w:tr w:rsidR="0033770D" w:rsidTr="0033770D">
        <w:tc>
          <w:tcPr>
            <w:tcW w:w="2076" w:type="dxa"/>
            <w:vMerge/>
          </w:tcPr>
          <w:p w:rsidR="0033770D" w:rsidRDefault="0033770D" w:rsidP="0033770D">
            <w:pPr>
              <w:jc w:val="left"/>
            </w:pPr>
          </w:p>
        </w:tc>
        <w:tc>
          <w:tcPr>
            <w:tcW w:w="2076" w:type="dxa"/>
            <w:vMerge/>
          </w:tcPr>
          <w:p w:rsidR="0033770D" w:rsidRDefault="0033770D" w:rsidP="0033770D">
            <w:pPr>
              <w:jc w:val="left"/>
            </w:pPr>
          </w:p>
        </w:tc>
        <w:tc>
          <w:tcPr>
            <w:tcW w:w="2077" w:type="dxa"/>
          </w:tcPr>
          <w:p w:rsidR="0033770D" w:rsidRDefault="0033770D" w:rsidP="0033770D">
            <w:pPr>
              <w:jc w:val="left"/>
            </w:pPr>
            <w:r>
              <w:rPr>
                <w:rFonts w:hint="eastAsia"/>
              </w:rPr>
              <w:t>基金前端交易代码</w:t>
            </w:r>
          </w:p>
        </w:tc>
        <w:tc>
          <w:tcPr>
            <w:tcW w:w="2077" w:type="dxa"/>
          </w:tcPr>
          <w:p w:rsidR="0033770D" w:rsidRDefault="0033770D" w:rsidP="0033770D">
            <w:pPr>
              <w:jc w:val="left"/>
            </w:pPr>
            <w:r>
              <w:t>160106</w:t>
            </w:r>
          </w:p>
        </w:tc>
      </w:tr>
      <w:tr w:rsidR="0033770D" w:rsidTr="0033770D">
        <w:tc>
          <w:tcPr>
            <w:tcW w:w="2076" w:type="dxa"/>
            <w:vMerge/>
          </w:tcPr>
          <w:p w:rsidR="0033770D" w:rsidRDefault="0033770D" w:rsidP="0033770D">
            <w:pPr>
              <w:jc w:val="left"/>
            </w:pPr>
          </w:p>
        </w:tc>
        <w:tc>
          <w:tcPr>
            <w:tcW w:w="2076" w:type="dxa"/>
            <w:vMerge/>
          </w:tcPr>
          <w:p w:rsidR="0033770D" w:rsidRDefault="0033770D" w:rsidP="0033770D">
            <w:pPr>
              <w:jc w:val="left"/>
            </w:pPr>
          </w:p>
        </w:tc>
        <w:tc>
          <w:tcPr>
            <w:tcW w:w="2077" w:type="dxa"/>
          </w:tcPr>
          <w:p w:rsidR="0033770D" w:rsidRDefault="0033770D" w:rsidP="0033770D">
            <w:pPr>
              <w:jc w:val="left"/>
            </w:pPr>
            <w:r>
              <w:rPr>
                <w:rFonts w:hint="eastAsia"/>
              </w:rPr>
              <w:t>基金后端交易代码</w:t>
            </w:r>
          </w:p>
        </w:tc>
        <w:tc>
          <w:tcPr>
            <w:tcW w:w="2077" w:type="dxa"/>
          </w:tcPr>
          <w:p w:rsidR="0033770D" w:rsidRDefault="0033770D" w:rsidP="0033770D">
            <w:pPr>
              <w:jc w:val="left"/>
            </w:pPr>
            <w:r>
              <w:t>160107</w:t>
            </w:r>
          </w:p>
        </w:tc>
      </w:tr>
      <w:tr w:rsidR="0033770D" w:rsidTr="0033770D">
        <w:tc>
          <w:tcPr>
            <w:tcW w:w="2076" w:type="dxa"/>
          </w:tcPr>
          <w:p w:rsidR="0033770D" w:rsidRDefault="0033770D" w:rsidP="0033770D">
            <w:pPr>
              <w:jc w:val="left"/>
            </w:pPr>
            <w:r>
              <w:rPr>
                <w:rFonts w:hint="eastAsia"/>
              </w:rPr>
              <w:t>基金管理人</w:t>
            </w:r>
          </w:p>
        </w:tc>
        <w:tc>
          <w:tcPr>
            <w:tcW w:w="2076" w:type="dxa"/>
          </w:tcPr>
          <w:p w:rsidR="0033770D" w:rsidRDefault="0033770D" w:rsidP="0033770D">
            <w:pPr>
              <w:jc w:val="left"/>
            </w:pPr>
            <w:r>
              <w:rPr>
                <w:rFonts w:hint="eastAsia"/>
              </w:rPr>
              <w:t>南方基金管理股份有限公司</w:t>
            </w:r>
          </w:p>
        </w:tc>
        <w:tc>
          <w:tcPr>
            <w:tcW w:w="2077" w:type="dxa"/>
          </w:tcPr>
          <w:p w:rsidR="0033770D" w:rsidRDefault="0033770D" w:rsidP="0033770D">
            <w:pPr>
              <w:jc w:val="left"/>
            </w:pPr>
            <w:r>
              <w:rPr>
                <w:rFonts w:hint="eastAsia"/>
              </w:rPr>
              <w:t>基金托管人</w:t>
            </w:r>
          </w:p>
        </w:tc>
        <w:tc>
          <w:tcPr>
            <w:tcW w:w="2077" w:type="dxa"/>
          </w:tcPr>
          <w:p w:rsidR="0033770D" w:rsidRDefault="0033770D" w:rsidP="0033770D">
            <w:pPr>
              <w:jc w:val="left"/>
            </w:pPr>
            <w:r>
              <w:rPr>
                <w:rFonts w:hint="eastAsia"/>
              </w:rPr>
              <w:t>中国银行股份有限公司</w:t>
            </w:r>
          </w:p>
        </w:tc>
      </w:tr>
      <w:tr w:rsidR="0033770D" w:rsidTr="0033770D">
        <w:tc>
          <w:tcPr>
            <w:tcW w:w="2076" w:type="dxa"/>
            <w:vMerge w:val="restart"/>
          </w:tcPr>
          <w:p w:rsidR="0033770D" w:rsidRDefault="0033770D" w:rsidP="0033770D">
            <w:pPr>
              <w:jc w:val="left"/>
            </w:pPr>
            <w:r>
              <w:rPr>
                <w:rFonts w:hint="eastAsia"/>
              </w:rPr>
              <w:t>基金合同生效日</w:t>
            </w:r>
          </w:p>
        </w:tc>
        <w:tc>
          <w:tcPr>
            <w:tcW w:w="2076" w:type="dxa"/>
            <w:vMerge w:val="restart"/>
          </w:tcPr>
          <w:p w:rsidR="0033770D" w:rsidRDefault="0033770D" w:rsidP="0033770D">
            <w:pPr>
              <w:jc w:val="left"/>
            </w:pPr>
            <w:r>
              <w:rPr>
                <w:rFonts w:hint="eastAsia"/>
              </w:rPr>
              <w:t>2005</w:t>
            </w:r>
            <w:r>
              <w:rPr>
                <w:rFonts w:hint="eastAsia"/>
              </w:rPr>
              <w:t>年</w:t>
            </w:r>
            <w:r>
              <w:rPr>
                <w:rFonts w:hint="eastAsia"/>
              </w:rPr>
              <w:t>7</w:t>
            </w:r>
            <w:r>
              <w:rPr>
                <w:rFonts w:hint="eastAsia"/>
              </w:rPr>
              <w:t>月</w:t>
            </w:r>
            <w:r>
              <w:rPr>
                <w:rFonts w:hint="eastAsia"/>
              </w:rPr>
              <w:t>13</w:t>
            </w:r>
            <w:r>
              <w:rPr>
                <w:rFonts w:hint="eastAsia"/>
              </w:rPr>
              <w:t>日</w:t>
            </w:r>
          </w:p>
        </w:tc>
        <w:tc>
          <w:tcPr>
            <w:tcW w:w="2077" w:type="dxa"/>
          </w:tcPr>
          <w:p w:rsidR="0033770D" w:rsidRDefault="0033770D" w:rsidP="0033770D">
            <w:pPr>
              <w:jc w:val="left"/>
            </w:pPr>
            <w:r>
              <w:rPr>
                <w:rFonts w:hint="eastAsia"/>
              </w:rPr>
              <w:t>上市交易所</w:t>
            </w:r>
          </w:p>
        </w:tc>
        <w:tc>
          <w:tcPr>
            <w:tcW w:w="2077" w:type="dxa"/>
          </w:tcPr>
          <w:p w:rsidR="0033770D" w:rsidRDefault="0033770D" w:rsidP="0033770D">
            <w:pPr>
              <w:jc w:val="left"/>
            </w:pPr>
            <w:r>
              <w:rPr>
                <w:rFonts w:hint="eastAsia"/>
              </w:rPr>
              <w:t>深圳证券交易所</w:t>
            </w:r>
          </w:p>
        </w:tc>
      </w:tr>
      <w:tr w:rsidR="0033770D" w:rsidTr="0033770D">
        <w:tc>
          <w:tcPr>
            <w:tcW w:w="2076" w:type="dxa"/>
            <w:vMerge/>
          </w:tcPr>
          <w:p w:rsidR="0033770D" w:rsidRDefault="0033770D" w:rsidP="0033770D">
            <w:pPr>
              <w:jc w:val="left"/>
            </w:pPr>
          </w:p>
        </w:tc>
        <w:tc>
          <w:tcPr>
            <w:tcW w:w="2076" w:type="dxa"/>
            <w:vMerge/>
          </w:tcPr>
          <w:p w:rsidR="0033770D" w:rsidRDefault="0033770D" w:rsidP="0033770D">
            <w:pPr>
              <w:jc w:val="left"/>
            </w:pPr>
          </w:p>
        </w:tc>
        <w:tc>
          <w:tcPr>
            <w:tcW w:w="2077" w:type="dxa"/>
          </w:tcPr>
          <w:p w:rsidR="0033770D" w:rsidRDefault="0033770D" w:rsidP="0033770D">
            <w:pPr>
              <w:jc w:val="left"/>
            </w:pPr>
            <w:r>
              <w:rPr>
                <w:rFonts w:hint="eastAsia"/>
              </w:rPr>
              <w:t>上市日期</w:t>
            </w:r>
          </w:p>
        </w:tc>
        <w:tc>
          <w:tcPr>
            <w:tcW w:w="2077" w:type="dxa"/>
          </w:tcPr>
          <w:p w:rsidR="0033770D" w:rsidRDefault="0033770D" w:rsidP="0033770D">
            <w:pPr>
              <w:jc w:val="left"/>
            </w:pPr>
            <w:r>
              <w:rPr>
                <w:rFonts w:hint="eastAsia"/>
              </w:rPr>
              <w:t>2005</w:t>
            </w:r>
            <w:r>
              <w:rPr>
                <w:rFonts w:hint="eastAsia"/>
              </w:rPr>
              <w:t>年</w:t>
            </w:r>
            <w:r>
              <w:rPr>
                <w:rFonts w:hint="eastAsia"/>
              </w:rPr>
              <w:t>9</w:t>
            </w:r>
            <w:r>
              <w:rPr>
                <w:rFonts w:hint="eastAsia"/>
              </w:rPr>
              <w:t>月</w:t>
            </w:r>
            <w:r>
              <w:rPr>
                <w:rFonts w:hint="eastAsia"/>
              </w:rPr>
              <w:t>21</w:t>
            </w:r>
            <w:r>
              <w:rPr>
                <w:rFonts w:hint="eastAsia"/>
              </w:rPr>
              <w:t>日</w:t>
            </w:r>
          </w:p>
        </w:tc>
      </w:tr>
      <w:tr w:rsidR="0033770D" w:rsidTr="0033770D">
        <w:tc>
          <w:tcPr>
            <w:tcW w:w="2076" w:type="dxa"/>
          </w:tcPr>
          <w:p w:rsidR="0033770D" w:rsidRDefault="0033770D" w:rsidP="0033770D">
            <w:pPr>
              <w:jc w:val="left"/>
            </w:pPr>
            <w:r>
              <w:rPr>
                <w:rFonts w:hint="eastAsia"/>
              </w:rPr>
              <w:t>基金类型</w:t>
            </w:r>
          </w:p>
        </w:tc>
        <w:tc>
          <w:tcPr>
            <w:tcW w:w="2076" w:type="dxa"/>
          </w:tcPr>
          <w:p w:rsidR="0033770D" w:rsidRDefault="0033770D" w:rsidP="0033770D">
            <w:pPr>
              <w:jc w:val="left"/>
            </w:pPr>
            <w:r>
              <w:rPr>
                <w:rFonts w:hint="eastAsia"/>
              </w:rPr>
              <w:t>混合型</w:t>
            </w:r>
          </w:p>
        </w:tc>
        <w:tc>
          <w:tcPr>
            <w:tcW w:w="2077" w:type="dxa"/>
          </w:tcPr>
          <w:p w:rsidR="0033770D" w:rsidRDefault="0033770D" w:rsidP="0033770D">
            <w:pPr>
              <w:jc w:val="left"/>
            </w:pPr>
            <w:r>
              <w:rPr>
                <w:rFonts w:hint="eastAsia"/>
              </w:rPr>
              <w:t>交易币种</w:t>
            </w:r>
          </w:p>
        </w:tc>
        <w:tc>
          <w:tcPr>
            <w:tcW w:w="2077" w:type="dxa"/>
          </w:tcPr>
          <w:p w:rsidR="0033770D" w:rsidRDefault="0033770D" w:rsidP="0033770D">
            <w:pPr>
              <w:jc w:val="left"/>
            </w:pPr>
            <w:r>
              <w:rPr>
                <w:rFonts w:hint="eastAsia"/>
              </w:rPr>
              <w:t>人民币</w:t>
            </w:r>
          </w:p>
        </w:tc>
      </w:tr>
      <w:tr w:rsidR="0033770D" w:rsidTr="004863CB">
        <w:tc>
          <w:tcPr>
            <w:tcW w:w="2076" w:type="dxa"/>
          </w:tcPr>
          <w:p w:rsidR="0033770D" w:rsidRDefault="0033770D" w:rsidP="0033770D">
            <w:pPr>
              <w:jc w:val="left"/>
            </w:pPr>
            <w:r>
              <w:rPr>
                <w:rFonts w:hint="eastAsia"/>
              </w:rPr>
              <w:t>运作方式</w:t>
            </w:r>
          </w:p>
        </w:tc>
        <w:tc>
          <w:tcPr>
            <w:tcW w:w="6230" w:type="dxa"/>
            <w:gridSpan w:val="3"/>
          </w:tcPr>
          <w:p w:rsidR="0033770D" w:rsidRDefault="0033770D" w:rsidP="0033770D">
            <w:pPr>
              <w:jc w:val="left"/>
            </w:pPr>
            <w:r>
              <w:rPr>
                <w:rFonts w:hint="eastAsia"/>
              </w:rPr>
              <w:t>普通开放式</w:t>
            </w:r>
          </w:p>
        </w:tc>
      </w:tr>
      <w:tr w:rsidR="0033770D" w:rsidTr="00A04AA3">
        <w:tc>
          <w:tcPr>
            <w:tcW w:w="2076" w:type="dxa"/>
          </w:tcPr>
          <w:p w:rsidR="0033770D" w:rsidRDefault="0033770D" w:rsidP="0033770D">
            <w:pPr>
              <w:jc w:val="left"/>
            </w:pPr>
            <w:r>
              <w:rPr>
                <w:rFonts w:hint="eastAsia"/>
              </w:rPr>
              <w:t>开放频率</w:t>
            </w:r>
          </w:p>
        </w:tc>
        <w:tc>
          <w:tcPr>
            <w:tcW w:w="6230" w:type="dxa"/>
            <w:gridSpan w:val="3"/>
          </w:tcPr>
          <w:p w:rsidR="0033770D" w:rsidRDefault="0033770D" w:rsidP="0033770D">
            <w:pPr>
              <w:jc w:val="left"/>
            </w:pPr>
            <w:r>
              <w:rPr>
                <w:rFonts w:hint="eastAsia"/>
              </w:rPr>
              <w:t>每个开放日</w:t>
            </w:r>
          </w:p>
        </w:tc>
      </w:tr>
      <w:tr w:rsidR="0033770D" w:rsidTr="0033770D">
        <w:tc>
          <w:tcPr>
            <w:tcW w:w="2076" w:type="dxa"/>
            <w:vMerge w:val="restart"/>
          </w:tcPr>
          <w:p w:rsidR="0033770D" w:rsidRDefault="0033770D" w:rsidP="0033770D">
            <w:pPr>
              <w:jc w:val="left"/>
            </w:pPr>
            <w:r>
              <w:rPr>
                <w:rFonts w:hint="eastAsia"/>
              </w:rPr>
              <w:t>基金经理</w:t>
            </w:r>
          </w:p>
        </w:tc>
        <w:tc>
          <w:tcPr>
            <w:tcW w:w="2076" w:type="dxa"/>
            <w:vMerge w:val="restart"/>
          </w:tcPr>
          <w:p w:rsidR="0033770D" w:rsidRDefault="0033770D" w:rsidP="0033770D">
            <w:pPr>
              <w:jc w:val="left"/>
            </w:pPr>
            <w:r>
              <w:rPr>
                <w:rFonts w:hint="eastAsia"/>
              </w:rPr>
              <w:t>张延闽</w:t>
            </w:r>
          </w:p>
        </w:tc>
        <w:tc>
          <w:tcPr>
            <w:tcW w:w="2077" w:type="dxa"/>
          </w:tcPr>
          <w:p w:rsidR="0033770D" w:rsidRDefault="0033770D" w:rsidP="0033770D">
            <w:pPr>
              <w:jc w:val="left"/>
            </w:pPr>
            <w:r>
              <w:rPr>
                <w:rFonts w:hint="eastAsia"/>
              </w:rPr>
              <w:t>开始担任本基金基金经理的日期</w:t>
            </w:r>
          </w:p>
        </w:tc>
        <w:tc>
          <w:tcPr>
            <w:tcW w:w="2077" w:type="dxa"/>
          </w:tcPr>
          <w:p w:rsidR="0033770D" w:rsidRDefault="0033770D" w:rsidP="0033770D">
            <w:pPr>
              <w:jc w:val="left"/>
            </w:pPr>
            <w:r>
              <w:rPr>
                <w:rFonts w:hint="eastAsia"/>
              </w:rPr>
              <w:t>2021</w:t>
            </w:r>
            <w:r>
              <w:rPr>
                <w:rFonts w:hint="eastAsia"/>
              </w:rPr>
              <w:t>年</w:t>
            </w:r>
            <w:r>
              <w:rPr>
                <w:rFonts w:hint="eastAsia"/>
              </w:rPr>
              <w:t>8</w:t>
            </w:r>
            <w:r>
              <w:rPr>
                <w:rFonts w:hint="eastAsia"/>
              </w:rPr>
              <w:t>月</w:t>
            </w:r>
            <w:r>
              <w:rPr>
                <w:rFonts w:hint="eastAsia"/>
              </w:rPr>
              <w:t>20</w:t>
            </w:r>
            <w:r>
              <w:rPr>
                <w:rFonts w:hint="eastAsia"/>
              </w:rPr>
              <w:t>日</w:t>
            </w:r>
          </w:p>
        </w:tc>
      </w:tr>
      <w:tr w:rsidR="0033770D" w:rsidTr="0033770D">
        <w:tc>
          <w:tcPr>
            <w:tcW w:w="2076" w:type="dxa"/>
            <w:vMerge/>
          </w:tcPr>
          <w:p w:rsidR="0033770D" w:rsidRDefault="0033770D" w:rsidP="0033770D">
            <w:pPr>
              <w:jc w:val="left"/>
            </w:pPr>
          </w:p>
        </w:tc>
        <w:tc>
          <w:tcPr>
            <w:tcW w:w="2076" w:type="dxa"/>
            <w:vMerge/>
          </w:tcPr>
          <w:p w:rsidR="0033770D" w:rsidRDefault="0033770D" w:rsidP="0033770D">
            <w:pPr>
              <w:jc w:val="left"/>
            </w:pPr>
          </w:p>
        </w:tc>
        <w:tc>
          <w:tcPr>
            <w:tcW w:w="2077" w:type="dxa"/>
          </w:tcPr>
          <w:p w:rsidR="0033770D" w:rsidRDefault="0033770D" w:rsidP="0033770D">
            <w:pPr>
              <w:jc w:val="left"/>
            </w:pPr>
            <w:r>
              <w:rPr>
                <w:rFonts w:hint="eastAsia"/>
              </w:rPr>
              <w:t>证券从业日期</w:t>
            </w:r>
          </w:p>
        </w:tc>
        <w:tc>
          <w:tcPr>
            <w:tcW w:w="2077" w:type="dxa"/>
          </w:tcPr>
          <w:p w:rsidR="0033770D" w:rsidRDefault="0033770D" w:rsidP="0033770D">
            <w:pPr>
              <w:jc w:val="left"/>
            </w:pPr>
            <w:r>
              <w:rPr>
                <w:rFonts w:hint="eastAsia"/>
              </w:rPr>
              <w:t>2010</w:t>
            </w:r>
            <w:r>
              <w:rPr>
                <w:rFonts w:hint="eastAsia"/>
              </w:rPr>
              <w:t>年</w:t>
            </w:r>
            <w:r>
              <w:rPr>
                <w:rFonts w:hint="eastAsia"/>
              </w:rPr>
              <w:t>1</w:t>
            </w:r>
            <w:r>
              <w:rPr>
                <w:rFonts w:hint="eastAsia"/>
              </w:rPr>
              <w:t>月</w:t>
            </w:r>
            <w:r>
              <w:rPr>
                <w:rFonts w:hint="eastAsia"/>
              </w:rPr>
              <w:t>4</w:t>
            </w:r>
            <w:r>
              <w:rPr>
                <w:rFonts w:hint="eastAsia"/>
              </w:rPr>
              <w:t>日</w:t>
            </w:r>
          </w:p>
        </w:tc>
      </w:tr>
      <w:tr w:rsidR="0033770D" w:rsidTr="001450D3">
        <w:tc>
          <w:tcPr>
            <w:tcW w:w="2076" w:type="dxa"/>
          </w:tcPr>
          <w:p w:rsidR="0033770D" w:rsidRDefault="0033770D" w:rsidP="0033770D">
            <w:pPr>
              <w:jc w:val="left"/>
            </w:pPr>
            <w:r>
              <w:rPr>
                <w:rFonts w:hint="eastAsia"/>
              </w:rPr>
              <w:t>其他</w:t>
            </w:r>
          </w:p>
        </w:tc>
        <w:tc>
          <w:tcPr>
            <w:tcW w:w="6230" w:type="dxa"/>
            <w:gridSpan w:val="3"/>
          </w:tcPr>
          <w:p w:rsidR="0033770D" w:rsidRDefault="0033770D" w:rsidP="0033770D">
            <w:pPr>
              <w:jc w:val="left"/>
            </w:pPr>
            <w:r>
              <w:rPr>
                <w:rFonts w:hint="eastAsia"/>
              </w:rPr>
              <w:t>场内简称：南方高增；南方高增</w:t>
            </w:r>
            <w:r>
              <w:rPr>
                <w:rFonts w:hint="eastAsia"/>
              </w:rPr>
              <w:t>LOF</w:t>
            </w:r>
          </w:p>
        </w:tc>
      </w:tr>
    </w:tbl>
    <w:p w:rsidR="0033770D" w:rsidRDefault="0033770D" w:rsidP="0033770D">
      <w:pPr>
        <w:pStyle w:val="-1"/>
        <w:spacing w:before="156" w:after="156"/>
        <w:rPr>
          <w:rFonts w:hint="eastAsia"/>
        </w:rPr>
      </w:pPr>
      <w:r>
        <w:rPr>
          <w:rFonts w:hint="eastAsia"/>
        </w:rPr>
        <w:t>二、基金投资与净值表现</w:t>
      </w:r>
    </w:p>
    <w:p w:rsidR="0033770D" w:rsidRDefault="0033770D" w:rsidP="0033770D">
      <w:pPr>
        <w:pStyle w:val="-2"/>
        <w:spacing w:before="156" w:after="156"/>
        <w:rPr>
          <w:rFonts w:hint="eastAsia"/>
        </w:rPr>
      </w:pPr>
      <w:r>
        <w:rPr>
          <w:rFonts w:hint="eastAsia"/>
        </w:rPr>
        <w:t>（一）</w:t>
      </w:r>
      <w:r>
        <w:rPr>
          <w:rFonts w:hint="eastAsia"/>
        </w:rPr>
        <w:t xml:space="preserve"> </w:t>
      </w:r>
      <w:r>
        <w:rPr>
          <w:rFonts w:hint="eastAsia"/>
        </w:rPr>
        <w:t>投资目标与投资策略</w:t>
      </w:r>
    </w:p>
    <w:p w:rsidR="0033770D" w:rsidRDefault="0033770D" w:rsidP="0033770D">
      <w:pPr>
        <w:pStyle w:val="-"/>
        <w:ind w:firstLine="420"/>
        <w:rPr>
          <w:rFonts w:hint="eastAsia"/>
        </w:rPr>
      </w:pPr>
      <w:r>
        <w:rPr>
          <w:rFonts w:hint="eastAsia"/>
        </w:rPr>
        <w:t>详见《南方高增长混合型证券投资基金招募说明书》第十部分“基金的投资”。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33770D" w:rsidTr="0033770D">
        <w:tc>
          <w:tcPr>
            <w:tcW w:w="8505" w:type="nil"/>
          </w:tcPr>
          <w:p w:rsidR="0033770D" w:rsidRDefault="0033770D" w:rsidP="0033770D">
            <w:pPr>
              <w:pStyle w:val="-"/>
              <w:shd w:val="clear" w:color="auto" w:fill="auto"/>
              <w:ind w:firstLineChars="0" w:firstLine="0"/>
              <w:jc w:val="left"/>
            </w:pPr>
            <w:r>
              <w:rPr>
                <w:rFonts w:hint="eastAsia"/>
              </w:rPr>
              <w:t>投资目标</w:t>
            </w:r>
          </w:p>
        </w:tc>
        <w:tc>
          <w:tcPr>
            <w:tcW w:w="8505" w:type="nil"/>
          </w:tcPr>
          <w:p w:rsidR="0033770D" w:rsidRDefault="0033770D" w:rsidP="0033770D">
            <w:pPr>
              <w:pStyle w:val="-"/>
              <w:shd w:val="clear" w:color="auto" w:fill="auto"/>
              <w:ind w:firstLineChars="0" w:firstLine="0"/>
              <w:jc w:val="left"/>
            </w:pPr>
            <w:r>
              <w:rPr>
                <w:rFonts w:hint="eastAsia"/>
              </w:rPr>
              <w:t>本基金为混合型基金，在适度控制风险并保持良好流动性的前提下，以具有高成长性的公司为主要投资对象，力争为投资者寻求最高的超额回报。</w:t>
            </w:r>
          </w:p>
        </w:tc>
      </w:tr>
      <w:tr w:rsidR="0033770D" w:rsidTr="0033770D">
        <w:tc>
          <w:tcPr>
            <w:tcW w:w="8505" w:type="nil"/>
          </w:tcPr>
          <w:p w:rsidR="0033770D" w:rsidRDefault="0033770D" w:rsidP="0033770D">
            <w:pPr>
              <w:pStyle w:val="-"/>
              <w:shd w:val="clear" w:color="auto" w:fill="auto"/>
              <w:ind w:firstLineChars="0" w:firstLine="0"/>
              <w:jc w:val="left"/>
            </w:pPr>
            <w:r>
              <w:rPr>
                <w:rFonts w:hint="eastAsia"/>
              </w:rPr>
              <w:t>投资范围</w:t>
            </w:r>
          </w:p>
        </w:tc>
        <w:tc>
          <w:tcPr>
            <w:tcW w:w="8505" w:type="nil"/>
          </w:tcPr>
          <w:p w:rsidR="0033770D" w:rsidRDefault="0033770D" w:rsidP="0033770D">
            <w:pPr>
              <w:pStyle w:val="-"/>
              <w:shd w:val="clear" w:color="auto" w:fill="auto"/>
              <w:ind w:firstLineChars="0" w:firstLine="0"/>
              <w:jc w:val="left"/>
            </w:pPr>
            <w:r>
              <w:rPr>
                <w:rFonts w:hint="eastAsia"/>
              </w:rPr>
              <w:t>本基金的投资标的物包括国内依法公开发行的各类股票以及存托凭证（下同）、债券及其他金融工具，其中股票（含可转债、存托凭证）的投资比例为</w:t>
            </w:r>
            <w:r>
              <w:t>60%</w:t>
            </w:r>
            <w:r>
              <w:t>－</w:t>
            </w:r>
            <w:r>
              <w:t>95%</w:t>
            </w:r>
            <w:r>
              <w:t>，并以具有如下高增长特征的品种为主：</w:t>
            </w:r>
          </w:p>
          <w:p w:rsidR="0033770D" w:rsidRDefault="0033770D" w:rsidP="0033770D">
            <w:pPr>
              <w:pStyle w:val="-"/>
              <w:shd w:val="clear" w:color="auto" w:fill="auto"/>
              <w:ind w:firstLineChars="0" w:firstLine="0"/>
              <w:jc w:val="left"/>
            </w:pPr>
            <w:r>
              <w:t>1</w:t>
            </w:r>
            <w:r>
              <w:t>、未来</w:t>
            </w:r>
            <w:r>
              <w:t>2</w:t>
            </w:r>
            <w:r>
              <w:t>年预期主营业务收入增长率和息税前利润增长率均超过</w:t>
            </w:r>
            <w:r>
              <w:t>GDP</w:t>
            </w:r>
            <w:r>
              <w:t>增长率</w:t>
            </w:r>
            <w:r>
              <w:t>3</w:t>
            </w:r>
            <w:r>
              <w:t>倍，且根据</w:t>
            </w:r>
            <w:r>
              <w:t>“</w:t>
            </w:r>
            <w:r>
              <w:t>南方高成长评价体系</w:t>
            </w:r>
            <w:r>
              <w:t>”</w:t>
            </w:r>
            <w:r>
              <w:t>，在全部上市公司中成长性和投资价值排名前</w:t>
            </w:r>
            <w:r>
              <w:t>5%</w:t>
            </w:r>
            <w:r>
              <w:t>的公司。</w:t>
            </w:r>
          </w:p>
          <w:p w:rsidR="0033770D" w:rsidRDefault="0033770D" w:rsidP="0033770D">
            <w:pPr>
              <w:pStyle w:val="-"/>
              <w:shd w:val="clear" w:color="auto" w:fill="auto"/>
              <w:ind w:firstLineChars="0" w:firstLine="0"/>
              <w:jc w:val="left"/>
            </w:pPr>
            <w:r>
              <w:t>2</w:t>
            </w:r>
            <w:r>
              <w:t>、面临重大的发展机遇，具备超常规增长潜力的公司</w:t>
            </w:r>
          </w:p>
        </w:tc>
      </w:tr>
      <w:tr w:rsidR="0033770D" w:rsidTr="0033770D">
        <w:tc>
          <w:tcPr>
            <w:tcW w:w="8505" w:type="nil"/>
          </w:tcPr>
          <w:p w:rsidR="0033770D" w:rsidRDefault="0033770D" w:rsidP="0033770D">
            <w:pPr>
              <w:pStyle w:val="-"/>
              <w:shd w:val="clear" w:color="auto" w:fill="auto"/>
              <w:ind w:firstLineChars="0" w:firstLine="0"/>
              <w:jc w:val="left"/>
            </w:pPr>
            <w:r>
              <w:rPr>
                <w:rFonts w:hint="eastAsia"/>
              </w:rPr>
              <w:t>主要投资策略</w:t>
            </w:r>
          </w:p>
        </w:tc>
        <w:tc>
          <w:tcPr>
            <w:tcW w:w="8505" w:type="nil"/>
          </w:tcPr>
          <w:p w:rsidR="0033770D" w:rsidRDefault="0033770D" w:rsidP="0033770D">
            <w:pPr>
              <w:pStyle w:val="-"/>
              <w:shd w:val="clear" w:color="auto" w:fill="auto"/>
              <w:ind w:firstLineChars="0" w:firstLine="0"/>
              <w:jc w:val="left"/>
            </w:pPr>
            <w:r>
              <w:rPr>
                <w:rFonts w:hint="eastAsia"/>
              </w:rPr>
              <w:t>作为以高增长为目标的混合型基金，本基金在股票和可转债的投资中，采用“自下而上”的策略进行投资决策，以寻求超额收益。本基金选股主要依据南方基金公司建立的“南方高成长评价体系”，通过定量与定</w:t>
            </w:r>
            <w:r>
              <w:rPr>
                <w:rFonts w:hint="eastAsia"/>
              </w:rPr>
              <w:lastRenderedPageBreak/>
              <w:t>性相结合的评价方法，选择未来</w:t>
            </w:r>
            <w:r>
              <w:t>2</w:t>
            </w:r>
            <w:r>
              <w:t>年预期主营业务收入增长率和息税前利润增长率均超过</w:t>
            </w:r>
            <w:r>
              <w:t>GDP</w:t>
            </w:r>
            <w:r>
              <w:t>增长率</w:t>
            </w:r>
            <w:r>
              <w:t>3</w:t>
            </w:r>
            <w:r>
              <w:t>倍，且根据该体系，在全部上市公司中成长性和投资价值排名前</w:t>
            </w:r>
            <w:r>
              <w:t>5%</w:t>
            </w:r>
            <w:r>
              <w:t>的公司，或者是面临重大的发展机遇，具备超常规增长潜力的公司为主要投资对象，这类股票占全部股票市值的比例不低于</w:t>
            </w:r>
            <w:r>
              <w:t>80%</w:t>
            </w:r>
            <w:r>
              <w:t>。</w:t>
            </w:r>
          </w:p>
        </w:tc>
      </w:tr>
      <w:tr w:rsidR="0033770D" w:rsidTr="0033770D">
        <w:tc>
          <w:tcPr>
            <w:tcW w:w="8505" w:type="nil"/>
          </w:tcPr>
          <w:p w:rsidR="0033770D" w:rsidRDefault="0033770D" w:rsidP="0033770D">
            <w:pPr>
              <w:pStyle w:val="-"/>
              <w:shd w:val="clear" w:color="auto" w:fill="auto"/>
              <w:ind w:firstLineChars="0" w:firstLine="0"/>
              <w:jc w:val="left"/>
            </w:pPr>
            <w:r>
              <w:rPr>
                <w:rFonts w:hint="eastAsia"/>
              </w:rPr>
              <w:lastRenderedPageBreak/>
              <w:t>业绩比较基准</w:t>
            </w:r>
          </w:p>
        </w:tc>
        <w:tc>
          <w:tcPr>
            <w:tcW w:w="8505" w:type="nil"/>
          </w:tcPr>
          <w:p w:rsidR="0033770D" w:rsidRDefault="0033770D" w:rsidP="0033770D">
            <w:pPr>
              <w:pStyle w:val="-"/>
              <w:shd w:val="clear" w:color="auto" w:fill="auto"/>
              <w:ind w:firstLineChars="0" w:firstLine="0"/>
              <w:jc w:val="left"/>
            </w:pPr>
            <w:r>
              <w:rPr>
                <w:rFonts w:hint="eastAsia"/>
              </w:rPr>
              <w:t>本基金股票投资部分的业绩比较基准采用上证综指，债券投资部分的业绩比较基准采用上证国债指数。作为混合型基金，本基金的整体业绩比较基准可以表述为如下公式：基金整体业绩基准＝上证综指×</w:t>
            </w:r>
            <w:r>
              <w:t>90</w:t>
            </w:r>
            <w:r>
              <w:t>％＋上证国债指数</w:t>
            </w:r>
            <w:r>
              <w:t>×10</w:t>
            </w:r>
            <w:r>
              <w:t>％</w:t>
            </w:r>
          </w:p>
        </w:tc>
      </w:tr>
      <w:tr w:rsidR="0033770D" w:rsidTr="0033770D">
        <w:tc>
          <w:tcPr>
            <w:tcW w:w="8505" w:type="nil"/>
          </w:tcPr>
          <w:p w:rsidR="0033770D" w:rsidRDefault="0033770D" w:rsidP="0033770D">
            <w:pPr>
              <w:pStyle w:val="-"/>
              <w:shd w:val="clear" w:color="auto" w:fill="auto"/>
              <w:ind w:firstLineChars="0" w:firstLine="0"/>
              <w:jc w:val="left"/>
            </w:pPr>
            <w:r>
              <w:rPr>
                <w:rFonts w:hint="eastAsia"/>
              </w:rPr>
              <w:t>风险收益特征</w:t>
            </w:r>
          </w:p>
        </w:tc>
        <w:tc>
          <w:tcPr>
            <w:tcW w:w="8505" w:type="nil"/>
          </w:tcPr>
          <w:p w:rsidR="0033770D" w:rsidRDefault="0033770D" w:rsidP="0033770D">
            <w:pPr>
              <w:pStyle w:val="-"/>
              <w:shd w:val="clear" w:color="auto" w:fill="auto"/>
              <w:ind w:firstLineChars="0" w:firstLine="0"/>
              <w:jc w:val="left"/>
            </w:pPr>
            <w:r>
              <w:rPr>
                <w:rFonts w:hint="eastAsia"/>
              </w:rPr>
              <w:t>本基金为混合型基金，其长期平均风险和预期收益水平低于股票型基金，高于债券型基金、货币市场基金。</w:t>
            </w:r>
          </w:p>
        </w:tc>
      </w:tr>
    </w:tbl>
    <w:p w:rsidR="0033770D" w:rsidRDefault="0033770D" w:rsidP="0033770D">
      <w:pPr>
        <w:pStyle w:val="-2"/>
        <w:spacing w:before="156" w:after="156"/>
      </w:pPr>
      <w:r>
        <w:rPr>
          <w:rFonts w:hint="eastAsia"/>
        </w:rPr>
        <w:t>（二）</w:t>
      </w:r>
      <w:r>
        <w:t xml:space="preserve"> </w:t>
      </w:r>
      <w:r>
        <w:t>投资组合资产配置图表</w:t>
      </w:r>
      <w:r>
        <w:t>/</w:t>
      </w:r>
      <w:r>
        <w:t>区域配置图表</w:t>
      </w:r>
    </w:p>
    <w:p w:rsidR="0033770D" w:rsidRDefault="0033770D" w:rsidP="0033770D">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33770D" w:rsidRDefault="0033770D" w:rsidP="0033770D">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33770D" w:rsidRDefault="0033770D" w:rsidP="0033770D">
      <w:r>
        <w:rPr>
          <w:noProof/>
        </w:rPr>
        <w:lastRenderedPageBreak/>
        <w:drawing>
          <wp:inline distT="0" distB="0" distL="0" distR="0">
            <wp:extent cx="5274310" cy="327850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78505"/>
                    </a:xfrm>
                    <a:prstGeom prst="rect">
                      <a:avLst/>
                    </a:prstGeom>
                  </pic:spPr>
                </pic:pic>
              </a:graphicData>
            </a:graphic>
          </wp:inline>
        </w:drawing>
      </w:r>
    </w:p>
    <w:p w:rsidR="0033770D" w:rsidRDefault="0033770D" w:rsidP="0033770D">
      <w:pPr>
        <w:pStyle w:val="-1"/>
        <w:spacing w:before="156" w:after="156"/>
        <w:rPr>
          <w:rFonts w:hint="eastAsia"/>
        </w:rPr>
      </w:pPr>
      <w:r>
        <w:rPr>
          <w:rFonts w:hint="eastAsia"/>
        </w:rPr>
        <w:t>三、投资本基金涉及的费用</w:t>
      </w:r>
    </w:p>
    <w:p w:rsidR="0033770D" w:rsidRDefault="0033770D" w:rsidP="0033770D">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3770D" w:rsidTr="0033770D">
        <w:tc>
          <w:tcPr>
            <w:tcW w:w="2076" w:type="dxa"/>
          </w:tcPr>
          <w:p w:rsidR="0033770D" w:rsidRDefault="0033770D" w:rsidP="0033770D">
            <w:pPr>
              <w:jc w:val="center"/>
            </w:pPr>
            <w:r>
              <w:rPr>
                <w:rFonts w:hint="eastAsia"/>
              </w:rPr>
              <w:t>费用类型</w:t>
            </w:r>
          </w:p>
        </w:tc>
        <w:tc>
          <w:tcPr>
            <w:tcW w:w="2076" w:type="dxa"/>
          </w:tcPr>
          <w:p w:rsidR="0033770D" w:rsidRDefault="0033770D" w:rsidP="0033770D">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3770D" w:rsidRDefault="0033770D" w:rsidP="0033770D">
            <w:pPr>
              <w:jc w:val="center"/>
            </w:pPr>
            <w:r>
              <w:rPr>
                <w:rFonts w:hint="eastAsia"/>
              </w:rPr>
              <w:t>收费方式</w:t>
            </w:r>
            <w:r>
              <w:rPr>
                <w:rFonts w:hint="eastAsia"/>
              </w:rPr>
              <w:t>/</w:t>
            </w:r>
            <w:r>
              <w:rPr>
                <w:rFonts w:hint="eastAsia"/>
              </w:rPr>
              <w:t>费率</w:t>
            </w:r>
          </w:p>
        </w:tc>
        <w:tc>
          <w:tcPr>
            <w:tcW w:w="2077" w:type="dxa"/>
          </w:tcPr>
          <w:p w:rsidR="0033770D" w:rsidRDefault="0033770D" w:rsidP="0033770D">
            <w:pPr>
              <w:jc w:val="center"/>
            </w:pPr>
            <w:r>
              <w:rPr>
                <w:rFonts w:hint="eastAsia"/>
              </w:rPr>
              <w:t>备注</w:t>
            </w:r>
          </w:p>
        </w:tc>
      </w:tr>
      <w:tr w:rsidR="0033770D" w:rsidTr="0033770D">
        <w:tc>
          <w:tcPr>
            <w:tcW w:w="2076" w:type="dxa"/>
            <w:vMerge w:val="restart"/>
          </w:tcPr>
          <w:p w:rsidR="0033770D" w:rsidRDefault="0033770D" w:rsidP="0033770D">
            <w:pPr>
              <w:jc w:val="center"/>
            </w:pPr>
            <w:r>
              <w:rPr>
                <w:rFonts w:hint="eastAsia"/>
              </w:rPr>
              <w:t>认购费</w:t>
            </w:r>
          </w:p>
        </w:tc>
        <w:tc>
          <w:tcPr>
            <w:tcW w:w="2076" w:type="dxa"/>
          </w:tcPr>
          <w:p w:rsidR="0033770D" w:rsidRDefault="0033770D" w:rsidP="0033770D">
            <w:pPr>
              <w:jc w:val="left"/>
            </w:pPr>
            <w:r>
              <w:rPr>
                <w:rFonts w:hint="eastAsia"/>
              </w:rPr>
              <w:t>M&lt; 10</w:t>
            </w:r>
            <w:r>
              <w:rPr>
                <w:rFonts w:hint="eastAsia"/>
              </w:rPr>
              <w:t>万元</w:t>
            </w:r>
          </w:p>
        </w:tc>
        <w:tc>
          <w:tcPr>
            <w:tcW w:w="2077" w:type="dxa"/>
          </w:tcPr>
          <w:p w:rsidR="0033770D" w:rsidRDefault="0033770D" w:rsidP="0033770D">
            <w:pPr>
              <w:jc w:val="right"/>
            </w:pPr>
            <w:r>
              <w:t>1.2%</w:t>
            </w:r>
          </w:p>
        </w:tc>
        <w:tc>
          <w:tcPr>
            <w:tcW w:w="2077" w:type="dxa"/>
          </w:tcPr>
          <w:p w:rsidR="0033770D" w:rsidRDefault="0033770D" w:rsidP="0033770D">
            <w:pPr>
              <w:jc w:val="left"/>
            </w:pPr>
            <w:r>
              <w:rPr>
                <w:rFonts w:hint="eastAsia"/>
              </w:rPr>
              <w:t>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10</w:t>
            </w:r>
            <w:r>
              <w:rPr>
                <w:rFonts w:hint="eastAsia"/>
              </w:rPr>
              <w:t>万元≤</w:t>
            </w:r>
            <w:r>
              <w:rPr>
                <w:rFonts w:hint="eastAsia"/>
              </w:rPr>
              <w:t>M&lt; 100</w:t>
            </w:r>
            <w:r>
              <w:rPr>
                <w:rFonts w:hint="eastAsia"/>
              </w:rPr>
              <w:t>万元</w:t>
            </w:r>
          </w:p>
        </w:tc>
        <w:tc>
          <w:tcPr>
            <w:tcW w:w="2077" w:type="dxa"/>
          </w:tcPr>
          <w:p w:rsidR="0033770D" w:rsidRDefault="0033770D" w:rsidP="0033770D">
            <w:pPr>
              <w:jc w:val="right"/>
            </w:pPr>
            <w:r>
              <w:t>0.9%</w:t>
            </w:r>
          </w:p>
        </w:tc>
        <w:tc>
          <w:tcPr>
            <w:tcW w:w="2077" w:type="dxa"/>
          </w:tcPr>
          <w:p w:rsidR="0033770D" w:rsidRDefault="0033770D" w:rsidP="0033770D">
            <w:pPr>
              <w:jc w:val="left"/>
            </w:pPr>
            <w:r>
              <w:rPr>
                <w:rFonts w:hint="eastAsia"/>
              </w:rPr>
              <w:t>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100</w:t>
            </w:r>
            <w:r>
              <w:rPr>
                <w:rFonts w:hint="eastAsia"/>
              </w:rPr>
              <w:t>万元≤</w:t>
            </w:r>
            <w:r>
              <w:rPr>
                <w:rFonts w:hint="eastAsia"/>
              </w:rPr>
              <w:t>M&lt; 500</w:t>
            </w:r>
            <w:r>
              <w:rPr>
                <w:rFonts w:hint="eastAsia"/>
              </w:rPr>
              <w:t>万元</w:t>
            </w:r>
          </w:p>
        </w:tc>
        <w:tc>
          <w:tcPr>
            <w:tcW w:w="2077" w:type="dxa"/>
          </w:tcPr>
          <w:p w:rsidR="0033770D" w:rsidRDefault="0033770D" w:rsidP="0033770D">
            <w:pPr>
              <w:jc w:val="right"/>
            </w:pPr>
            <w:r>
              <w:t>0.6%</w:t>
            </w:r>
          </w:p>
        </w:tc>
        <w:tc>
          <w:tcPr>
            <w:tcW w:w="2077" w:type="dxa"/>
          </w:tcPr>
          <w:p w:rsidR="0033770D" w:rsidRDefault="0033770D" w:rsidP="0033770D">
            <w:pPr>
              <w:jc w:val="left"/>
            </w:pPr>
            <w:r>
              <w:rPr>
                <w:rFonts w:hint="eastAsia"/>
              </w:rPr>
              <w:t>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500</w:t>
            </w:r>
            <w:r>
              <w:rPr>
                <w:rFonts w:hint="eastAsia"/>
              </w:rPr>
              <w:t>万元≤</w:t>
            </w:r>
            <w:r>
              <w:rPr>
                <w:rFonts w:hint="eastAsia"/>
              </w:rPr>
              <w:t>M&lt; 1000</w:t>
            </w:r>
            <w:r>
              <w:rPr>
                <w:rFonts w:hint="eastAsia"/>
              </w:rPr>
              <w:t>万元</w:t>
            </w:r>
          </w:p>
        </w:tc>
        <w:tc>
          <w:tcPr>
            <w:tcW w:w="2077" w:type="dxa"/>
          </w:tcPr>
          <w:p w:rsidR="0033770D" w:rsidRDefault="0033770D" w:rsidP="0033770D">
            <w:pPr>
              <w:jc w:val="right"/>
            </w:pPr>
            <w:r>
              <w:t>0.3%</w:t>
            </w:r>
          </w:p>
        </w:tc>
        <w:tc>
          <w:tcPr>
            <w:tcW w:w="2077" w:type="dxa"/>
          </w:tcPr>
          <w:p w:rsidR="0033770D" w:rsidRDefault="0033770D" w:rsidP="0033770D">
            <w:pPr>
              <w:jc w:val="left"/>
            </w:pPr>
            <w:r>
              <w:rPr>
                <w:rFonts w:hint="eastAsia"/>
              </w:rPr>
              <w:t>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1000</w:t>
            </w:r>
            <w:r>
              <w:rPr>
                <w:rFonts w:hint="eastAsia"/>
              </w:rPr>
              <w:t>万元≤</w:t>
            </w:r>
            <w:r>
              <w:rPr>
                <w:rFonts w:hint="eastAsia"/>
              </w:rPr>
              <w:t>M</w:t>
            </w:r>
          </w:p>
        </w:tc>
        <w:tc>
          <w:tcPr>
            <w:tcW w:w="2077" w:type="dxa"/>
          </w:tcPr>
          <w:p w:rsidR="0033770D" w:rsidRDefault="0033770D" w:rsidP="0033770D">
            <w:pPr>
              <w:jc w:val="left"/>
            </w:pPr>
            <w:r>
              <w:rPr>
                <w:rFonts w:hint="eastAsia"/>
              </w:rPr>
              <w:t>每笔</w:t>
            </w:r>
            <w:r>
              <w:rPr>
                <w:rFonts w:hint="eastAsia"/>
              </w:rPr>
              <w:t>1000</w:t>
            </w:r>
            <w:r>
              <w:rPr>
                <w:rFonts w:hint="eastAsia"/>
              </w:rPr>
              <w:t>元</w:t>
            </w:r>
          </w:p>
        </w:tc>
        <w:tc>
          <w:tcPr>
            <w:tcW w:w="2077" w:type="dxa"/>
          </w:tcPr>
          <w:p w:rsidR="0033770D" w:rsidRDefault="0033770D" w:rsidP="0033770D">
            <w:pPr>
              <w:jc w:val="left"/>
            </w:pPr>
            <w:r>
              <w:rPr>
                <w:rFonts w:hint="eastAsia"/>
              </w:rPr>
              <w:t>场外</w:t>
            </w:r>
          </w:p>
        </w:tc>
      </w:tr>
      <w:tr w:rsidR="0033770D" w:rsidTr="0033770D">
        <w:tc>
          <w:tcPr>
            <w:tcW w:w="2076" w:type="dxa"/>
            <w:vMerge w:val="restart"/>
          </w:tcPr>
          <w:p w:rsidR="0033770D" w:rsidRDefault="0033770D" w:rsidP="0033770D">
            <w:pPr>
              <w:jc w:val="center"/>
            </w:pPr>
            <w:r>
              <w:rPr>
                <w:rFonts w:hint="eastAsia"/>
              </w:rPr>
              <w:t>申购费（前收费）</w:t>
            </w:r>
          </w:p>
        </w:tc>
        <w:tc>
          <w:tcPr>
            <w:tcW w:w="2076" w:type="dxa"/>
          </w:tcPr>
          <w:p w:rsidR="0033770D" w:rsidRDefault="0033770D" w:rsidP="0033770D">
            <w:pPr>
              <w:jc w:val="left"/>
            </w:pPr>
            <w:r>
              <w:rPr>
                <w:rFonts w:hint="eastAsia"/>
              </w:rPr>
              <w:t>M&lt; 10</w:t>
            </w:r>
            <w:r>
              <w:rPr>
                <w:rFonts w:hint="eastAsia"/>
              </w:rPr>
              <w:t>万元</w:t>
            </w:r>
          </w:p>
        </w:tc>
        <w:tc>
          <w:tcPr>
            <w:tcW w:w="2077" w:type="dxa"/>
          </w:tcPr>
          <w:p w:rsidR="0033770D" w:rsidRDefault="0033770D" w:rsidP="0033770D">
            <w:pPr>
              <w:jc w:val="right"/>
            </w:pPr>
            <w:r>
              <w:t>1.5%</w:t>
            </w:r>
          </w:p>
        </w:tc>
        <w:tc>
          <w:tcPr>
            <w:tcW w:w="2077" w:type="dxa"/>
          </w:tcPr>
          <w:p w:rsidR="0033770D" w:rsidRDefault="0033770D" w:rsidP="0033770D">
            <w:pPr>
              <w:jc w:val="right"/>
            </w:pPr>
            <w:r>
              <w:t>-</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10</w:t>
            </w:r>
            <w:r>
              <w:rPr>
                <w:rFonts w:hint="eastAsia"/>
              </w:rPr>
              <w:t>万元≤</w:t>
            </w:r>
            <w:r>
              <w:rPr>
                <w:rFonts w:hint="eastAsia"/>
              </w:rPr>
              <w:t>M&lt; 100</w:t>
            </w:r>
            <w:r>
              <w:rPr>
                <w:rFonts w:hint="eastAsia"/>
              </w:rPr>
              <w:t>万元</w:t>
            </w:r>
          </w:p>
        </w:tc>
        <w:tc>
          <w:tcPr>
            <w:tcW w:w="2077" w:type="dxa"/>
          </w:tcPr>
          <w:p w:rsidR="0033770D" w:rsidRDefault="0033770D" w:rsidP="0033770D">
            <w:pPr>
              <w:jc w:val="right"/>
            </w:pPr>
            <w:r>
              <w:t>1.2%</w:t>
            </w:r>
          </w:p>
        </w:tc>
        <w:tc>
          <w:tcPr>
            <w:tcW w:w="2077" w:type="dxa"/>
          </w:tcPr>
          <w:p w:rsidR="0033770D" w:rsidRDefault="0033770D" w:rsidP="0033770D">
            <w:pPr>
              <w:jc w:val="right"/>
            </w:pPr>
            <w:r>
              <w:t>-</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100</w:t>
            </w:r>
            <w:r>
              <w:rPr>
                <w:rFonts w:hint="eastAsia"/>
              </w:rPr>
              <w:t>万元≤</w:t>
            </w:r>
            <w:r>
              <w:rPr>
                <w:rFonts w:hint="eastAsia"/>
              </w:rPr>
              <w:t>M&lt; 500</w:t>
            </w:r>
            <w:r>
              <w:rPr>
                <w:rFonts w:hint="eastAsia"/>
              </w:rPr>
              <w:t>万元</w:t>
            </w:r>
          </w:p>
        </w:tc>
        <w:tc>
          <w:tcPr>
            <w:tcW w:w="2077" w:type="dxa"/>
          </w:tcPr>
          <w:p w:rsidR="0033770D" w:rsidRDefault="0033770D" w:rsidP="0033770D">
            <w:pPr>
              <w:jc w:val="right"/>
            </w:pPr>
            <w:r>
              <w:t>0.9%</w:t>
            </w:r>
          </w:p>
        </w:tc>
        <w:tc>
          <w:tcPr>
            <w:tcW w:w="2077" w:type="dxa"/>
          </w:tcPr>
          <w:p w:rsidR="0033770D" w:rsidRDefault="0033770D" w:rsidP="0033770D">
            <w:pPr>
              <w:jc w:val="right"/>
            </w:pPr>
            <w:r>
              <w:t>-</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500</w:t>
            </w:r>
            <w:r>
              <w:rPr>
                <w:rFonts w:hint="eastAsia"/>
              </w:rPr>
              <w:t>万元≤</w:t>
            </w:r>
            <w:r>
              <w:rPr>
                <w:rFonts w:hint="eastAsia"/>
              </w:rPr>
              <w:t>M&lt; 1000</w:t>
            </w:r>
            <w:r>
              <w:rPr>
                <w:rFonts w:hint="eastAsia"/>
              </w:rPr>
              <w:t>万元</w:t>
            </w:r>
          </w:p>
        </w:tc>
        <w:tc>
          <w:tcPr>
            <w:tcW w:w="2077" w:type="dxa"/>
          </w:tcPr>
          <w:p w:rsidR="0033770D" w:rsidRDefault="0033770D" w:rsidP="0033770D">
            <w:pPr>
              <w:jc w:val="right"/>
            </w:pPr>
            <w:r>
              <w:t>0.6%</w:t>
            </w:r>
          </w:p>
        </w:tc>
        <w:tc>
          <w:tcPr>
            <w:tcW w:w="2077" w:type="dxa"/>
          </w:tcPr>
          <w:p w:rsidR="0033770D" w:rsidRDefault="0033770D" w:rsidP="0033770D">
            <w:pPr>
              <w:jc w:val="right"/>
            </w:pPr>
            <w:r>
              <w:t>-</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1000</w:t>
            </w:r>
            <w:r>
              <w:rPr>
                <w:rFonts w:hint="eastAsia"/>
              </w:rPr>
              <w:t>万元≤</w:t>
            </w:r>
            <w:r>
              <w:rPr>
                <w:rFonts w:hint="eastAsia"/>
              </w:rPr>
              <w:t>M</w:t>
            </w:r>
          </w:p>
        </w:tc>
        <w:tc>
          <w:tcPr>
            <w:tcW w:w="2077" w:type="dxa"/>
          </w:tcPr>
          <w:p w:rsidR="0033770D" w:rsidRDefault="0033770D" w:rsidP="0033770D">
            <w:pPr>
              <w:jc w:val="left"/>
            </w:pPr>
            <w:r>
              <w:rPr>
                <w:rFonts w:hint="eastAsia"/>
              </w:rPr>
              <w:t>每笔</w:t>
            </w:r>
            <w:r>
              <w:rPr>
                <w:rFonts w:hint="eastAsia"/>
              </w:rPr>
              <w:t>1000</w:t>
            </w:r>
            <w:r>
              <w:rPr>
                <w:rFonts w:hint="eastAsia"/>
              </w:rPr>
              <w:t>元</w:t>
            </w:r>
          </w:p>
        </w:tc>
        <w:tc>
          <w:tcPr>
            <w:tcW w:w="2077" w:type="dxa"/>
          </w:tcPr>
          <w:p w:rsidR="0033770D" w:rsidRDefault="0033770D" w:rsidP="0033770D">
            <w:pPr>
              <w:jc w:val="right"/>
            </w:pPr>
            <w:r>
              <w:t>-</w:t>
            </w:r>
          </w:p>
        </w:tc>
      </w:tr>
      <w:tr w:rsidR="0033770D" w:rsidTr="0033770D">
        <w:tc>
          <w:tcPr>
            <w:tcW w:w="2076" w:type="dxa"/>
            <w:vMerge w:val="restart"/>
          </w:tcPr>
          <w:p w:rsidR="0033770D" w:rsidRDefault="0033770D" w:rsidP="0033770D">
            <w:pPr>
              <w:jc w:val="center"/>
            </w:pPr>
            <w:r>
              <w:rPr>
                <w:rFonts w:hint="eastAsia"/>
              </w:rPr>
              <w:t>申购费（后收费）</w:t>
            </w:r>
          </w:p>
        </w:tc>
        <w:tc>
          <w:tcPr>
            <w:tcW w:w="2076" w:type="dxa"/>
          </w:tcPr>
          <w:p w:rsidR="0033770D" w:rsidRDefault="0033770D" w:rsidP="0033770D">
            <w:pPr>
              <w:jc w:val="left"/>
            </w:pPr>
            <w:r>
              <w:rPr>
                <w:rFonts w:hint="eastAsia"/>
              </w:rPr>
              <w:t>N&lt; 1</w:t>
            </w:r>
            <w:r>
              <w:rPr>
                <w:rFonts w:hint="eastAsia"/>
              </w:rPr>
              <w:t>年</w:t>
            </w:r>
          </w:p>
        </w:tc>
        <w:tc>
          <w:tcPr>
            <w:tcW w:w="2077" w:type="dxa"/>
          </w:tcPr>
          <w:p w:rsidR="0033770D" w:rsidRDefault="0033770D" w:rsidP="0033770D">
            <w:pPr>
              <w:jc w:val="right"/>
            </w:pPr>
            <w:r>
              <w:t>2%</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33770D" w:rsidRDefault="0033770D" w:rsidP="0033770D">
            <w:pPr>
              <w:jc w:val="right"/>
            </w:pPr>
            <w:r>
              <w:t>1.5%</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2</w:t>
            </w:r>
            <w:r>
              <w:rPr>
                <w:rFonts w:hint="eastAsia"/>
              </w:rPr>
              <w:t>年≤</w:t>
            </w:r>
            <w:r>
              <w:rPr>
                <w:rFonts w:hint="eastAsia"/>
              </w:rPr>
              <w:t xml:space="preserve"> N&lt; 3</w:t>
            </w:r>
            <w:r>
              <w:rPr>
                <w:rFonts w:hint="eastAsia"/>
              </w:rPr>
              <w:t>年</w:t>
            </w:r>
          </w:p>
        </w:tc>
        <w:tc>
          <w:tcPr>
            <w:tcW w:w="2077" w:type="dxa"/>
          </w:tcPr>
          <w:p w:rsidR="0033770D" w:rsidRDefault="0033770D" w:rsidP="0033770D">
            <w:pPr>
              <w:jc w:val="right"/>
            </w:pPr>
            <w:r>
              <w:t>1.2%</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3</w:t>
            </w:r>
            <w:r>
              <w:rPr>
                <w:rFonts w:hint="eastAsia"/>
              </w:rPr>
              <w:t>年≤</w:t>
            </w:r>
            <w:r>
              <w:rPr>
                <w:rFonts w:hint="eastAsia"/>
              </w:rPr>
              <w:t xml:space="preserve"> N&lt; 4</w:t>
            </w:r>
            <w:r>
              <w:rPr>
                <w:rFonts w:hint="eastAsia"/>
              </w:rPr>
              <w:t>年</w:t>
            </w:r>
          </w:p>
        </w:tc>
        <w:tc>
          <w:tcPr>
            <w:tcW w:w="2077" w:type="dxa"/>
          </w:tcPr>
          <w:p w:rsidR="0033770D" w:rsidRDefault="0033770D" w:rsidP="0033770D">
            <w:pPr>
              <w:jc w:val="right"/>
            </w:pPr>
            <w:r>
              <w:t>0.8%</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4</w:t>
            </w:r>
            <w:r>
              <w:rPr>
                <w:rFonts w:hint="eastAsia"/>
              </w:rPr>
              <w:t>年≤</w:t>
            </w:r>
            <w:r>
              <w:rPr>
                <w:rFonts w:hint="eastAsia"/>
              </w:rPr>
              <w:t xml:space="preserve"> N&lt; 5</w:t>
            </w:r>
            <w:r>
              <w:rPr>
                <w:rFonts w:hint="eastAsia"/>
              </w:rPr>
              <w:t>年</w:t>
            </w:r>
          </w:p>
        </w:tc>
        <w:tc>
          <w:tcPr>
            <w:tcW w:w="2077" w:type="dxa"/>
          </w:tcPr>
          <w:p w:rsidR="0033770D" w:rsidRDefault="0033770D" w:rsidP="0033770D">
            <w:pPr>
              <w:jc w:val="right"/>
            </w:pPr>
            <w:r>
              <w:t>0.4%</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5</w:t>
            </w:r>
            <w:r>
              <w:rPr>
                <w:rFonts w:hint="eastAsia"/>
              </w:rPr>
              <w:t>年≤</w:t>
            </w:r>
            <w:r>
              <w:rPr>
                <w:rFonts w:hint="eastAsia"/>
              </w:rPr>
              <w:t xml:space="preserve"> N</w:t>
            </w:r>
          </w:p>
        </w:tc>
        <w:tc>
          <w:tcPr>
            <w:tcW w:w="2077" w:type="dxa"/>
          </w:tcPr>
          <w:p w:rsidR="0033770D" w:rsidRDefault="0033770D" w:rsidP="0033770D">
            <w:pPr>
              <w:jc w:val="right"/>
            </w:pPr>
            <w:r>
              <w:t>0%</w:t>
            </w:r>
          </w:p>
        </w:tc>
        <w:tc>
          <w:tcPr>
            <w:tcW w:w="2077" w:type="dxa"/>
          </w:tcPr>
          <w:p w:rsidR="0033770D" w:rsidRDefault="0033770D" w:rsidP="0033770D">
            <w:pPr>
              <w:jc w:val="left"/>
            </w:pPr>
            <w:r>
              <w:rPr>
                <w:rFonts w:hint="eastAsia"/>
              </w:rPr>
              <w:t>后收费</w:t>
            </w:r>
          </w:p>
        </w:tc>
      </w:tr>
      <w:tr w:rsidR="0033770D" w:rsidTr="0033770D">
        <w:tc>
          <w:tcPr>
            <w:tcW w:w="2076" w:type="dxa"/>
            <w:vMerge w:val="restart"/>
          </w:tcPr>
          <w:p w:rsidR="0033770D" w:rsidRDefault="0033770D" w:rsidP="0033770D">
            <w:pPr>
              <w:jc w:val="center"/>
            </w:pPr>
            <w:r>
              <w:rPr>
                <w:rFonts w:hint="eastAsia"/>
              </w:rPr>
              <w:t>赎回费</w:t>
            </w:r>
          </w:p>
        </w:tc>
        <w:tc>
          <w:tcPr>
            <w:tcW w:w="2076" w:type="dxa"/>
          </w:tcPr>
          <w:p w:rsidR="0033770D" w:rsidRDefault="0033770D" w:rsidP="0033770D">
            <w:pPr>
              <w:jc w:val="left"/>
            </w:pPr>
            <w:r>
              <w:rPr>
                <w:rFonts w:hint="eastAsia"/>
              </w:rPr>
              <w:t>N&lt; 7</w:t>
            </w:r>
            <w:r>
              <w:rPr>
                <w:rFonts w:hint="eastAsia"/>
              </w:rPr>
              <w:t>天</w:t>
            </w:r>
          </w:p>
        </w:tc>
        <w:tc>
          <w:tcPr>
            <w:tcW w:w="2077" w:type="dxa"/>
          </w:tcPr>
          <w:p w:rsidR="0033770D" w:rsidRDefault="0033770D" w:rsidP="0033770D">
            <w:pPr>
              <w:jc w:val="right"/>
            </w:pPr>
            <w:r>
              <w:t>1.5%</w:t>
            </w:r>
          </w:p>
        </w:tc>
        <w:tc>
          <w:tcPr>
            <w:tcW w:w="2077" w:type="dxa"/>
          </w:tcPr>
          <w:p w:rsidR="0033770D" w:rsidRDefault="0033770D" w:rsidP="0033770D">
            <w:pPr>
              <w:jc w:val="left"/>
            </w:pPr>
            <w:r>
              <w:rPr>
                <w:rFonts w:hint="eastAsia"/>
              </w:rPr>
              <w:t>前收费，场外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7</w:t>
            </w:r>
            <w:r>
              <w:rPr>
                <w:rFonts w:hint="eastAsia"/>
              </w:rPr>
              <w:t>天≤</w:t>
            </w:r>
            <w:r>
              <w:rPr>
                <w:rFonts w:hint="eastAsia"/>
              </w:rPr>
              <w:t xml:space="preserve"> N&lt; 180</w:t>
            </w:r>
            <w:r>
              <w:rPr>
                <w:rFonts w:hint="eastAsia"/>
              </w:rPr>
              <w:t>天</w:t>
            </w:r>
          </w:p>
        </w:tc>
        <w:tc>
          <w:tcPr>
            <w:tcW w:w="2077" w:type="dxa"/>
          </w:tcPr>
          <w:p w:rsidR="0033770D" w:rsidRDefault="0033770D" w:rsidP="0033770D">
            <w:pPr>
              <w:jc w:val="right"/>
            </w:pPr>
            <w:r>
              <w:t>0.5%</w:t>
            </w:r>
          </w:p>
        </w:tc>
        <w:tc>
          <w:tcPr>
            <w:tcW w:w="2077" w:type="dxa"/>
          </w:tcPr>
          <w:p w:rsidR="0033770D" w:rsidRDefault="0033770D" w:rsidP="0033770D">
            <w:pPr>
              <w:jc w:val="left"/>
            </w:pPr>
            <w:r>
              <w:rPr>
                <w:rFonts w:hint="eastAsia"/>
              </w:rPr>
              <w:t>前收费，场外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33770D" w:rsidRDefault="0033770D" w:rsidP="0033770D">
            <w:pPr>
              <w:jc w:val="right"/>
            </w:pPr>
            <w:r>
              <w:t>0.4%</w:t>
            </w:r>
          </w:p>
        </w:tc>
        <w:tc>
          <w:tcPr>
            <w:tcW w:w="2077" w:type="dxa"/>
          </w:tcPr>
          <w:p w:rsidR="0033770D" w:rsidRDefault="0033770D" w:rsidP="0033770D">
            <w:pPr>
              <w:jc w:val="left"/>
            </w:pPr>
            <w:r>
              <w:rPr>
                <w:rFonts w:hint="eastAsia"/>
              </w:rPr>
              <w:t>前收费，场外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33770D" w:rsidRDefault="0033770D" w:rsidP="0033770D">
            <w:pPr>
              <w:jc w:val="right"/>
            </w:pPr>
            <w:r>
              <w:t>0.2%</w:t>
            </w:r>
          </w:p>
        </w:tc>
        <w:tc>
          <w:tcPr>
            <w:tcW w:w="2077" w:type="dxa"/>
          </w:tcPr>
          <w:p w:rsidR="0033770D" w:rsidRDefault="0033770D" w:rsidP="0033770D">
            <w:pPr>
              <w:jc w:val="left"/>
            </w:pPr>
            <w:r>
              <w:rPr>
                <w:rFonts w:hint="eastAsia"/>
              </w:rPr>
              <w:t>前收费，场外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2</w:t>
            </w:r>
            <w:r>
              <w:rPr>
                <w:rFonts w:hint="eastAsia"/>
              </w:rPr>
              <w:t>年≤</w:t>
            </w:r>
            <w:r>
              <w:rPr>
                <w:rFonts w:hint="eastAsia"/>
              </w:rPr>
              <w:t xml:space="preserve"> N</w:t>
            </w:r>
          </w:p>
        </w:tc>
        <w:tc>
          <w:tcPr>
            <w:tcW w:w="2077" w:type="dxa"/>
          </w:tcPr>
          <w:p w:rsidR="0033770D" w:rsidRDefault="0033770D" w:rsidP="0033770D">
            <w:pPr>
              <w:jc w:val="right"/>
            </w:pPr>
            <w:r>
              <w:t>0%</w:t>
            </w:r>
          </w:p>
        </w:tc>
        <w:tc>
          <w:tcPr>
            <w:tcW w:w="2077" w:type="dxa"/>
          </w:tcPr>
          <w:p w:rsidR="0033770D" w:rsidRDefault="0033770D" w:rsidP="0033770D">
            <w:pPr>
              <w:jc w:val="left"/>
            </w:pPr>
            <w:r>
              <w:rPr>
                <w:rFonts w:hint="eastAsia"/>
              </w:rPr>
              <w:t>前收费，场外</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N&lt; 7</w:t>
            </w:r>
            <w:r>
              <w:rPr>
                <w:rFonts w:hint="eastAsia"/>
              </w:rPr>
              <w:t>天</w:t>
            </w:r>
          </w:p>
        </w:tc>
        <w:tc>
          <w:tcPr>
            <w:tcW w:w="2077" w:type="dxa"/>
          </w:tcPr>
          <w:p w:rsidR="0033770D" w:rsidRDefault="0033770D" w:rsidP="0033770D">
            <w:pPr>
              <w:jc w:val="right"/>
            </w:pPr>
            <w:r>
              <w:t>1.5%</w:t>
            </w:r>
          </w:p>
        </w:tc>
        <w:tc>
          <w:tcPr>
            <w:tcW w:w="2077" w:type="dxa"/>
          </w:tcPr>
          <w:p w:rsidR="0033770D" w:rsidRDefault="0033770D" w:rsidP="0033770D">
            <w:pPr>
              <w:jc w:val="left"/>
            </w:pPr>
            <w:r>
              <w:rPr>
                <w:rFonts w:hint="eastAsia"/>
              </w:rPr>
              <w:t>对持续持有期少于</w:t>
            </w:r>
            <w:r>
              <w:rPr>
                <w:rFonts w:hint="eastAsia"/>
              </w:rPr>
              <w:t>7</w:t>
            </w:r>
            <w:r>
              <w:rPr>
                <w:rFonts w:hint="eastAsia"/>
              </w:rPr>
              <w:t>日的投资者收取</w:t>
            </w:r>
            <w:r>
              <w:rPr>
                <w:rFonts w:hint="eastAsia"/>
              </w:rPr>
              <w:t>1.5%</w:t>
            </w:r>
            <w:r>
              <w:rPr>
                <w:rFonts w:hint="eastAsia"/>
              </w:rPr>
              <w:t>的赎回费并全额计入基金财产，前收费，场内</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7</w:t>
            </w:r>
            <w:r>
              <w:rPr>
                <w:rFonts w:hint="eastAsia"/>
              </w:rPr>
              <w:t>天≤</w:t>
            </w:r>
            <w:r>
              <w:rPr>
                <w:rFonts w:hint="eastAsia"/>
              </w:rPr>
              <w:t xml:space="preserve"> N</w:t>
            </w:r>
          </w:p>
        </w:tc>
        <w:tc>
          <w:tcPr>
            <w:tcW w:w="2077" w:type="dxa"/>
          </w:tcPr>
          <w:p w:rsidR="0033770D" w:rsidRDefault="0033770D" w:rsidP="0033770D">
            <w:pPr>
              <w:jc w:val="right"/>
            </w:pPr>
            <w:r>
              <w:t>0.5%</w:t>
            </w:r>
          </w:p>
        </w:tc>
        <w:tc>
          <w:tcPr>
            <w:tcW w:w="2077" w:type="dxa"/>
          </w:tcPr>
          <w:p w:rsidR="0033770D" w:rsidRDefault="0033770D" w:rsidP="0033770D">
            <w:pPr>
              <w:jc w:val="left"/>
            </w:pPr>
            <w:r>
              <w:rPr>
                <w:rFonts w:hint="eastAsia"/>
              </w:rPr>
              <w:t>固定赎回费率，前收费，场内</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N&lt; 1</w:t>
            </w:r>
            <w:r>
              <w:rPr>
                <w:rFonts w:hint="eastAsia"/>
              </w:rPr>
              <w:t>年</w:t>
            </w:r>
          </w:p>
        </w:tc>
        <w:tc>
          <w:tcPr>
            <w:tcW w:w="2077" w:type="dxa"/>
          </w:tcPr>
          <w:p w:rsidR="0033770D" w:rsidRDefault="0033770D" w:rsidP="0033770D">
            <w:pPr>
              <w:jc w:val="right"/>
            </w:pPr>
            <w:r>
              <w:t>0.5%</w:t>
            </w:r>
          </w:p>
        </w:tc>
        <w:tc>
          <w:tcPr>
            <w:tcW w:w="2077" w:type="dxa"/>
          </w:tcPr>
          <w:p w:rsidR="0033770D" w:rsidRDefault="0033770D" w:rsidP="0033770D">
            <w:pPr>
              <w:jc w:val="left"/>
            </w:pPr>
            <w:r>
              <w:rPr>
                <w:rFonts w:hint="eastAsia"/>
              </w:rPr>
              <w:t>对持续持有期少于</w:t>
            </w:r>
            <w:r>
              <w:rPr>
                <w:rFonts w:hint="eastAsia"/>
              </w:rPr>
              <w:t>7</w:t>
            </w:r>
            <w:r>
              <w:rPr>
                <w:rFonts w:hint="eastAsia"/>
              </w:rPr>
              <w:t>日的投资者收取</w:t>
            </w:r>
            <w:r>
              <w:rPr>
                <w:rFonts w:hint="eastAsia"/>
              </w:rPr>
              <w:t>1.5%</w:t>
            </w:r>
            <w:r>
              <w:rPr>
                <w:rFonts w:hint="eastAsia"/>
              </w:rPr>
              <w:t>的赎回费，后收费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33770D" w:rsidRDefault="0033770D" w:rsidP="0033770D">
            <w:pPr>
              <w:jc w:val="right"/>
            </w:pPr>
            <w:r>
              <w:t>0.4%</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2</w:t>
            </w:r>
            <w:r>
              <w:rPr>
                <w:rFonts w:hint="eastAsia"/>
              </w:rPr>
              <w:t>年≤</w:t>
            </w:r>
            <w:r>
              <w:rPr>
                <w:rFonts w:hint="eastAsia"/>
              </w:rPr>
              <w:t xml:space="preserve"> N&lt; 3</w:t>
            </w:r>
            <w:r>
              <w:rPr>
                <w:rFonts w:hint="eastAsia"/>
              </w:rPr>
              <w:t>年</w:t>
            </w:r>
          </w:p>
        </w:tc>
        <w:tc>
          <w:tcPr>
            <w:tcW w:w="2077" w:type="dxa"/>
          </w:tcPr>
          <w:p w:rsidR="0033770D" w:rsidRDefault="0033770D" w:rsidP="0033770D">
            <w:pPr>
              <w:jc w:val="right"/>
            </w:pPr>
            <w:r>
              <w:t>0.3%</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3</w:t>
            </w:r>
            <w:r>
              <w:rPr>
                <w:rFonts w:hint="eastAsia"/>
              </w:rPr>
              <w:t>年≤</w:t>
            </w:r>
            <w:r>
              <w:rPr>
                <w:rFonts w:hint="eastAsia"/>
              </w:rPr>
              <w:t xml:space="preserve"> N&lt; 4</w:t>
            </w:r>
            <w:r>
              <w:rPr>
                <w:rFonts w:hint="eastAsia"/>
              </w:rPr>
              <w:t>年</w:t>
            </w:r>
          </w:p>
        </w:tc>
        <w:tc>
          <w:tcPr>
            <w:tcW w:w="2077" w:type="dxa"/>
          </w:tcPr>
          <w:p w:rsidR="0033770D" w:rsidRDefault="0033770D" w:rsidP="0033770D">
            <w:pPr>
              <w:jc w:val="right"/>
            </w:pPr>
            <w:r>
              <w:t>0.2%</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4</w:t>
            </w:r>
            <w:r>
              <w:rPr>
                <w:rFonts w:hint="eastAsia"/>
              </w:rPr>
              <w:t>年≤</w:t>
            </w:r>
            <w:r>
              <w:rPr>
                <w:rFonts w:hint="eastAsia"/>
              </w:rPr>
              <w:t xml:space="preserve"> N&lt; 5</w:t>
            </w:r>
            <w:r>
              <w:rPr>
                <w:rFonts w:hint="eastAsia"/>
              </w:rPr>
              <w:t>年</w:t>
            </w:r>
          </w:p>
        </w:tc>
        <w:tc>
          <w:tcPr>
            <w:tcW w:w="2077" w:type="dxa"/>
          </w:tcPr>
          <w:p w:rsidR="0033770D" w:rsidRDefault="0033770D" w:rsidP="0033770D">
            <w:pPr>
              <w:jc w:val="right"/>
            </w:pPr>
            <w:r>
              <w:t>0.1%</w:t>
            </w:r>
          </w:p>
        </w:tc>
        <w:tc>
          <w:tcPr>
            <w:tcW w:w="2077" w:type="dxa"/>
          </w:tcPr>
          <w:p w:rsidR="0033770D" w:rsidRDefault="0033770D" w:rsidP="0033770D">
            <w:pPr>
              <w:jc w:val="left"/>
            </w:pPr>
            <w:r>
              <w:rPr>
                <w:rFonts w:hint="eastAsia"/>
              </w:rPr>
              <w:t>后收费</w:t>
            </w:r>
          </w:p>
        </w:tc>
      </w:tr>
      <w:tr w:rsidR="0033770D" w:rsidTr="0033770D">
        <w:tc>
          <w:tcPr>
            <w:tcW w:w="2076" w:type="dxa"/>
            <w:vMerge/>
          </w:tcPr>
          <w:p w:rsidR="0033770D" w:rsidRDefault="0033770D" w:rsidP="0033770D">
            <w:pPr>
              <w:jc w:val="left"/>
            </w:pPr>
          </w:p>
        </w:tc>
        <w:tc>
          <w:tcPr>
            <w:tcW w:w="2076" w:type="dxa"/>
          </w:tcPr>
          <w:p w:rsidR="0033770D" w:rsidRDefault="0033770D" w:rsidP="0033770D">
            <w:pPr>
              <w:jc w:val="left"/>
            </w:pPr>
            <w:r>
              <w:rPr>
                <w:rFonts w:hint="eastAsia"/>
              </w:rPr>
              <w:t>5</w:t>
            </w:r>
            <w:r>
              <w:rPr>
                <w:rFonts w:hint="eastAsia"/>
              </w:rPr>
              <w:t>年≤</w:t>
            </w:r>
            <w:r>
              <w:rPr>
                <w:rFonts w:hint="eastAsia"/>
              </w:rPr>
              <w:t xml:space="preserve"> N</w:t>
            </w:r>
          </w:p>
        </w:tc>
        <w:tc>
          <w:tcPr>
            <w:tcW w:w="2077" w:type="dxa"/>
          </w:tcPr>
          <w:p w:rsidR="0033770D" w:rsidRDefault="0033770D" w:rsidP="0033770D">
            <w:pPr>
              <w:jc w:val="right"/>
            </w:pPr>
            <w:r>
              <w:t>0%</w:t>
            </w:r>
          </w:p>
        </w:tc>
        <w:tc>
          <w:tcPr>
            <w:tcW w:w="2077" w:type="dxa"/>
          </w:tcPr>
          <w:p w:rsidR="0033770D" w:rsidRDefault="0033770D" w:rsidP="0033770D">
            <w:pPr>
              <w:jc w:val="left"/>
            </w:pPr>
            <w:r>
              <w:rPr>
                <w:rFonts w:hint="eastAsia"/>
              </w:rPr>
              <w:t>后收费</w:t>
            </w:r>
          </w:p>
        </w:tc>
      </w:tr>
    </w:tbl>
    <w:p w:rsidR="0033770D" w:rsidRDefault="0033770D" w:rsidP="0033770D">
      <w:pPr>
        <w:pStyle w:val="-7"/>
        <w:ind w:firstLine="420"/>
        <w:rPr>
          <w:rFonts w:hint="eastAsia"/>
        </w:rPr>
      </w:pPr>
      <w:r>
        <w:rPr>
          <w:rFonts w:hint="eastAsia"/>
        </w:rPr>
        <w:t>注：场内交易费用以证券公司实际收取为准。</w:t>
      </w:r>
    </w:p>
    <w:p w:rsidR="0033770D" w:rsidRDefault="0033770D" w:rsidP="0033770D">
      <w:pPr>
        <w:pStyle w:val="-"/>
        <w:ind w:firstLine="420"/>
        <w:rPr>
          <w:rFonts w:hint="eastAsia"/>
        </w:rPr>
      </w:pPr>
      <w:r>
        <w:rPr>
          <w:rFonts w:hint="eastAsia"/>
        </w:rPr>
        <w:t>场内认购费：本基金场内销售渠道为深圳证券交易所会员单位。会员单位可按照基金招募说明书中约定的场外认购的认购费率设定投资者场内认购的发售费率。</w:t>
      </w:r>
    </w:p>
    <w:p w:rsidR="0033770D" w:rsidRDefault="0033770D" w:rsidP="0033770D">
      <w:pPr>
        <w:pStyle w:val="-"/>
        <w:ind w:firstLine="420"/>
      </w:pPr>
      <w:r>
        <w:rPr>
          <w:rFonts w:hint="eastAsia"/>
        </w:rPr>
        <w:t>赎回费（前收费，场内）：本基金场内的赎回费率为固定赎回费率</w:t>
      </w:r>
      <w:r>
        <w:t>0.5%</w:t>
      </w:r>
      <w:r>
        <w:t>，不按份额持有时间分段设置赎回费率，但对持续持有期少于</w:t>
      </w:r>
      <w:r>
        <w:t>7</w:t>
      </w:r>
      <w:r>
        <w:t>日的投资者收取</w:t>
      </w:r>
      <w:r>
        <w:t>1.5%</w:t>
      </w:r>
      <w:r>
        <w:t>的赎回费并全额计入基金财产。</w:t>
      </w:r>
    </w:p>
    <w:p w:rsidR="0033770D" w:rsidRDefault="0033770D" w:rsidP="0033770D">
      <w:pPr>
        <w:pStyle w:val="-"/>
        <w:ind w:firstLine="420"/>
      </w:pPr>
      <w:r>
        <w:rPr>
          <w:rFonts w:hint="eastAsia"/>
        </w:rPr>
        <w:t>赎回费（后收费）：对持续持有期少于</w:t>
      </w:r>
      <w:r>
        <w:t>7</w:t>
      </w:r>
      <w:r>
        <w:t>日的投资者收取</w:t>
      </w:r>
      <w:r>
        <w:t>1.5%</w:t>
      </w:r>
      <w:r>
        <w:t>的赎回费</w:t>
      </w:r>
    </w:p>
    <w:p w:rsidR="0033770D" w:rsidRDefault="0033770D" w:rsidP="0033770D">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3770D" w:rsidTr="0033770D">
        <w:tc>
          <w:tcPr>
            <w:tcW w:w="2768" w:type="dxa"/>
          </w:tcPr>
          <w:p w:rsidR="0033770D" w:rsidRDefault="0033770D" w:rsidP="0033770D">
            <w:pPr>
              <w:jc w:val="left"/>
            </w:pPr>
            <w:r>
              <w:rPr>
                <w:rFonts w:hint="eastAsia"/>
              </w:rPr>
              <w:t>费用类别</w:t>
            </w:r>
          </w:p>
        </w:tc>
        <w:tc>
          <w:tcPr>
            <w:tcW w:w="2769" w:type="dxa"/>
          </w:tcPr>
          <w:p w:rsidR="0033770D" w:rsidRDefault="0033770D" w:rsidP="0033770D">
            <w:pPr>
              <w:jc w:val="left"/>
            </w:pPr>
            <w:r>
              <w:rPr>
                <w:rFonts w:hint="eastAsia"/>
              </w:rPr>
              <w:t>收费方式</w:t>
            </w:r>
          </w:p>
        </w:tc>
        <w:tc>
          <w:tcPr>
            <w:tcW w:w="2769" w:type="dxa"/>
          </w:tcPr>
          <w:p w:rsidR="0033770D" w:rsidRDefault="0033770D" w:rsidP="0033770D">
            <w:pPr>
              <w:jc w:val="left"/>
            </w:pPr>
            <w:r>
              <w:rPr>
                <w:rFonts w:hint="eastAsia"/>
              </w:rPr>
              <w:t>年费率</w:t>
            </w:r>
          </w:p>
        </w:tc>
      </w:tr>
      <w:tr w:rsidR="0033770D" w:rsidTr="0033770D">
        <w:tc>
          <w:tcPr>
            <w:tcW w:w="2768" w:type="dxa"/>
          </w:tcPr>
          <w:p w:rsidR="0033770D" w:rsidRDefault="0033770D" w:rsidP="0033770D">
            <w:pPr>
              <w:jc w:val="left"/>
            </w:pPr>
            <w:r>
              <w:rPr>
                <w:rFonts w:hint="eastAsia"/>
              </w:rPr>
              <w:t>管理费</w:t>
            </w:r>
          </w:p>
        </w:tc>
        <w:tc>
          <w:tcPr>
            <w:tcW w:w="2769" w:type="dxa"/>
          </w:tcPr>
          <w:p w:rsidR="0033770D" w:rsidRDefault="0033770D" w:rsidP="0033770D">
            <w:pPr>
              <w:jc w:val="right"/>
            </w:pPr>
            <w:r>
              <w:t>-</w:t>
            </w:r>
          </w:p>
        </w:tc>
        <w:tc>
          <w:tcPr>
            <w:tcW w:w="2769" w:type="dxa"/>
          </w:tcPr>
          <w:p w:rsidR="0033770D" w:rsidRDefault="0033770D" w:rsidP="0033770D">
            <w:pPr>
              <w:jc w:val="right"/>
            </w:pPr>
            <w:r>
              <w:t>1.50%</w:t>
            </w:r>
          </w:p>
        </w:tc>
      </w:tr>
      <w:tr w:rsidR="0033770D" w:rsidTr="0033770D">
        <w:tc>
          <w:tcPr>
            <w:tcW w:w="2768" w:type="dxa"/>
          </w:tcPr>
          <w:p w:rsidR="0033770D" w:rsidRDefault="0033770D" w:rsidP="0033770D">
            <w:pPr>
              <w:jc w:val="left"/>
            </w:pPr>
            <w:r>
              <w:rPr>
                <w:rFonts w:hint="eastAsia"/>
              </w:rPr>
              <w:t>托管费</w:t>
            </w:r>
          </w:p>
        </w:tc>
        <w:tc>
          <w:tcPr>
            <w:tcW w:w="2769" w:type="dxa"/>
          </w:tcPr>
          <w:p w:rsidR="0033770D" w:rsidRDefault="0033770D" w:rsidP="0033770D">
            <w:pPr>
              <w:jc w:val="right"/>
            </w:pPr>
            <w:r>
              <w:t>-</w:t>
            </w:r>
          </w:p>
        </w:tc>
        <w:tc>
          <w:tcPr>
            <w:tcW w:w="2769" w:type="dxa"/>
          </w:tcPr>
          <w:p w:rsidR="0033770D" w:rsidRDefault="0033770D" w:rsidP="0033770D">
            <w:pPr>
              <w:jc w:val="right"/>
            </w:pPr>
            <w:r>
              <w:t>0.25%</w:t>
            </w:r>
          </w:p>
        </w:tc>
      </w:tr>
      <w:tr w:rsidR="0033770D" w:rsidTr="0033770D">
        <w:tc>
          <w:tcPr>
            <w:tcW w:w="2768" w:type="dxa"/>
          </w:tcPr>
          <w:p w:rsidR="0033770D" w:rsidRDefault="0033770D" w:rsidP="0033770D">
            <w:pPr>
              <w:jc w:val="left"/>
            </w:pPr>
            <w:r>
              <w:rPr>
                <w:rFonts w:hint="eastAsia"/>
              </w:rPr>
              <w:t>销售服务费</w:t>
            </w:r>
          </w:p>
        </w:tc>
        <w:tc>
          <w:tcPr>
            <w:tcW w:w="2769" w:type="dxa"/>
          </w:tcPr>
          <w:p w:rsidR="0033770D" w:rsidRDefault="0033770D" w:rsidP="0033770D">
            <w:pPr>
              <w:jc w:val="right"/>
            </w:pPr>
            <w:r>
              <w:t>-</w:t>
            </w:r>
          </w:p>
        </w:tc>
        <w:tc>
          <w:tcPr>
            <w:tcW w:w="2769" w:type="dxa"/>
          </w:tcPr>
          <w:p w:rsidR="0033770D" w:rsidRDefault="0033770D" w:rsidP="0033770D">
            <w:pPr>
              <w:jc w:val="right"/>
            </w:pPr>
            <w:r>
              <w:t>-</w:t>
            </w:r>
          </w:p>
        </w:tc>
      </w:tr>
      <w:tr w:rsidR="0033770D" w:rsidTr="00D2291D">
        <w:tc>
          <w:tcPr>
            <w:tcW w:w="2768" w:type="dxa"/>
          </w:tcPr>
          <w:p w:rsidR="0033770D" w:rsidRDefault="0033770D" w:rsidP="0033770D">
            <w:pPr>
              <w:jc w:val="left"/>
            </w:pPr>
            <w:r>
              <w:rPr>
                <w:rFonts w:hint="eastAsia"/>
              </w:rPr>
              <w:t>其他费用</w:t>
            </w:r>
          </w:p>
        </w:tc>
        <w:tc>
          <w:tcPr>
            <w:tcW w:w="5538" w:type="dxa"/>
            <w:gridSpan w:val="2"/>
          </w:tcPr>
          <w:p w:rsidR="0033770D" w:rsidRDefault="0033770D" w:rsidP="0033770D">
            <w:pPr>
              <w:jc w:val="left"/>
            </w:pPr>
            <w:r>
              <w:rPr>
                <w:rFonts w:hint="eastAsia"/>
              </w:rPr>
              <w:t>基金的证券交易费用；基金合同生效以后的信息披露费用；基金份额持有人大会费用；基金合同生效以后的会计师费和律师费；按照国家有关规定可以列入的其他费用。</w:t>
            </w:r>
          </w:p>
        </w:tc>
      </w:tr>
    </w:tbl>
    <w:p w:rsidR="0033770D" w:rsidRDefault="0033770D" w:rsidP="0033770D">
      <w:pPr>
        <w:pStyle w:val="-7"/>
        <w:ind w:firstLine="420"/>
        <w:rPr>
          <w:rFonts w:hint="eastAsia"/>
        </w:rPr>
      </w:pPr>
      <w:r>
        <w:rPr>
          <w:rFonts w:hint="eastAsia"/>
        </w:rPr>
        <w:t>注：本基金交易证券、基金等产生的费用和税负，按实际发生额从基金资产扣除。</w:t>
      </w:r>
    </w:p>
    <w:p w:rsidR="0033770D" w:rsidRDefault="0033770D" w:rsidP="0033770D">
      <w:pPr>
        <w:pStyle w:val="-1"/>
        <w:spacing w:before="156" w:after="156"/>
        <w:rPr>
          <w:rFonts w:hint="eastAsia"/>
        </w:rPr>
      </w:pPr>
      <w:r>
        <w:rPr>
          <w:rFonts w:hint="eastAsia"/>
        </w:rPr>
        <w:t>四、风险揭示与重要提示</w:t>
      </w:r>
    </w:p>
    <w:p w:rsidR="0033770D" w:rsidRDefault="0033770D" w:rsidP="0033770D">
      <w:pPr>
        <w:pStyle w:val="-2"/>
        <w:spacing w:before="156" w:after="156"/>
        <w:rPr>
          <w:rFonts w:hint="eastAsia"/>
        </w:rPr>
      </w:pPr>
      <w:r>
        <w:rPr>
          <w:rFonts w:hint="eastAsia"/>
        </w:rPr>
        <w:t>（一）</w:t>
      </w:r>
      <w:r>
        <w:rPr>
          <w:rFonts w:hint="eastAsia"/>
        </w:rPr>
        <w:t xml:space="preserve"> </w:t>
      </w:r>
      <w:r>
        <w:rPr>
          <w:rFonts w:hint="eastAsia"/>
        </w:rPr>
        <w:t>风险揭示</w:t>
      </w:r>
    </w:p>
    <w:p w:rsidR="0033770D" w:rsidRDefault="0033770D" w:rsidP="0033770D">
      <w:pPr>
        <w:pStyle w:val="-"/>
        <w:ind w:firstLine="420"/>
        <w:rPr>
          <w:rFonts w:hint="eastAsia"/>
        </w:rPr>
      </w:pPr>
      <w:r>
        <w:rPr>
          <w:rFonts w:hint="eastAsia"/>
        </w:rPr>
        <w:lastRenderedPageBreak/>
        <w:t>本基金不提供任何保证。投资者可能损失本金。</w:t>
      </w:r>
    </w:p>
    <w:p w:rsidR="0033770D" w:rsidRDefault="0033770D" w:rsidP="0033770D">
      <w:pPr>
        <w:pStyle w:val="-"/>
        <w:ind w:firstLine="420"/>
        <w:rPr>
          <w:rFonts w:hint="eastAsia"/>
        </w:rPr>
      </w:pPr>
      <w:r>
        <w:rPr>
          <w:rFonts w:hint="eastAsia"/>
        </w:rPr>
        <w:t>投资有风险，投资者购买基金时应认真阅读本基金的《招募说明书》等销售文件。</w:t>
      </w:r>
    </w:p>
    <w:p w:rsidR="0033770D" w:rsidRDefault="0033770D" w:rsidP="0033770D">
      <w:pPr>
        <w:pStyle w:val="-"/>
        <w:ind w:firstLine="420"/>
        <w:rPr>
          <w:rFonts w:hint="eastAsia"/>
        </w:rPr>
      </w:pPr>
      <w:r>
        <w:rPr>
          <w:rFonts w:hint="eastAsia"/>
        </w:rPr>
        <w:t>本基金面临的主要风险有市场风险、配置的风险、上市交易的风险、管理风险、流动性风险、本基金法律文件风险收益特征表述与销售机构基金风险评价可能不一致的风险及其他风险等。</w:t>
      </w:r>
    </w:p>
    <w:p w:rsidR="0033770D" w:rsidRDefault="0033770D" w:rsidP="0033770D">
      <w:pPr>
        <w:pStyle w:val="-"/>
        <w:ind w:firstLine="420"/>
        <w:rPr>
          <w:rFonts w:hint="eastAsia"/>
        </w:rPr>
      </w:pPr>
      <w:r>
        <w:rPr>
          <w:rFonts w:hint="eastAsia"/>
        </w:rPr>
        <w:t>配置的风险为：</w:t>
      </w:r>
    </w:p>
    <w:p w:rsidR="0033770D" w:rsidRDefault="0033770D" w:rsidP="0033770D">
      <w:pPr>
        <w:pStyle w:val="-"/>
        <w:ind w:firstLine="420"/>
        <w:rPr>
          <w:rFonts w:hint="eastAsia"/>
        </w:rPr>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33770D" w:rsidRDefault="0033770D" w:rsidP="0033770D">
      <w:pPr>
        <w:pStyle w:val="-"/>
        <w:ind w:firstLine="420"/>
      </w:pPr>
    </w:p>
    <w:p w:rsidR="0033770D" w:rsidRDefault="0033770D" w:rsidP="0033770D">
      <w:pPr>
        <w:pStyle w:val="-"/>
        <w:ind w:firstLine="420"/>
        <w:rPr>
          <w:rFonts w:hint="eastAsia"/>
        </w:rPr>
      </w:pPr>
      <w:r>
        <w:rPr>
          <w:rFonts w:hint="eastAsia"/>
        </w:rPr>
        <w:t>上市交易的风险：</w:t>
      </w:r>
    </w:p>
    <w:p w:rsidR="0033770D" w:rsidRDefault="0033770D" w:rsidP="0033770D">
      <w:pPr>
        <w:pStyle w:val="-"/>
        <w:ind w:firstLine="420"/>
        <w:rPr>
          <w:rFonts w:hint="eastAsia"/>
        </w:rPr>
      </w:pPr>
      <w:r>
        <w:rPr>
          <w:rFonts w:hint="eastAsia"/>
        </w:rPr>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33770D" w:rsidRDefault="0033770D" w:rsidP="0033770D">
      <w:pPr>
        <w:pStyle w:val="-"/>
        <w:ind w:firstLine="420"/>
      </w:pPr>
    </w:p>
    <w:p w:rsidR="0033770D" w:rsidRDefault="0033770D" w:rsidP="0033770D">
      <w:pPr>
        <w:pStyle w:val="-"/>
        <w:ind w:firstLine="420"/>
        <w:rPr>
          <w:rFonts w:hint="eastAsia"/>
        </w:rPr>
      </w:pPr>
      <w:r>
        <w:rPr>
          <w:rFonts w:hint="eastAsia"/>
        </w:rPr>
        <w:t>本基金法律文件风险收益特征表述与销售机构基金风险评价可能不一致的风险：</w:t>
      </w:r>
    </w:p>
    <w:p w:rsidR="0033770D" w:rsidRDefault="0033770D" w:rsidP="0033770D">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33770D" w:rsidRDefault="0033770D" w:rsidP="0033770D">
      <w:pPr>
        <w:pStyle w:val="-"/>
        <w:ind w:firstLine="420"/>
      </w:pPr>
    </w:p>
    <w:p w:rsidR="0033770D" w:rsidRDefault="0033770D" w:rsidP="0033770D">
      <w:pPr>
        <w:pStyle w:val="-"/>
        <w:ind w:firstLine="420"/>
        <w:rPr>
          <w:rFonts w:hint="eastAsia"/>
        </w:rPr>
      </w:pPr>
      <w:r>
        <w:rPr>
          <w:rFonts w:hint="eastAsia"/>
        </w:rPr>
        <w:t>投资于存托凭证的风险：</w:t>
      </w:r>
    </w:p>
    <w:p w:rsidR="0033770D" w:rsidRDefault="0033770D" w:rsidP="0033770D">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3770D" w:rsidRDefault="0033770D" w:rsidP="0033770D">
      <w:pPr>
        <w:pStyle w:val="-"/>
        <w:ind w:firstLine="420"/>
      </w:pPr>
    </w:p>
    <w:p w:rsidR="0033770D" w:rsidRDefault="0033770D" w:rsidP="0033770D">
      <w:pPr>
        <w:pStyle w:val="-"/>
        <w:ind w:firstLine="420"/>
        <w:rPr>
          <w:rFonts w:hint="eastAsia"/>
        </w:rPr>
      </w:pPr>
      <w:r>
        <w:rPr>
          <w:rFonts w:hint="eastAsia"/>
        </w:rPr>
        <w:t>实施备用的流动性风险管理工具的情形、程序及对投资者的潜在影响：</w:t>
      </w:r>
    </w:p>
    <w:p w:rsidR="0033770D" w:rsidRDefault="0033770D" w:rsidP="0033770D">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3770D" w:rsidRDefault="0033770D" w:rsidP="0033770D">
      <w:pPr>
        <w:pStyle w:val="-2"/>
        <w:spacing w:before="156" w:after="156"/>
      </w:pPr>
      <w:r>
        <w:rPr>
          <w:rFonts w:hint="eastAsia"/>
        </w:rPr>
        <w:t>（二）</w:t>
      </w:r>
      <w:r>
        <w:t xml:space="preserve"> </w:t>
      </w:r>
      <w:r>
        <w:t>重要提示</w:t>
      </w:r>
    </w:p>
    <w:p w:rsidR="0033770D" w:rsidRDefault="0033770D" w:rsidP="0033770D">
      <w:pPr>
        <w:pStyle w:val="-"/>
        <w:ind w:firstLine="420"/>
        <w:rPr>
          <w:rFonts w:hint="eastAsia"/>
        </w:rPr>
      </w:pPr>
      <w:r>
        <w:rPr>
          <w:rFonts w:hint="eastAsia"/>
        </w:rPr>
        <w:lastRenderedPageBreak/>
        <w:t>南方高增长混合型证券投资基金（以下简称“本基金”）经中国证监会</w:t>
      </w:r>
      <w:r>
        <w:rPr>
          <w:rFonts w:hint="eastAsia"/>
        </w:rPr>
        <w:t>2005</w:t>
      </w:r>
      <w:r>
        <w:rPr>
          <w:rFonts w:hint="eastAsia"/>
        </w:rPr>
        <w:t>年</w:t>
      </w:r>
      <w:r>
        <w:rPr>
          <w:rFonts w:hint="eastAsia"/>
        </w:rPr>
        <w:t>5</w:t>
      </w:r>
      <w:r>
        <w:rPr>
          <w:rFonts w:hint="eastAsia"/>
        </w:rPr>
        <w:t>月</w:t>
      </w:r>
      <w:r>
        <w:rPr>
          <w:rFonts w:hint="eastAsia"/>
        </w:rPr>
        <w:t>13</w:t>
      </w:r>
      <w:r>
        <w:rPr>
          <w:rFonts w:hint="eastAsia"/>
        </w:rPr>
        <w:t>日证监基金字</w:t>
      </w:r>
      <w:r>
        <w:rPr>
          <w:rFonts w:hint="eastAsia"/>
        </w:rPr>
        <w:t>[2005]82</w:t>
      </w:r>
      <w:r>
        <w:rPr>
          <w:rFonts w:hint="eastAsia"/>
        </w:rPr>
        <w:t>号文批准发起设立。中国证监会对本基金募集的核准，并不表明其对本基金的价值和收益作出实质性判断或保证，也不表明投资于本基金没有风险。</w:t>
      </w:r>
    </w:p>
    <w:p w:rsidR="0033770D" w:rsidRDefault="0033770D" w:rsidP="0033770D">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3770D" w:rsidRDefault="0033770D" w:rsidP="0033770D">
      <w:pPr>
        <w:pStyle w:val="-"/>
        <w:ind w:firstLine="420"/>
        <w:rPr>
          <w:rFonts w:hint="eastAsia"/>
        </w:rPr>
      </w:pPr>
      <w:r>
        <w:rPr>
          <w:rFonts w:hint="eastAsia"/>
        </w:rPr>
        <w:t>基金投资者自依基金合同取得基金份额，即成为基金份额持有人和基金合同的当事人。</w:t>
      </w:r>
    </w:p>
    <w:p w:rsidR="0033770D" w:rsidRDefault="0033770D" w:rsidP="0033770D">
      <w:pPr>
        <w:pStyle w:val="-"/>
        <w:ind w:firstLine="420"/>
        <w:rPr>
          <w:rFonts w:hint="eastAsia"/>
        </w:rPr>
      </w:pPr>
      <w:r>
        <w:rPr>
          <w:rFonts w:hint="eastAsia"/>
        </w:rPr>
        <w:t>与本基金</w:t>
      </w:r>
      <w:r>
        <w:rPr>
          <w:rFonts w:hint="eastAsia"/>
        </w:rPr>
        <w:t>/</w:t>
      </w:r>
      <w:r>
        <w:rPr>
          <w:rFonts w:hint="eastAsia"/>
        </w:rPr>
        <w:t>基金合同相关的争议可首先通过友好协商或调解解决。自一方书面要求协商解决争议之日起六十日内如果争议未能以协商或调解方式解决，则任何一方有权将争议提交中国国际经济贸易仲裁委员会，根据提交仲裁时有效的仲裁规则进行仲裁，仲裁地点为深圳。</w:t>
      </w:r>
    </w:p>
    <w:p w:rsidR="0033770D" w:rsidRDefault="0033770D" w:rsidP="0033770D">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3770D" w:rsidRDefault="0033770D" w:rsidP="0033770D">
      <w:pPr>
        <w:pStyle w:val="-1"/>
        <w:spacing w:before="156" w:after="156"/>
        <w:rPr>
          <w:rFonts w:hint="eastAsia"/>
        </w:rPr>
      </w:pPr>
      <w:r>
        <w:rPr>
          <w:rFonts w:hint="eastAsia"/>
        </w:rPr>
        <w:t>五、其他资料查询方式</w:t>
      </w:r>
    </w:p>
    <w:p w:rsidR="0033770D" w:rsidRDefault="0033770D" w:rsidP="0033770D">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3770D" w:rsidRDefault="0033770D" w:rsidP="0033770D">
      <w:pPr>
        <w:pStyle w:val="-"/>
        <w:ind w:firstLine="420"/>
        <w:rPr>
          <w:rFonts w:hint="eastAsia"/>
        </w:rPr>
      </w:pPr>
      <w:r>
        <w:rPr>
          <w:rFonts w:hint="eastAsia"/>
        </w:rPr>
        <w:t>●《南方高增长混合型证券投资基金基金合同》、</w:t>
      </w:r>
    </w:p>
    <w:p w:rsidR="0033770D" w:rsidRDefault="0033770D" w:rsidP="0033770D">
      <w:pPr>
        <w:pStyle w:val="-"/>
        <w:ind w:firstLine="420"/>
        <w:rPr>
          <w:rFonts w:hint="eastAsia"/>
        </w:rPr>
      </w:pPr>
      <w:r>
        <w:rPr>
          <w:rFonts w:hint="eastAsia"/>
        </w:rPr>
        <w:t>《南方高增长混合型证券投资基金托管协议》、</w:t>
      </w:r>
    </w:p>
    <w:p w:rsidR="0033770D" w:rsidRDefault="0033770D" w:rsidP="0033770D">
      <w:pPr>
        <w:pStyle w:val="-"/>
        <w:ind w:firstLine="420"/>
        <w:rPr>
          <w:rFonts w:hint="eastAsia"/>
        </w:rPr>
      </w:pPr>
      <w:r>
        <w:rPr>
          <w:rFonts w:hint="eastAsia"/>
        </w:rPr>
        <w:t>《南方高增长混合型证券投资基金招募说明书》</w:t>
      </w:r>
    </w:p>
    <w:p w:rsidR="0033770D" w:rsidRDefault="0033770D" w:rsidP="0033770D">
      <w:pPr>
        <w:pStyle w:val="-"/>
        <w:ind w:firstLine="420"/>
        <w:rPr>
          <w:rFonts w:hint="eastAsia"/>
        </w:rPr>
      </w:pPr>
      <w:r>
        <w:rPr>
          <w:rFonts w:hint="eastAsia"/>
        </w:rPr>
        <w:t>●定期报告、包括基金季度报告、中期报告和年度报告</w:t>
      </w:r>
    </w:p>
    <w:p w:rsidR="0033770D" w:rsidRDefault="0033770D" w:rsidP="0033770D">
      <w:pPr>
        <w:pStyle w:val="-"/>
        <w:ind w:firstLine="420"/>
        <w:rPr>
          <w:rFonts w:hint="eastAsia"/>
        </w:rPr>
      </w:pPr>
      <w:r>
        <w:rPr>
          <w:rFonts w:hint="eastAsia"/>
        </w:rPr>
        <w:t>●基金份额净值</w:t>
      </w:r>
    </w:p>
    <w:p w:rsidR="0033770D" w:rsidRDefault="0033770D" w:rsidP="0033770D">
      <w:pPr>
        <w:pStyle w:val="-"/>
        <w:ind w:firstLine="420"/>
        <w:rPr>
          <w:rFonts w:hint="eastAsia"/>
        </w:rPr>
      </w:pPr>
      <w:r>
        <w:rPr>
          <w:rFonts w:hint="eastAsia"/>
        </w:rPr>
        <w:t>●基金销售机构及联系方式</w:t>
      </w:r>
    </w:p>
    <w:p w:rsidR="0033770D" w:rsidRDefault="0033770D" w:rsidP="0033770D">
      <w:pPr>
        <w:pStyle w:val="-"/>
        <w:ind w:firstLine="420"/>
        <w:rPr>
          <w:rFonts w:hint="eastAsia"/>
        </w:rPr>
      </w:pPr>
      <w:r>
        <w:rPr>
          <w:rFonts w:hint="eastAsia"/>
        </w:rPr>
        <w:t>●其他重要资料</w:t>
      </w:r>
    </w:p>
    <w:p w:rsidR="0033770D" w:rsidRDefault="0033770D" w:rsidP="0033770D">
      <w:pPr>
        <w:pStyle w:val="-1"/>
        <w:spacing w:before="156" w:after="156"/>
        <w:rPr>
          <w:rFonts w:hint="eastAsia"/>
        </w:rPr>
      </w:pPr>
      <w:r>
        <w:rPr>
          <w:rFonts w:hint="eastAsia"/>
        </w:rPr>
        <w:t>六、其他情况说明</w:t>
      </w:r>
    </w:p>
    <w:p w:rsidR="0033770D" w:rsidRDefault="0033770D" w:rsidP="0033770D">
      <w:pPr>
        <w:pStyle w:val="-"/>
        <w:ind w:firstLine="420"/>
        <w:rPr>
          <w:rFonts w:hint="eastAsia"/>
        </w:rPr>
      </w:pPr>
      <w:bookmarkStart w:id="0" w:name="_GoBack"/>
      <w:bookmarkEnd w:id="0"/>
      <w:r>
        <w:rPr>
          <w:rFonts w:hint="eastAsia"/>
        </w:rPr>
        <w:t>暂无。</w:t>
      </w:r>
    </w:p>
    <w:p w:rsidR="00E67375" w:rsidRPr="00ED7F31" w:rsidRDefault="0033770D" w:rsidP="0033770D">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0D" w:rsidRDefault="003377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3770D" w:rsidRPr="0033770D">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0D" w:rsidRDefault="003377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0D" w:rsidRDefault="003377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3770D" w:rsidP="00CE07B7">
    <w:pPr>
      <w:pStyle w:val="a6"/>
      <w:jc w:val="right"/>
    </w:pPr>
    <w:r>
      <w:rPr>
        <w:rFonts w:hint="eastAsia"/>
      </w:rPr>
      <w:t>南方高增长混合型证券投资基金基金产品资料概要（</w:t>
    </w:r>
    <w:r>
      <w:rPr>
        <w:rFonts w:hint="eastAsia"/>
      </w:rPr>
      <w:t>20210825</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70D" w:rsidRDefault="003377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3770D"/>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B680-E3D9-4504-85F7-2F0959C7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648</Words>
  <Characters>3696</Characters>
  <Application>Microsoft Office Word</Application>
  <DocSecurity>0</DocSecurity>
  <Lines>30</Lines>
  <Paragraphs>8</Paragraphs>
  <ScaleCrop>false</ScaleCrop>
  <Company>MC SYSTEM</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2021-08-18T06:16:00Z</dcterms:created>
  <dcterms:modified xsi:type="dcterms:W3CDTF">2021-08-18T06:16:00Z</dcterms:modified>
</cp:coreProperties>
</file>