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70266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南方启元债券型证券投资基金（</w:t>
      </w:r>
      <w:r>
        <w:rPr>
          <w:rFonts w:ascii="宋体" w:hAnsi="方正黑体简体" w:cs="方正黑体简体"/>
          <w:b/>
          <w:bCs/>
          <w:iCs/>
          <w:sz w:val="31"/>
          <w:szCs w:val="36"/>
        </w:rPr>
        <w:t>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02665">
        <w:rPr>
          <w:rFonts w:ascii="仿宋" w:hAnsi="仿宋"/>
          <w:color w:val="000000" w:themeColor="text1"/>
          <w:sz w:val="24"/>
          <w:szCs w:val="24"/>
        </w:rPr>
        <w:t>2021年7月22日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702665">
        <w:rPr>
          <w:rFonts w:ascii="仿宋" w:hAnsi="仿宋"/>
          <w:color w:val="000000" w:themeColor="text1"/>
          <w:sz w:val="24"/>
          <w:szCs w:val="24"/>
        </w:rPr>
        <w:t>2021年8月20日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702665" w:rsidRDefault="00702665" w:rsidP="0070266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702665" w:rsidTr="00702665">
        <w:tc>
          <w:tcPr>
            <w:tcW w:w="2076" w:type="dxa"/>
          </w:tcPr>
          <w:p w:rsidR="00702665" w:rsidRDefault="00702665" w:rsidP="00702665">
            <w:pPr>
              <w:jc w:val="left"/>
            </w:pPr>
            <w:r>
              <w:rPr>
                <w:rFonts w:hint="eastAsia"/>
              </w:rPr>
              <w:t>基金简称</w:t>
            </w:r>
          </w:p>
        </w:tc>
        <w:tc>
          <w:tcPr>
            <w:tcW w:w="2076" w:type="dxa"/>
          </w:tcPr>
          <w:p w:rsidR="00702665" w:rsidRDefault="00702665" w:rsidP="00702665">
            <w:pPr>
              <w:jc w:val="left"/>
            </w:pPr>
            <w:r>
              <w:rPr>
                <w:rFonts w:hint="eastAsia"/>
              </w:rPr>
              <w:t>南方启元债券</w:t>
            </w:r>
            <w:r>
              <w:rPr>
                <w:rFonts w:hint="eastAsia"/>
              </w:rPr>
              <w:t>C</w:t>
            </w:r>
          </w:p>
        </w:tc>
        <w:tc>
          <w:tcPr>
            <w:tcW w:w="2077" w:type="dxa"/>
          </w:tcPr>
          <w:p w:rsidR="00702665" w:rsidRDefault="00702665" w:rsidP="00702665">
            <w:pPr>
              <w:jc w:val="left"/>
            </w:pPr>
            <w:r>
              <w:rPr>
                <w:rFonts w:hint="eastAsia"/>
              </w:rPr>
              <w:t>基金代码</w:t>
            </w:r>
          </w:p>
        </w:tc>
        <w:tc>
          <w:tcPr>
            <w:tcW w:w="2077" w:type="dxa"/>
          </w:tcPr>
          <w:p w:rsidR="00702665" w:rsidRDefault="00702665" w:rsidP="00702665">
            <w:pPr>
              <w:jc w:val="left"/>
            </w:pPr>
            <w:r>
              <w:t>000562</w:t>
            </w:r>
          </w:p>
        </w:tc>
      </w:tr>
      <w:tr w:rsidR="00702665" w:rsidTr="00702665">
        <w:tc>
          <w:tcPr>
            <w:tcW w:w="2076" w:type="dxa"/>
          </w:tcPr>
          <w:p w:rsidR="00702665" w:rsidRDefault="00702665" w:rsidP="00702665">
            <w:pPr>
              <w:jc w:val="left"/>
            </w:pPr>
            <w:r>
              <w:rPr>
                <w:rFonts w:hint="eastAsia"/>
              </w:rPr>
              <w:t>基金管理人</w:t>
            </w:r>
          </w:p>
        </w:tc>
        <w:tc>
          <w:tcPr>
            <w:tcW w:w="2076" w:type="dxa"/>
          </w:tcPr>
          <w:p w:rsidR="00702665" w:rsidRDefault="00702665" w:rsidP="00702665">
            <w:pPr>
              <w:jc w:val="left"/>
            </w:pPr>
            <w:r>
              <w:rPr>
                <w:rFonts w:hint="eastAsia"/>
              </w:rPr>
              <w:t>南方基金管理股份有限公司</w:t>
            </w:r>
          </w:p>
        </w:tc>
        <w:tc>
          <w:tcPr>
            <w:tcW w:w="2077" w:type="dxa"/>
          </w:tcPr>
          <w:p w:rsidR="00702665" w:rsidRDefault="00702665" w:rsidP="00702665">
            <w:pPr>
              <w:jc w:val="left"/>
            </w:pPr>
            <w:r>
              <w:rPr>
                <w:rFonts w:hint="eastAsia"/>
              </w:rPr>
              <w:t>基金托管人</w:t>
            </w:r>
          </w:p>
        </w:tc>
        <w:tc>
          <w:tcPr>
            <w:tcW w:w="2077" w:type="dxa"/>
          </w:tcPr>
          <w:p w:rsidR="00702665" w:rsidRDefault="00702665" w:rsidP="00702665">
            <w:pPr>
              <w:jc w:val="left"/>
            </w:pPr>
            <w:r>
              <w:rPr>
                <w:rFonts w:hint="eastAsia"/>
              </w:rPr>
              <w:t>中国银行股份有限公司</w:t>
            </w:r>
          </w:p>
        </w:tc>
      </w:tr>
      <w:tr w:rsidR="00702665" w:rsidTr="00512FAF">
        <w:tc>
          <w:tcPr>
            <w:tcW w:w="2076" w:type="dxa"/>
          </w:tcPr>
          <w:p w:rsidR="00702665" w:rsidRDefault="00702665" w:rsidP="00702665">
            <w:pPr>
              <w:jc w:val="left"/>
            </w:pPr>
            <w:r>
              <w:rPr>
                <w:rFonts w:hint="eastAsia"/>
              </w:rPr>
              <w:t>基金合同生效日</w:t>
            </w:r>
          </w:p>
        </w:tc>
        <w:tc>
          <w:tcPr>
            <w:tcW w:w="6230" w:type="dxa"/>
            <w:gridSpan w:val="3"/>
          </w:tcPr>
          <w:p w:rsidR="00702665" w:rsidRDefault="00702665" w:rsidP="00702665">
            <w:pPr>
              <w:jc w:val="left"/>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p>
        </w:tc>
      </w:tr>
      <w:tr w:rsidR="00702665" w:rsidTr="00702665">
        <w:tc>
          <w:tcPr>
            <w:tcW w:w="2076" w:type="dxa"/>
          </w:tcPr>
          <w:p w:rsidR="00702665" w:rsidRDefault="00702665" w:rsidP="00702665">
            <w:pPr>
              <w:jc w:val="left"/>
            </w:pPr>
            <w:r>
              <w:rPr>
                <w:rFonts w:hint="eastAsia"/>
              </w:rPr>
              <w:t>基金类型</w:t>
            </w:r>
          </w:p>
        </w:tc>
        <w:tc>
          <w:tcPr>
            <w:tcW w:w="2076" w:type="dxa"/>
          </w:tcPr>
          <w:p w:rsidR="00702665" w:rsidRDefault="00702665" w:rsidP="00702665">
            <w:pPr>
              <w:jc w:val="left"/>
            </w:pPr>
            <w:r>
              <w:rPr>
                <w:rFonts w:hint="eastAsia"/>
              </w:rPr>
              <w:t>债券型</w:t>
            </w:r>
          </w:p>
        </w:tc>
        <w:tc>
          <w:tcPr>
            <w:tcW w:w="2077" w:type="dxa"/>
          </w:tcPr>
          <w:p w:rsidR="00702665" w:rsidRDefault="00702665" w:rsidP="00702665">
            <w:pPr>
              <w:jc w:val="left"/>
            </w:pPr>
            <w:r>
              <w:rPr>
                <w:rFonts w:hint="eastAsia"/>
              </w:rPr>
              <w:t>交易币种</w:t>
            </w:r>
          </w:p>
        </w:tc>
        <w:tc>
          <w:tcPr>
            <w:tcW w:w="2077" w:type="dxa"/>
          </w:tcPr>
          <w:p w:rsidR="00702665" w:rsidRDefault="00702665" w:rsidP="00702665">
            <w:pPr>
              <w:jc w:val="left"/>
            </w:pPr>
            <w:r>
              <w:rPr>
                <w:rFonts w:hint="eastAsia"/>
              </w:rPr>
              <w:t>人民币</w:t>
            </w:r>
          </w:p>
        </w:tc>
      </w:tr>
      <w:tr w:rsidR="00702665" w:rsidTr="00A01059">
        <w:tc>
          <w:tcPr>
            <w:tcW w:w="2076" w:type="dxa"/>
          </w:tcPr>
          <w:p w:rsidR="00702665" w:rsidRDefault="00702665" w:rsidP="00702665">
            <w:pPr>
              <w:jc w:val="left"/>
            </w:pPr>
            <w:r>
              <w:rPr>
                <w:rFonts w:hint="eastAsia"/>
              </w:rPr>
              <w:t>运作方式</w:t>
            </w:r>
          </w:p>
        </w:tc>
        <w:tc>
          <w:tcPr>
            <w:tcW w:w="6230" w:type="dxa"/>
            <w:gridSpan w:val="3"/>
          </w:tcPr>
          <w:p w:rsidR="00702665" w:rsidRDefault="00702665" w:rsidP="00702665">
            <w:pPr>
              <w:jc w:val="left"/>
            </w:pPr>
            <w:r>
              <w:rPr>
                <w:rFonts w:hint="eastAsia"/>
              </w:rPr>
              <w:t>普通开放式</w:t>
            </w:r>
          </w:p>
        </w:tc>
      </w:tr>
      <w:tr w:rsidR="00702665" w:rsidTr="00A93434">
        <w:tc>
          <w:tcPr>
            <w:tcW w:w="2076" w:type="dxa"/>
          </w:tcPr>
          <w:p w:rsidR="00702665" w:rsidRDefault="00702665" w:rsidP="00702665">
            <w:pPr>
              <w:jc w:val="left"/>
            </w:pPr>
            <w:r>
              <w:rPr>
                <w:rFonts w:hint="eastAsia"/>
              </w:rPr>
              <w:t>开放频率</w:t>
            </w:r>
          </w:p>
        </w:tc>
        <w:tc>
          <w:tcPr>
            <w:tcW w:w="6230" w:type="dxa"/>
            <w:gridSpan w:val="3"/>
          </w:tcPr>
          <w:p w:rsidR="00702665" w:rsidRDefault="00702665" w:rsidP="00702665">
            <w:pPr>
              <w:jc w:val="left"/>
            </w:pPr>
            <w:r>
              <w:rPr>
                <w:rFonts w:hint="eastAsia"/>
              </w:rPr>
              <w:t>每个开放日</w:t>
            </w:r>
          </w:p>
        </w:tc>
      </w:tr>
      <w:tr w:rsidR="00702665" w:rsidTr="00702665">
        <w:tc>
          <w:tcPr>
            <w:tcW w:w="2076" w:type="dxa"/>
            <w:vMerge w:val="restart"/>
          </w:tcPr>
          <w:p w:rsidR="00702665" w:rsidRDefault="00702665" w:rsidP="00702665">
            <w:pPr>
              <w:jc w:val="left"/>
            </w:pPr>
            <w:r>
              <w:rPr>
                <w:rFonts w:hint="eastAsia"/>
              </w:rPr>
              <w:t>基金经理</w:t>
            </w:r>
          </w:p>
        </w:tc>
        <w:tc>
          <w:tcPr>
            <w:tcW w:w="2076" w:type="dxa"/>
            <w:vMerge w:val="restart"/>
          </w:tcPr>
          <w:p w:rsidR="00702665" w:rsidRDefault="00702665" w:rsidP="00702665">
            <w:pPr>
              <w:jc w:val="left"/>
            </w:pPr>
            <w:r>
              <w:rPr>
                <w:rFonts w:hint="eastAsia"/>
              </w:rPr>
              <w:t>黄河</w:t>
            </w:r>
          </w:p>
        </w:tc>
        <w:tc>
          <w:tcPr>
            <w:tcW w:w="2077" w:type="dxa"/>
          </w:tcPr>
          <w:p w:rsidR="00702665" w:rsidRDefault="00702665" w:rsidP="00702665">
            <w:pPr>
              <w:jc w:val="left"/>
            </w:pPr>
            <w:r>
              <w:rPr>
                <w:rFonts w:hint="eastAsia"/>
              </w:rPr>
              <w:t>开始担任本基金基金经理的日期</w:t>
            </w:r>
          </w:p>
        </w:tc>
        <w:tc>
          <w:tcPr>
            <w:tcW w:w="2077" w:type="dxa"/>
          </w:tcPr>
          <w:p w:rsidR="00702665" w:rsidRDefault="00702665" w:rsidP="00702665">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r>
      <w:tr w:rsidR="00702665" w:rsidTr="00702665">
        <w:tc>
          <w:tcPr>
            <w:tcW w:w="2076" w:type="dxa"/>
            <w:vMerge/>
          </w:tcPr>
          <w:p w:rsidR="00702665" w:rsidRDefault="00702665" w:rsidP="00702665">
            <w:pPr>
              <w:jc w:val="left"/>
            </w:pPr>
          </w:p>
        </w:tc>
        <w:tc>
          <w:tcPr>
            <w:tcW w:w="2076" w:type="dxa"/>
            <w:vMerge/>
          </w:tcPr>
          <w:p w:rsidR="00702665" w:rsidRDefault="00702665" w:rsidP="00702665">
            <w:pPr>
              <w:jc w:val="left"/>
            </w:pPr>
          </w:p>
        </w:tc>
        <w:tc>
          <w:tcPr>
            <w:tcW w:w="2077" w:type="dxa"/>
          </w:tcPr>
          <w:p w:rsidR="00702665" w:rsidRDefault="00702665" w:rsidP="00702665">
            <w:pPr>
              <w:jc w:val="left"/>
            </w:pPr>
            <w:r>
              <w:rPr>
                <w:rFonts w:hint="eastAsia"/>
              </w:rPr>
              <w:t>证券从业日期</w:t>
            </w:r>
          </w:p>
        </w:tc>
        <w:tc>
          <w:tcPr>
            <w:tcW w:w="2077" w:type="dxa"/>
          </w:tcPr>
          <w:p w:rsidR="00702665" w:rsidRDefault="00702665" w:rsidP="00702665">
            <w:pPr>
              <w:jc w:val="left"/>
            </w:pPr>
            <w:r>
              <w:rPr>
                <w:rFonts w:hint="eastAsia"/>
              </w:rPr>
              <w:t>2010</w:t>
            </w:r>
            <w:r>
              <w:rPr>
                <w:rFonts w:hint="eastAsia"/>
              </w:rPr>
              <w:t>年</w:t>
            </w:r>
            <w:r>
              <w:rPr>
                <w:rFonts w:hint="eastAsia"/>
              </w:rPr>
              <w:t>7</w:t>
            </w:r>
            <w:r>
              <w:rPr>
                <w:rFonts w:hint="eastAsia"/>
              </w:rPr>
              <w:t>月</w:t>
            </w:r>
            <w:r>
              <w:rPr>
                <w:rFonts w:hint="eastAsia"/>
              </w:rPr>
              <w:t>12</w:t>
            </w:r>
            <w:r>
              <w:rPr>
                <w:rFonts w:hint="eastAsia"/>
              </w:rPr>
              <w:t>日</w:t>
            </w:r>
          </w:p>
        </w:tc>
      </w:tr>
      <w:tr w:rsidR="00702665" w:rsidTr="00FA704A">
        <w:tc>
          <w:tcPr>
            <w:tcW w:w="2076" w:type="dxa"/>
          </w:tcPr>
          <w:p w:rsidR="00702665" w:rsidRDefault="00702665" w:rsidP="00702665">
            <w:pPr>
              <w:jc w:val="left"/>
            </w:pPr>
            <w:r>
              <w:rPr>
                <w:rFonts w:hint="eastAsia"/>
              </w:rPr>
              <w:t>其他</w:t>
            </w:r>
          </w:p>
        </w:tc>
        <w:tc>
          <w:tcPr>
            <w:tcW w:w="6230" w:type="dxa"/>
            <w:gridSpan w:val="3"/>
          </w:tcPr>
          <w:p w:rsidR="00702665" w:rsidRDefault="00702665" w:rsidP="00702665">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702665" w:rsidRDefault="00702665" w:rsidP="00702665">
            <w:pPr>
              <w:jc w:val="left"/>
            </w:pPr>
            <w:r>
              <w:rPr>
                <w:rFonts w:hint="eastAsia"/>
              </w:rPr>
              <w:t>法律法规或中国证监会另有规定时，从其规定。</w:t>
            </w:r>
          </w:p>
        </w:tc>
      </w:tr>
    </w:tbl>
    <w:p w:rsidR="00702665" w:rsidRDefault="00702665" w:rsidP="00702665">
      <w:pPr>
        <w:pStyle w:val="-1"/>
        <w:spacing w:before="156" w:after="156"/>
        <w:rPr>
          <w:rFonts w:hint="eastAsia"/>
        </w:rPr>
      </w:pPr>
      <w:r>
        <w:rPr>
          <w:rFonts w:hint="eastAsia"/>
        </w:rPr>
        <w:t>二、基金投资与净值表现</w:t>
      </w:r>
    </w:p>
    <w:p w:rsidR="00702665" w:rsidRDefault="00702665" w:rsidP="00702665">
      <w:pPr>
        <w:pStyle w:val="-2"/>
        <w:spacing w:before="156" w:after="156"/>
        <w:rPr>
          <w:rFonts w:hint="eastAsia"/>
        </w:rPr>
      </w:pPr>
      <w:r>
        <w:rPr>
          <w:rFonts w:hint="eastAsia"/>
        </w:rPr>
        <w:t>（一）</w:t>
      </w:r>
      <w:r>
        <w:rPr>
          <w:rFonts w:hint="eastAsia"/>
        </w:rPr>
        <w:t xml:space="preserve"> </w:t>
      </w:r>
      <w:r>
        <w:rPr>
          <w:rFonts w:hint="eastAsia"/>
        </w:rPr>
        <w:t>投资目标与投资策略</w:t>
      </w:r>
    </w:p>
    <w:p w:rsidR="00702665" w:rsidRDefault="00702665" w:rsidP="00702665">
      <w:pPr>
        <w:pStyle w:val="-"/>
        <w:ind w:firstLine="420"/>
        <w:rPr>
          <w:rFonts w:hint="eastAsia"/>
        </w:rPr>
      </w:pPr>
      <w:r>
        <w:rPr>
          <w:rFonts w:hint="eastAsia"/>
        </w:rPr>
        <w:t>请投资者阅读《南方启元债券型证券投资基金招募说明书》第九部分“基金的投资”了解详细情况。</w:t>
      </w:r>
    </w:p>
    <w:tbl>
      <w:tblPr>
        <w:tblStyle w:val="-noheader"/>
        <w:tblW w:w="8505" w:type="dxa"/>
        <w:tblLayout w:type="fixed"/>
        <w:tblLook w:val="04A0" w:firstRow="1" w:lastRow="0" w:firstColumn="1" w:lastColumn="0" w:noHBand="0" w:noVBand="1"/>
      </w:tblPr>
      <w:tblGrid>
        <w:gridCol w:w="1701"/>
        <w:gridCol w:w="6804"/>
      </w:tblGrid>
      <w:tr w:rsidR="00702665" w:rsidTr="00702665">
        <w:tc>
          <w:tcPr>
            <w:tcW w:w="8505" w:type="nil"/>
          </w:tcPr>
          <w:p w:rsidR="00702665" w:rsidRDefault="00702665" w:rsidP="00702665">
            <w:pPr>
              <w:pStyle w:val="-"/>
              <w:shd w:val="clear" w:color="auto" w:fill="auto"/>
              <w:ind w:firstLineChars="0" w:firstLine="0"/>
              <w:jc w:val="left"/>
            </w:pPr>
            <w:r>
              <w:rPr>
                <w:rFonts w:hint="eastAsia"/>
              </w:rPr>
              <w:t>投资目标</w:t>
            </w:r>
          </w:p>
        </w:tc>
        <w:tc>
          <w:tcPr>
            <w:tcW w:w="8505" w:type="nil"/>
          </w:tcPr>
          <w:p w:rsidR="00702665" w:rsidRDefault="00702665" w:rsidP="00702665">
            <w:pPr>
              <w:pStyle w:val="-"/>
              <w:shd w:val="clear" w:color="auto" w:fill="auto"/>
              <w:ind w:firstLineChars="0" w:firstLine="0"/>
              <w:jc w:val="left"/>
            </w:pPr>
            <w:r>
              <w:rPr>
                <w:rFonts w:hint="eastAsia"/>
              </w:rPr>
              <w:t>本基金在严格控制风险的前提下，力争获得高于业绩比较基准的投资收益。</w:t>
            </w:r>
          </w:p>
        </w:tc>
      </w:tr>
      <w:tr w:rsidR="00702665" w:rsidTr="00702665">
        <w:tc>
          <w:tcPr>
            <w:tcW w:w="8505" w:type="nil"/>
          </w:tcPr>
          <w:p w:rsidR="00702665" w:rsidRDefault="00702665" w:rsidP="00702665">
            <w:pPr>
              <w:pStyle w:val="-"/>
              <w:shd w:val="clear" w:color="auto" w:fill="auto"/>
              <w:ind w:firstLineChars="0" w:firstLine="0"/>
              <w:jc w:val="left"/>
            </w:pPr>
            <w:r>
              <w:rPr>
                <w:rFonts w:hint="eastAsia"/>
              </w:rPr>
              <w:t>投资范围</w:t>
            </w:r>
          </w:p>
        </w:tc>
        <w:tc>
          <w:tcPr>
            <w:tcW w:w="8505" w:type="nil"/>
          </w:tcPr>
          <w:p w:rsidR="00702665" w:rsidRDefault="00702665" w:rsidP="00702665">
            <w:pPr>
              <w:pStyle w:val="-"/>
              <w:shd w:val="clear" w:color="auto" w:fill="auto"/>
              <w:ind w:firstLineChars="0" w:firstLine="0"/>
              <w:jc w:val="left"/>
            </w:pPr>
            <w:r>
              <w:rPr>
                <w:rFonts w:hint="eastAsia"/>
              </w:rPr>
              <w:t>本基金主要投资于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702665" w:rsidRDefault="00702665" w:rsidP="00702665">
            <w:pPr>
              <w:pStyle w:val="-"/>
              <w:shd w:val="clear" w:color="auto" w:fill="auto"/>
              <w:ind w:firstLineChars="0" w:firstLine="0"/>
              <w:jc w:val="left"/>
            </w:pPr>
            <w:r>
              <w:rPr>
                <w:rFonts w:hint="eastAsia"/>
              </w:rPr>
              <w:t>本基金对债券资产的投资比例合计不低于基金资产的</w:t>
            </w:r>
            <w:r>
              <w:t>80%</w:t>
            </w:r>
            <w:r>
              <w:t>。本基金每个交易日日终在扣除国债期货合约需缴纳的交易保证金后，应</w:t>
            </w:r>
            <w:r>
              <w:rPr>
                <w:rFonts w:hint="eastAsia"/>
              </w:rPr>
              <w:t>当保持不低</w:t>
            </w:r>
            <w:r>
              <w:rPr>
                <w:rFonts w:hint="eastAsia"/>
              </w:rPr>
              <w:lastRenderedPageBreak/>
              <w:t>于基金资产净值</w:t>
            </w:r>
            <w:r>
              <w:t>5%</w:t>
            </w:r>
            <w:r>
              <w:t>的现金或者到期日在一年以内的政府债券。本基金不投资于股票。</w:t>
            </w:r>
          </w:p>
          <w:p w:rsidR="00702665" w:rsidRDefault="00702665" w:rsidP="00702665">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702665" w:rsidTr="00702665">
        <w:tc>
          <w:tcPr>
            <w:tcW w:w="8505" w:type="nil"/>
          </w:tcPr>
          <w:p w:rsidR="00702665" w:rsidRDefault="00702665" w:rsidP="00702665">
            <w:pPr>
              <w:pStyle w:val="-"/>
              <w:shd w:val="clear" w:color="auto" w:fill="auto"/>
              <w:ind w:firstLineChars="0" w:firstLine="0"/>
              <w:jc w:val="left"/>
            </w:pPr>
            <w:r>
              <w:rPr>
                <w:rFonts w:hint="eastAsia"/>
              </w:rPr>
              <w:lastRenderedPageBreak/>
              <w:t>主要投资策略</w:t>
            </w:r>
          </w:p>
        </w:tc>
        <w:tc>
          <w:tcPr>
            <w:tcW w:w="8505" w:type="nil"/>
          </w:tcPr>
          <w:p w:rsidR="00702665" w:rsidRDefault="00702665" w:rsidP="00702665">
            <w:pPr>
              <w:pStyle w:val="-"/>
              <w:shd w:val="clear" w:color="auto" w:fill="auto"/>
              <w:ind w:firstLineChars="0" w:firstLine="0"/>
              <w:jc w:val="left"/>
            </w:pPr>
            <w:r>
              <w:rPr>
                <w:rFonts w:hint="eastAsia"/>
              </w:rPr>
              <w:t>本基金以中长期利率趋势分析为基础</w:t>
            </w:r>
            <w:r>
              <w:t>,</w:t>
            </w:r>
            <w:r>
              <w:t>结合经济周期、宏观政策方向及收益率曲线分析，进行债券投资时机的选择和久期、类属配置，实施积极的债券投资组合管理，以获取较高的债券组合投资收益。</w:t>
            </w:r>
          </w:p>
        </w:tc>
      </w:tr>
      <w:tr w:rsidR="00702665" w:rsidTr="00702665">
        <w:tc>
          <w:tcPr>
            <w:tcW w:w="8505" w:type="nil"/>
          </w:tcPr>
          <w:p w:rsidR="00702665" w:rsidRDefault="00702665" w:rsidP="00702665">
            <w:pPr>
              <w:pStyle w:val="-"/>
              <w:shd w:val="clear" w:color="auto" w:fill="auto"/>
              <w:ind w:firstLineChars="0" w:firstLine="0"/>
              <w:jc w:val="left"/>
            </w:pPr>
            <w:r>
              <w:rPr>
                <w:rFonts w:hint="eastAsia"/>
              </w:rPr>
              <w:t>业绩比较基准</w:t>
            </w:r>
          </w:p>
        </w:tc>
        <w:tc>
          <w:tcPr>
            <w:tcW w:w="8505" w:type="nil"/>
          </w:tcPr>
          <w:p w:rsidR="00702665" w:rsidRDefault="00702665" w:rsidP="00702665">
            <w:pPr>
              <w:pStyle w:val="-"/>
              <w:shd w:val="clear" w:color="auto" w:fill="auto"/>
              <w:ind w:firstLineChars="0" w:firstLine="0"/>
              <w:jc w:val="left"/>
            </w:pPr>
            <w:r>
              <w:rPr>
                <w:rFonts w:hint="eastAsia"/>
              </w:rPr>
              <w:t>本基金的业绩比较基准为：中债</w:t>
            </w:r>
            <w:r>
              <w:t>-</w:t>
            </w:r>
            <w:r>
              <w:t>信用债总指数。</w:t>
            </w:r>
          </w:p>
        </w:tc>
      </w:tr>
      <w:tr w:rsidR="00702665" w:rsidTr="00702665">
        <w:tc>
          <w:tcPr>
            <w:tcW w:w="8505" w:type="nil"/>
          </w:tcPr>
          <w:p w:rsidR="00702665" w:rsidRDefault="00702665" w:rsidP="00702665">
            <w:pPr>
              <w:pStyle w:val="-"/>
              <w:shd w:val="clear" w:color="auto" w:fill="auto"/>
              <w:ind w:firstLineChars="0" w:firstLine="0"/>
              <w:jc w:val="left"/>
            </w:pPr>
            <w:r>
              <w:rPr>
                <w:rFonts w:hint="eastAsia"/>
              </w:rPr>
              <w:t>风险收益特征</w:t>
            </w:r>
          </w:p>
        </w:tc>
        <w:tc>
          <w:tcPr>
            <w:tcW w:w="8505" w:type="nil"/>
          </w:tcPr>
          <w:p w:rsidR="00702665" w:rsidRDefault="00702665" w:rsidP="00702665">
            <w:pPr>
              <w:pStyle w:val="-"/>
              <w:shd w:val="clear" w:color="auto" w:fill="auto"/>
              <w:ind w:firstLineChars="0" w:firstLine="0"/>
              <w:jc w:val="left"/>
            </w:pPr>
            <w:r>
              <w:rPr>
                <w:rFonts w:hint="eastAsia"/>
              </w:rPr>
              <w:t>本基金为债券型基金，其长期平均风险和预期收益率低于股票基金、混合基金，高于货币市场基金。</w:t>
            </w:r>
          </w:p>
        </w:tc>
      </w:tr>
    </w:tbl>
    <w:p w:rsidR="00702665" w:rsidRDefault="00702665" w:rsidP="00702665">
      <w:pPr>
        <w:pStyle w:val="-2"/>
        <w:spacing w:before="156" w:after="156"/>
      </w:pPr>
      <w:r>
        <w:rPr>
          <w:rFonts w:hint="eastAsia"/>
        </w:rPr>
        <w:t>（二）</w:t>
      </w:r>
      <w:r>
        <w:t xml:space="preserve"> </w:t>
      </w:r>
      <w:r>
        <w:t>投资组合资产配置图表</w:t>
      </w:r>
      <w:r>
        <w:t>/</w:t>
      </w:r>
      <w:r>
        <w:t>区域配置图表</w:t>
      </w:r>
    </w:p>
    <w:p w:rsidR="00702665" w:rsidRDefault="00702665" w:rsidP="00702665">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702665" w:rsidRDefault="00702665" w:rsidP="00702665">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702665" w:rsidRDefault="00702665" w:rsidP="00702665">
      <w:r>
        <w:rPr>
          <w:noProof/>
        </w:rPr>
        <w:lastRenderedPageBreak/>
        <w:drawing>
          <wp:inline distT="0" distB="0" distL="0" distR="0">
            <wp:extent cx="5274310" cy="36563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56330"/>
                    </a:xfrm>
                    <a:prstGeom prst="rect">
                      <a:avLst/>
                    </a:prstGeom>
                  </pic:spPr>
                </pic:pic>
              </a:graphicData>
            </a:graphic>
          </wp:inline>
        </w:drawing>
      </w:r>
    </w:p>
    <w:p w:rsidR="00702665" w:rsidRDefault="00702665" w:rsidP="00702665">
      <w:pPr>
        <w:pStyle w:val="-1"/>
        <w:spacing w:before="156" w:after="156"/>
        <w:rPr>
          <w:rFonts w:hint="eastAsia"/>
        </w:rPr>
      </w:pPr>
      <w:r>
        <w:rPr>
          <w:rFonts w:hint="eastAsia"/>
        </w:rPr>
        <w:t>三、投资本基金涉及的费用</w:t>
      </w:r>
    </w:p>
    <w:p w:rsidR="00702665" w:rsidRDefault="00702665" w:rsidP="0070266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702665" w:rsidTr="00702665">
        <w:tc>
          <w:tcPr>
            <w:tcW w:w="2076" w:type="dxa"/>
          </w:tcPr>
          <w:p w:rsidR="00702665" w:rsidRDefault="00702665" w:rsidP="00702665">
            <w:pPr>
              <w:jc w:val="center"/>
            </w:pPr>
            <w:r>
              <w:rPr>
                <w:rFonts w:hint="eastAsia"/>
              </w:rPr>
              <w:t>费用类型</w:t>
            </w:r>
          </w:p>
        </w:tc>
        <w:tc>
          <w:tcPr>
            <w:tcW w:w="2076" w:type="dxa"/>
          </w:tcPr>
          <w:p w:rsidR="00702665" w:rsidRDefault="00702665" w:rsidP="0070266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702665" w:rsidRDefault="00702665" w:rsidP="00702665">
            <w:pPr>
              <w:jc w:val="center"/>
            </w:pPr>
            <w:r>
              <w:rPr>
                <w:rFonts w:hint="eastAsia"/>
              </w:rPr>
              <w:t>收费方式</w:t>
            </w:r>
            <w:r>
              <w:rPr>
                <w:rFonts w:hint="eastAsia"/>
              </w:rPr>
              <w:t>/</w:t>
            </w:r>
            <w:r>
              <w:rPr>
                <w:rFonts w:hint="eastAsia"/>
              </w:rPr>
              <w:t>费率</w:t>
            </w:r>
          </w:p>
        </w:tc>
        <w:tc>
          <w:tcPr>
            <w:tcW w:w="2077" w:type="dxa"/>
          </w:tcPr>
          <w:p w:rsidR="00702665" w:rsidRDefault="00702665" w:rsidP="00702665">
            <w:pPr>
              <w:jc w:val="center"/>
            </w:pPr>
            <w:r>
              <w:rPr>
                <w:rFonts w:hint="eastAsia"/>
              </w:rPr>
              <w:t>备注</w:t>
            </w:r>
          </w:p>
        </w:tc>
      </w:tr>
      <w:tr w:rsidR="00702665" w:rsidTr="00702665">
        <w:tc>
          <w:tcPr>
            <w:tcW w:w="2076" w:type="dxa"/>
            <w:vMerge w:val="restart"/>
          </w:tcPr>
          <w:p w:rsidR="00702665" w:rsidRDefault="00702665" w:rsidP="00702665">
            <w:pPr>
              <w:jc w:val="center"/>
            </w:pPr>
            <w:r>
              <w:rPr>
                <w:rFonts w:hint="eastAsia"/>
              </w:rPr>
              <w:t>赎回费</w:t>
            </w:r>
          </w:p>
        </w:tc>
        <w:tc>
          <w:tcPr>
            <w:tcW w:w="2076" w:type="dxa"/>
          </w:tcPr>
          <w:p w:rsidR="00702665" w:rsidRDefault="00702665" w:rsidP="00702665">
            <w:pPr>
              <w:jc w:val="left"/>
            </w:pPr>
            <w:r>
              <w:rPr>
                <w:rFonts w:hint="eastAsia"/>
              </w:rPr>
              <w:t>N&lt; 7</w:t>
            </w:r>
            <w:r>
              <w:rPr>
                <w:rFonts w:hint="eastAsia"/>
              </w:rPr>
              <w:t>天</w:t>
            </w:r>
          </w:p>
        </w:tc>
        <w:tc>
          <w:tcPr>
            <w:tcW w:w="2077" w:type="dxa"/>
          </w:tcPr>
          <w:p w:rsidR="00702665" w:rsidRDefault="00702665" w:rsidP="00702665">
            <w:pPr>
              <w:jc w:val="right"/>
            </w:pPr>
            <w:r>
              <w:t>1.5%</w:t>
            </w:r>
          </w:p>
        </w:tc>
        <w:tc>
          <w:tcPr>
            <w:tcW w:w="2077" w:type="dxa"/>
          </w:tcPr>
          <w:p w:rsidR="00702665" w:rsidRDefault="00702665" w:rsidP="00702665">
            <w:pPr>
              <w:jc w:val="right"/>
            </w:pPr>
            <w:r>
              <w:t>-</w:t>
            </w:r>
          </w:p>
        </w:tc>
      </w:tr>
      <w:tr w:rsidR="00702665" w:rsidTr="00702665">
        <w:tc>
          <w:tcPr>
            <w:tcW w:w="2076" w:type="dxa"/>
            <w:vMerge/>
          </w:tcPr>
          <w:p w:rsidR="00702665" w:rsidRDefault="00702665" w:rsidP="00702665">
            <w:pPr>
              <w:jc w:val="left"/>
            </w:pPr>
          </w:p>
        </w:tc>
        <w:tc>
          <w:tcPr>
            <w:tcW w:w="2076" w:type="dxa"/>
          </w:tcPr>
          <w:p w:rsidR="00702665" w:rsidRDefault="00702665" w:rsidP="00702665">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702665" w:rsidRDefault="00702665" w:rsidP="00702665">
            <w:pPr>
              <w:jc w:val="right"/>
            </w:pPr>
            <w:r>
              <w:t>0.1%</w:t>
            </w:r>
          </w:p>
        </w:tc>
        <w:tc>
          <w:tcPr>
            <w:tcW w:w="2077" w:type="dxa"/>
          </w:tcPr>
          <w:p w:rsidR="00702665" w:rsidRDefault="00702665" w:rsidP="00702665">
            <w:pPr>
              <w:jc w:val="right"/>
            </w:pPr>
            <w:r>
              <w:t>-</w:t>
            </w:r>
          </w:p>
        </w:tc>
      </w:tr>
      <w:tr w:rsidR="00702665" w:rsidTr="00702665">
        <w:tc>
          <w:tcPr>
            <w:tcW w:w="2076" w:type="dxa"/>
            <w:vMerge/>
          </w:tcPr>
          <w:p w:rsidR="00702665" w:rsidRDefault="00702665" w:rsidP="00702665">
            <w:pPr>
              <w:jc w:val="left"/>
            </w:pPr>
          </w:p>
        </w:tc>
        <w:tc>
          <w:tcPr>
            <w:tcW w:w="2076" w:type="dxa"/>
          </w:tcPr>
          <w:p w:rsidR="00702665" w:rsidRDefault="00702665" w:rsidP="00702665">
            <w:pPr>
              <w:jc w:val="left"/>
            </w:pPr>
            <w:r>
              <w:rPr>
                <w:rFonts w:hint="eastAsia"/>
              </w:rPr>
              <w:t>30</w:t>
            </w:r>
            <w:r>
              <w:rPr>
                <w:rFonts w:hint="eastAsia"/>
              </w:rPr>
              <w:t>天≤</w:t>
            </w:r>
            <w:r>
              <w:rPr>
                <w:rFonts w:hint="eastAsia"/>
              </w:rPr>
              <w:t xml:space="preserve"> N </w:t>
            </w:r>
          </w:p>
        </w:tc>
        <w:tc>
          <w:tcPr>
            <w:tcW w:w="2077" w:type="dxa"/>
          </w:tcPr>
          <w:p w:rsidR="00702665" w:rsidRDefault="00702665" w:rsidP="00702665">
            <w:pPr>
              <w:jc w:val="right"/>
            </w:pPr>
            <w:r>
              <w:t>0%</w:t>
            </w:r>
          </w:p>
        </w:tc>
        <w:tc>
          <w:tcPr>
            <w:tcW w:w="2077" w:type="dxa"/>
          </w:tcPr>
          <w:p w:rsidR="00702665" w:rsidRDefault="00702665" w:rsidP="00702665">
            <w:pPr>
              <w:jc w:val="right"/>
            </w:pPr>
            <w:r>
              <w:t>-</w:t>
            </w:r>
          </w:p>
        </w:tc>
      </w:tr>
    </w:tbl>
    <w:p w:rsidR="00702665" w:rsidRDefault="00702665" w:rsidP="00702665">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702665" w:rsidTr="00702665">
        <w:tc>
          <w:tcPr>
            <w:tcW w:w="2768" w:type="dxa"/>
          </w:tcPr>
          <w:p w:rsidR="00702665" w:rsidRDefault="00702665" w:rsidP="00702665">
            <w:pPr>
              <w:jc w:val="left"/>
            </w:pPr>
            <w:r>
              <w:rPr>
                <w:rFonts w:hint="eastAsia"/>
              </w:rPr>
              <w:t>费用类别</w:t>
            </w:r>
          </w:p>
        </w:tc>
        <w:tc>
          <w:tcPr>
            <w:tcW w:w="2769" w:type="dxa"/>
          </w:tcPr>
          <w:p w:rsidR="00702665" w:rsidRDefault="00702665" w:rsidP="00702665">
            <w:pPr>
              <w:jc w:val="left"/>
            </w:pPr>
            <w:r>
              <w:rPr>
                <w:rFonts w:hint="eastAsia"/>
              </w:rPr>
              <w:t>收费方式</w:t>
            </w:r>
          </w:p>
        </w:tc>
        <w:tc>
          <w:tcPr>
            <w:tcW w:w="2769" w:type="dxa"/>
          </w:tcPr>
          <w:p w:rsidR="00702665" w:rsidRDefault="00702665" w:rsidP="00702665">
            <w:pPr>
              <w:jc w:val="left"/>
            </w:pPr>
            <w:r>
              <w:rPr>
                <w:rFonts w:hint="eastAsia"/>
              </w:rPr>
              <w:t>年费率</w:t>
            </w:r>
          </w:p>
        </w:tc>
      </w:tr>
      <w:tr w:rsidR="00702665" w:rsidTr="00702665">
        <w:tc>
          <w:tcPr>
            <w:tcW w:w="2768" w:type="dxa"/>
          </w:tcPr>
          <w:p w:rsidR="00702665" w:rsidRDefault="00702665" w:rsidP="00702665">
            <w:pPr>
              <w:jc w:val="left"/>
            </w:pPr>
            <w:r>
              <w:rPr>
                <w:rFonts w:hint="eastAsia"/>
              </w:rPr>
              <w:t>管理费</w:t>
            </w:r>
          </w:p>
        </w:tc>
        <w:tc>
          <w:tcPr>
            <w:tcW w:w="2769" w:type="dxa"/>
          </w:tcPr>
          <w:p w:rsidR="00702665" w:rsidRDefault="00702665" w:rsidP="00702665">
            <w:pPr>
              <w:jc w:val="right"/>
            </w:pPr>
            <w:r>
              <w:t>-</w:t>
            </w:r>
          </w:p>
        </w:tc>
        <w:tc>
          <w:tcPr>
            <w:tcW w:w="2769" w:type="dxa"/>
          </w:tcPr>
          <w:p w:rsidR="00702665" w:rsidRDefault="00702665" w:rsidP="00702665">
            <w:pPr>
              <w:jc w:val="right"/>
            </w:pPr>
            <w:r>
              <w:t>0.30%</w:t>
            </w:r>
          </w:p>
        </w:tc>
      </w:tr>
      <w:tr w:rsidR="00702665" w:rsidTr="00702665">
        <w:tc>
          <w:tcPr>
            <w:tcW w:w="2768" w:type="dxa"/>
          </w:tcPr>
          <w:p w:rsidR="00702665" w:rsidRDefault="00702665" w:rsidP="00702665">
            <w:pPr>
              <w:jc w:val="left"/>
            </w:pPr>
            <w:r>
              <w:rPr>
                <w:rFonts w:hint="eastAsia"/>
              </w:rPr>
              <w:t>托管费</w:t>
            </w:r>
          </w:p>
        </w:tc>
        <w:tc>
          <w:tcPr>
            <w:tcW w:w="2769" w:type="dxa"/>
          </w:tcPr>
          <w:p w:rsidR="00702665" w:rsidRDefault="00702665" w:rsidP="00702665">
            <w:pPr>
              <w:jc w:val="right"/>
            </w:pPr>
            <w:r>
              <w:t>-</w:t>
            </w:r>
          </w:p>
        </w:tc>
        <w:tc>
          <w:tcPr>
            <w:tcW w:w="2769" w:type="dxa"/>
          </w:tcPr>
          <w:p w:rsidR="00702665" w:rsidRDefault="00702665" w:rsidP="00702665">
            <w:pPr>
              <w:jc w:val="right"/>
            </w:pPr>
            <w:r>
              <w:t>0.10%</w:t>
            </w:r>
          </w:p>
        </w:tc>
      </w:tr>
      <w:tr w:rsidR="00702665" w:rsidTr="00702665">
        <w:tc>
          <w:tcPr>
            <w:tcW w:w="2768" w:type="dxa"/>
          </w:tcPr>
          <w:p w:rsidR="00702665" w:rsidRDefault="00702665" w:rsidP="00702665">
            <w:pPr>
              <w:jc w:val="left"/>
            </w:pPr>
            <w:r>
              <w:rPr>
                <w:rFonts w:hint="eastAsia"/>
              </w:rPr>
              <w:t>销售服务费</w:t>
            </w:r>
          </w:p>
        </w:tc>
        <w:tc>
          <w:tcPr>
            <w:tcW w:w="2769" w:type="dxa"/>
          </w:tcPr>
          <w:p w:rsidR="00702665" w:rsidRDefault="00702665" w:rsidP="00702665">
            <w:pPr>
              <w:jc w:val="right"/>
            </w:pPr>
            <w:r>
              <w:t>-</w:t>
            </w:r>
          </w:p>
        </w:tc>
        <w:tc>
          <w:tcPr>
            <w:tcW w:w="2769" w:type="dxa"/>
          </w:tcPr>
          <w:p w:rsidR="00702665" w:rsidRDefault="00702665" w:rsidP="00702665">
            <w:pPr>
              <w:jc w:val="right"/>
            </w:pPr>
            <w:r>
              <w:t>0.40%</w:t>
            </w:r>
          </w:p>
        </w:tc>
      </w:tr>
      <w:tr w:rsidR="00702665" w:rsidTr="00012042">
        <w:tc>
          <w:tcPr>
            <w:tcW w:w="2768" w:type="dxa"/>
          </w:tcPr>
          <w:p w:rsidR="00702665" w:rsidRDefault="00702665" w:rsidP="00702665">
            <w:pPr>
              <w:jc w:val="left"/>
            </w:pPr>
            <w:r>
              <w:rPr>
                <w:rFonts w:hint="eastAsia"/>
              </w:rPr>
              <w:t>其他费用</w:t>
            </w:r>
          </w:p>
        </w:tc>
        <w:tc>
          <w:tcPr>
            <w:tcW w:w="5538" w:type="dxa"/>
            <w:gridSpan w:val="2"/>
          </w:tcPr>
          <w:p w:rsidR="00702665" w:rsidRDefault="00702665" w:rsidP="00702665">
            <w:pPr>
              <w:jc w:val="left"/>
            </w:pPr>
            <w:r>
              <w:rPr>
                <w:rFonts w:hint="eastAsia"/>
              </w:rPr>
              <w:t>《基金合同》生效后与基金相关的信息披露费用、会计师费、律师费、诉讼费和仲裁费、基金份额持有人大会费用、基金的证券交易费用、基金的银行汇划费用、按照国家有关规定和《基金合同》约定，可以在基金财产中列支的其他费用。</w:t>
            </w:r>
          </w:p>
        </w:tc>
      </w:tr>
    </w:tbl>
    <w:p w:rsidR="00702665" w:rsidRDefault="00702665" w:rsidP="00702665">
      <w:pPr>
        <w:pStyle w:val="-7"/>
        <w:ind w:firstLine="420"/>
        <w:rPr>
          <w:rFonts w:hint="eastAsia"/>
        </w:rPr>
      </w:pPr>
      <w:r>
        <w:rPr>
          <w:rFonts w:hint="eastAsia"/>
        </w:rPr>
        <w:t>注：本基金交易证券、基金等产生的费用和税负，按实际发生额从基金资产扣除。</w:t>
      </w:r>
    </w:p>
    <w:p w:rsidR="00702665" w:rsidRDefault="00702665" w:rsidP="00702665">
      <w:pPr>
        <w:pStyle w:val="-1"/>
        <w:spacing w:before="156" w:after="156"/>
        <w:rPr>
          <w:rFonts w:hint="eastAsia"/>
        </w:rPr>
      </w:pPr>
      <w:r>
        <w:rPr>
          <w:rFonts w:hint="eastAsia"/>
        </w:rPr>
        <w:t>四、风险揭示与重要提示</w:t>
      </w:r>
    </w:p>
    <w:p w:rsidR="00702665" w:rsidRDefault="00702665" w:rsidP="00702665">
      <w:pPr>
        <w:pStyle w:val="-2"/>
        <w:spacing w:before="156" w:after="156"/>
        <w:rPr>
          <w:rFonts w:hint="eastAsia"/>
        </w:rPr>
      </w:pPr>
      <w:r>
        <w:rPr>
          <w:rFonts w:hint="eastAsia"/>
        </w:rPr>
        <w:t>（一）</w:t>
      </w:r>
      <w:r>
        <w:rPr>
          <w:rFonts w:hint="eastAsia"/>
        </w:rPr>
        <w:t xml:space="preserve"> </w:t>
      </w:r>
      <w:r>
        <w:rPr>
          <w:rFonts w:hint="eastAsia"/>
        </w:rPr>
        <w:t>风险揭示</w:t>
      </w:r>
    </w:p>
    <w:p w:rsidR="00702665" w:rsidRDefault="00702665" w:rsidP="00702665">
      <w:pPr>
        <w:pStyle w:val="-"/>
        <w:ind w:firstLine="420"/>
        <w:rPr>
          <w:rFonts w:hint="eastAsia"/>
        </w:rPr>
      </w:pPr>
      <w:r>
        <w:rPr>
          <w:rFonts w:hint="eastAsia"/>
        </w:rPr>
        <w:lastRenderedPageBreak/>
        <w:t>本基金不提供任何保证。投资者可能损失本金。</w:t>
      </w:r>
    </w:p>
    <w:p w:rsidR="00702665" w:rsidRDefault="00702665" w:rsidP="00702665">
      <w:pPr>
        <w:pStyle w:val="-"/>
        <w:ind w:firstLine="420"/>
        <w:rPr>
          <w:rFonts w:hint="eastAsia"/>
        </w:rPr>
      </w:pPr>
      <w:r>
        <w:rPr>
          <w:rFonts w:hint="eastAsia"/>
        </w:rPr>
        <w:t>投资有风险，投资者购买基金时应认真阅读本基金的《招募说明书》等销售文件。</w:t>
      </w:r>
    </w:p>
    <w:p w:rsidR="00702665" w:rsidRDefault="00702665" w:rsidP="00702665">
      <w:pPr>
        <w:pStyle w:val="-"/>
        <w:ind w:firstLine="420"/>
        <w:rPr>
          <w:rFonts w:hint="eastAsia"/>
        </w:rPr>
      </w:pPr>
      <w:r>
        <w:rPr>
          <w:rFonts w:hint="eastAsia"/>
        </w:rPr>
        <w:t>1</w:t>
      </w:r>
      <w:r>
        <w:rPr>
          <w:rFonts w:hint="eastAsia"/>
        </w:rPr>
        <w:t>、本基金的特有风险</w:t>
      </w:r>
    </w:p>
    <w:p w:rsidR="00702665" w:rsidRDefault="00702665" w:rsidP="00702665">
      <w:pPr>
        <w:pStyle w:val="-"/>
        <w:ind w:firstLine="420"/>
        <w:rPr>
          <w:rFonts w:hint="eastAsia"/>
        </w:rPr>
      </w:pPr>
      <w:r>
        <w:rPr>
          <w:rFonts w:hint="eastAsia"/>
        </w:rPr>
        <w:t>（</w:t>
      </w:r>
      <w:r>
        <w:rPr>
          <w:rFonts w:hint="eastAsia"/>
        </w:rPr>
        <w:t>1</w:t>
      </w:r>
      <w:r>
        <w:rPr>
          <w:rFonts w:hint="eastAsia"/>
        </w:rPr>
        <w:t>）本基金的投资范围包括企业债券、公司债券等信用类债券，因此，本基金除承担由于市场利率波动造成的利率风险外还要承担如企业债、公司债等信用品种的发债主体信用恶化造成的信用风险。</w:t>
      </w:r>
    </w:p>
    <w:p w:rsidR="00702665" w:rsidRDefault="00702665" w:rsidP="00702665">
      <w:pPr>
        <w:pStyle w:val="-"/>
        <w:ind w:firstLine="420"/>
        <w:rPr>
          <w:rFonts w:hint="eastAsia"/>
        </w:rPr>
      </w:pPr>
      <w:r>
        <w:rPr>
          <w:rFonts w:hint="eastAsia"/>
        </w:rPr>
        <w:t>（</w:t>
      </w:r>
      <w:r>
        <w:rPr>
          <w:rFonts w:hint="eastAsia"/>
        </w:rPr>
        <w:t>2</w:t>
      </w:r>
      <w:r>
        <w:rPr>
          <w:rFonts w:hint="eastAsia"/>
        </w:rPr>
        <w:t>）本基金投资中小企业私募债券，中小企业私募债是根据相关法律法规由非上市中小企业采用非公开方式发行的债券。</w:t>
      </w:r>
    </w:p>
    <w:p w:rsidR="00702665" w:rsidRDefault="00702665" w:rsidP="00702665">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702665" w:rsidRDefault="00702665" w:rsidP="00702665">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702665" w:rsidRDefault="00702665" w:rsidP="00702665">
      <w:pPr>
        <w:pStyle w:val="-"/>
        <w:ind w:firstLine="420"/>
        <w:rPr>
          <w:rFonts w:hint="eastAsia"/>
        </w:rPr>
      </w:pPr>
      <w:r>
        <w:rPr>
          <w:rFonts w:hint="eastAsia"/>
        </w:rPr>
        <w:t>（</w:t>
      </w:r>
      <w:r>
        <w:rPr>
          <w:rFonts w:hint="eastAsia"/>
        </w:rPr>
        <w:t>3</w:t>
      </w:r>
      <w:r>
        <w:rPr>
          <w:rFonts w:hint="eastAsia"/>
        </w:rPr>
        <w:t>）本基金对特定投资群体设定了优惠费率。特定投资群体需在认购</w:t>
      </w:r>
      <w:r>
        <w:rPr>
          <w:rFonts w:hint="eastAsia"/>
        </w:rPr>
        <w:t>/</w:t>
      </w:r>
      <w:r>
        <w:rPr>
          <w:rFonts w:hint="eastAsia"/>
        </w:rPr>
        <w:t>申购前向基金管理人登记备案，并经基金管理人确认，否则不适用优惠认</w:t>
      </w:r>
      <w:r>
        <w:rPr>
          <w:rFonts w:hint="eastAsia"/>
        </w:rPr>
        <w:t>/</w:t>
      </w:r>
      <w:r>
        <w:rPr>
          <w:rFonts w:hint="eastAsia"/>
        </w:rPr>
        <w:t>申购费率。</w:t>
      </w:r>
    </w:p>
    <w:p w:rsidR="00702665" w:rsidRDefault="00702665" w:rsidP="00702665">
      <w:pPr>
        <w:pStyle w:val="-"/>
        <w:ind w:firstLine="420"/>
        <w:rPr>
          <w:rFonts w:hint="eastAsia"/>
        </w:rPr>
      </w:pPr>
      <w:r>
        <w:rPr>
          <w:rFonts w:hint="eastAsia"/>
        </w:rPr>
        <w:t>（</w:t>
      </w:r>
      <w:r>
        <w:rPr>
          <w:rFonts w:hint="eastAsia"/>
        </w:rPr>
        <w:t>4</w:t>
      </w:r>
      <w:r>
        <w:rPr>
          <w:rFonts w:hint="eastAsia"/>
        </w:rPr>
        <w:t>）《基金合同》生效后，连续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亿元情形的，基金合同终止，无需召开基金份额持有人大会。投资人将面临《基金合同》提前终止的风险。</w:t>
      </w:r>
    </w:p>
    <w:p w:rsidR="00702665" w:rsidRDefault="00702665" w:rsidP="00702665">
      <w:pPr>
        <w:pStyle w:val="-"/>
        <w:ind w:firstLine="420"/>
        <w:rPr>
          <w:rFonts w:hint="eastAsia"/>
        </w:rPr>
      </w:pPr>
      <w:r>
        <w:rPr>
          <w:rFonts w:hint="eastAsia"/>
        </w:rPr>
        <w:t>2</w:t>
      </w:r>
      <w:r>
        <w:rPr>
          <w:rFonts w:hint="eastAsia"/>
        </w:rPr>
        <w:t>、债券市场风险</w:t>
      </w:r>
    </w:p>
    <w:p w:rsidR="00702665" w:rsidRDefault="00702665" w:rsidP="00702665">
      <w:pPr>
        <w:pStyle w:val="-"/>
        <w:ind w:firstLine="420"/>
        <w:rPr>
          <w:rFonts w:hint="eastAsia"/>
        </w:rPr>
      </w:pPr>
      <w:r>
        <w:rPr>
          <w:rFonts w:hint="eastAsia"/>
        </w:rPr>
        <w:t>债券市场价格受到经济因素、政治因素、投资心理和交易制度等各种因素的影响，导致基金收益水平变化，产生风险，主要包括：</w:t>
      </w:r>
    </w:p>
    <w:p w:rsidR="00702665" w:rsidRDefault="00702665" w:rsidP="00702665">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702665" w:rsidRDefault="00702665" w:rsidP="00702665">
      <w:pPr>
        <w:pStyle w:val="-"/>
        <w:ind w:firstLine="420"/>
        <w:rPr>
          <w:rFonts w:hint="eastAsia"/>
        </w:rPr>
      </w:pPr>
      <w:r>
        <w:rPr>
          <w:rFonts w:hint="eastAsia"/>
        </w:rPr>
        <w:t>3</w:t>
      </w:r>
      <w:r>
        <w:rPr>
          <w:rFonts w:hint="eastAsia"/>
        </w:rPr>
        <w:t>、开放式基金共有的风险</w:t>
      </w:r>
    </w:p>
    <w:p w:rsidR="00702665" w:rsidRDefault="00702665" w:rsidP="00702665">
      <w:pPr>
        <w:pStyle w:val="-"/>
        <w:ind w:firstLine="420"/>
        <w:rPr>
          <w:rFonts w:hint="eastAsia"/>
        </w:rPr>
      </w:pPr>
      <w:r>
        <w:rPr>
          <w:rFonts w:hint="eastAsia"/>
        </w:rPr>
        <w:t>（</w:t>
      </w:r>
      <w:r>
        <w:rPr>
          <w:rFonts w:hint="eastAsia"/>
        </w:rPr>
        <w:t>1</w:t>
      </w:r>
      <w:r>
        <w:rPr>
          <w:rFonts w:hint="eastAsia"/>
        </w:rPr>
        <w:t>）管理风险</w:t>
      </w:r>
    </w:p>
    <w:p w:rsidR="00702665" w:rsidRDefault="00702665" w:rsidP="00702665">
      <w:pPr>
        <w:pStyle w:val="-"/>
        <w:ind w:firstLine="420"/>
        <w:rPr>
          <w:rFonts w:hint="eastAsia"/>
        </w:rPr>
      </w:pPr>
      <w:r>
        <w:rPr>
          <w:rFonts w:hint="eastAsia"/>
        </w:rPr>
        <w:t>（</w:t>
      </w:r>
      <w:r>
        <w:rPr>
          <w:rFonts w:hint="eastAsia"/>
        </w:rPr>
        <w:t>2</w:t>
      </w:r>
      <w:r>
        <w:rPr>
          <w:rFonts w:hint="eastAsia"/>
        </w:rPr>
        <w:t>）流动性风险</w:t>
      </w:r>
    </w:p>
    <w:p w:rsidR="00702665" w:rsidRDefault="00702665" w:rsidP="00702665">
      <w:pPr>
        <w:pStyle w:val="-"/>
        <w:ind w:firstLine="420"/>
        <w:rPr>
          <w:rFonts w:hint="eastAsia"/>
        </w:rPr>
      </w:pPr>
      <w:r>
        <w:rPr>
          <w:rFonts w:hint="eastAsia"/>
        </w:rPr>
        <w:t>1</w:t>
      </w:r>
      <w:r>
        <w:rPr>
          <w:rFonts w:hint="eastAsia"/>
        </w:rPr>
        <w:t>）本基金的申购、赎回安排</w:t>
      </w:r>
    </w:p>
    <w:p w:rsidR="00702665" w:rsidRDefault="00702665" w:rsidP="00702665">
      <w:pPr>
        <w:pStyle w:val="-"/>
        <w:ind w:firstLine="420"/>
        <w:rPr>
          <w:rFonts w:hint="eastAsia"/>
        </w:rPr>
      </w:pPr>
      <w:r>
        <w:rPr>
          <w:rFonts w:hint="eastAsia"/>
        </w:rPr>
        <w:t>2</w:t>
      </w:r>
      <w:r>
        <w:rPr>
          <w:rFonts w:hint="eastAsia"/>
        </w:rPr>
        <w:t>）投资市场、行业及资产的流动性风险评估</w:t>
      </w:r>
    </w:p>
    <w:p w:rsidR="00702665" w:rsidRDefault="00702665" w:rsidP="00702665">
      <w:pPr>
        <w:pStyle w:val="-"/>
        <w:ind w:firstLine="420"/>
        <w:rPr>
          <w:rFonts w:hint="eastAsia"/>
        </w:rPr>
      </w:pPr>
      <w:r>
        <w:rPr>
          <w:rFonts w:hint="eastAsia"/>
        </w:rPr>
        <w:t>3</w:t>
      </w:r>
      <w:r>
        <w:rPr>
          <w:rFonts w:hint="eastAsia"/>
        </w:rPr>
        <w:t>）巨额赎回情形下的流动性风险管理措施</w:t>
      </w:r>
    </w:p>
    <w:p w:rsidR="00702665" w:rsidRDefault="00702665" w:rsidP="00702665">
      <w:pPr>
        <w:pStyle w:val="-"/>
        <w:ind w:firstLine="420"/>
        <w:rPr>
          <w:rFonts w:hint="eastAsia"/>
        </w:rPr>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702665" w:rsidRDefault="00702665" w:rsidP="00702665">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w:t>
      </w:r>
      <w:r>
        <w:rPr>
          <w:rFonts w:hint="eastAsia"/>
        </w:rPr>
        <w:lastRenderedPageBreak/>
        <w:t>分予以撤销；延期部分如选择取消赎回的，当日未获受理的部分赎回申请将被撤销。如投资人在提交赎回申请时未作明确选择，投资人未能赎回部分作自动延期赎回处理。</w:t>
      </w:r>
    </w:p>
    <w:p w:rsidR="00702665" w:rsidRDefault="00702665" w:rsidP="00702665">
      <w:pPr>
        <w:pStyle w:val="-"/>
        <w:ind w:firstLine="420"/>
        <w:rPr>
          <w:rFonts w:hint="eastAsia"/>
        </w:rPr>
      </w:pPr>
      <w:r>
        <w:rPr>
          <w:rFonts w:hint="eastAsia"/>
        </w:rPr>
        <w:t>4</w:t>
      </w:r>
      <w:r>
        <w:rPr>
          <w:rFonts w:hint="eastAsia"/>
        </w:rPr>
        <w:t>）实施备用的流动性风险管理工具的情形、程序及对投资者的潜在影响</w:t>
      </w:r>
    </w:p>
    <w:p w:rsidR="00702665" w:rsidRDefault="00702665" w:rsidP="0070266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02665" w:rsidRDefault="00702665" w:rsidP="00702665">
      <w:pPr>
        <w:pStyle w:val="-"/>
        <w:ind w:firstLine="420"/>
        <w:rPr>
          <w:rFonts w:hint="eastAsia"/>
        </w:rPr>
      </w:pPr>
      <w:r>
        <w:rPr>
          <w:rFonts w:hint="eastAsia"/>
        </w:rPr>
        <w:t>（</w:t>
      </w:r>
      <w:r>
        <w:rPr>
          <w:rFonts w:hint="eastAsia"/>
        </w:rPr>
        <w:t>3</w:t>
      </w:r>
      <w:r>
        <w:rPr>
          <w:rFonts w:hint="eastAsia"/>
        </w:rPr>
        <w:t>）其他风险</w:t>
      </w:r>
    </w:p>
    <w:p w:rsidR="00702665" w:rsidRDefault="00702665" w:rsidP="00702665">
      <w:pPr>
        <w:pStyle w:val="-"/>
        <w:ind w:firstLine="420"/>
        <w:rPr>
          <w:rFonts w:hint="eastAsia"/>
        </w:rPr>
      </w:pPr>
      <w:r>
        <w:rPr>
          <w:rFonts w:hint="eastAsia"/>
        </w:rPr>
        <w:t>4</w:t>
      </w:r>
      <w:r>
        <w:rPr>
          <w:rFonts w:hint="eastAsia"/>
        </w:rPr>
        <w:t>、本基金法律文件风险收益特征表述与销售机构基金风险评价可能不一致的风险</w:t>
      </w:r>
    </w:p>
    <w:p w:rsidR="00702665" w:rsidRDefault="00702665" w:rsidP="0070266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702665" w:rsidRDefault="00702665" w:rsidP="00702665">
      <w:pPr>
        <w:pStyle w:val="-"/>
        <w:ind w:firstLine="420"/>
        <w:rPr>
          <w:rFonts w:hint="eastAsia"/>
        </w:rPr>
      </w:pPr>
      <w:r>
        <w:rPr>
          <w:rFonts w:hint="eastAsia"/>
        </w:rPr>
        <w:t>5</w:t>
      </w:r>
      <w:r>
        <w:rPr>
          <w:rFonts w:hint="eastAsia"/>
        </w:rPr>
        <w:t>、实施侧袋机制对投资者的影响</w:t>
      </w:r>
    </w:p>
    <w:p w:rsidR="00702665" w:rsidRDefault="00702665" w:rsidP="00702665">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702665" w:rsidRDefault="00702665" w:rsidP="00702665">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02665" w:rsidRDefault="00702665" w:rsidP="00702665">
      <w:pPr>
        <w:pStyle w:val="-"/>
        <w:ind w:firstLine="420"/>
        <w:rPr>
          <w:rFonts w:hint="eastAsia"/>
        </w:rPr>
      </w:pPr>
      <w:r>
        <w:rPr>
          <w:rFonts w:hint="eastAsia"/>
        </w:rPr>
        <w:t>基金管理人将根据主袋账户运作情况合理确定申购政策，因此实施侧袋机制后主袋账户份额存在暂停申购的可能。</w:t>
      </w:r>
    </w:p>
    <w:p w:rsidR="00702665" w:rsidRDefault="00702665" w:rsidP="00702665">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702665" w:rsidRDefault="00702665" w:rsidP="00702665">
      <w:pPr>
        <w:pStyle w:val="-2"/>
        <w:spacing w:before="156" w:after="156"/>
      </w:pPr>
      <w:r>
        <w:rPr>
          <w:rFonts w:hint="eastAsia"/>
        </w:rPr>
        <w:t>（二）</w:t>
      </w:r>
      <w:r>
        <w:t xml:space="preserve"> </w:t>
      </w:r>
      <w:r>
        <w:t>重要提示</w:t>
      </w:r>
    </w:p>
    <w:p w:rsidR="00702665" w:rsidRDefault="00702665" w:rsidP="00702665">
      <w:pPr>
        <w:pStyle w:val="-"/>
        <w:ind w:firstLine="420"/>
        <w:rPr>
          <w:rFonts w:hint="eastAsia"/>
        </w:rPr>
      </w:pPr>
      <w:r>
        <w:rPr>
          <w:rFonts w:hint="eastAsia"/>
        </w:rPr>
        <w:t>南方启元债券型证券投资基金（以下简称“本基金”）经中国证监会</w:t>
      </w:r>
      <w:r>
        <w:rPr>
          <w:rFonts w:hint="eastAsia"/>
        </w:rPr>
        <w:t>2014</w:t>
      </w:r>
      <w:r>
        <w:rPr>
          <w:rFonts w:hint="eastAsia"/>
        </w:rPr>
        <w:t>年</w:t>
      </w:r>
      <w:r>
        <w:rPr>
          <w:rFonts w:hint="eastAsia"/>
        </w:rPr>
        <w:t>1</w:t>
      </w:r>
      <w:r>
        <w:rPr>
          <w:rFonts w:hint="eastAsia"/>
        </w:rPr>
        <w:t>月</w:t>
      </w:r>
      <w:r>
        <w:rPr>
          <w:rFonts w:hint="eastAsia"/>
        </w:rPr>
        <w:t>26</w:t>
      </w:r>
      <w:r>
        <w:rPr>
          <w:rFonts w:hint="eastAsia"/>
        </w:rPr>
        <w:t>日证监许可</w:t>
      </w:r>
      <w:r>
        <w:rPr>
          <w:rFonts w:hint="eastAsia"/>
        </w:rPr>
        <w:t>[2014]146</w:t>
      </w:r>
      <w:r>
        <w:rPr>
          <w:rFonts w:hint="eastAsia"/>
        </w:rPr>
        <w:t>号文注册募集。中国证监会对本基金募集的注册，并不表明其对本基金的价值和收益作出实质性判断或保证，也不表明投资于本基金没有风险。</w:t>
      </w:r>
    </w:p>
    <w:p w:rsidR="00702665" w:rsidRDefault="00702665" w:rsidP="00702665">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702665" w:rsidRDefault="00702665" w:rsidP="00702665">
      <w:pPr>
        <w:pStyle w:val="-"/>
        <w:ind w:firstLine="420"/>
        <w:rPr>
          <w:rFonts w:hint="eastAsia"/>
        </w:rPr>
      </w:pPr>
      <w:r>
        <w:rPr>
          <w:rFonts w:hint="eastAsia"/>
        </w:rPr>
        <w:t>基金投资者自依基金合同取得基金份额，即成为基金份额持有人和基金合同的当事人。</w:t>
      </w:r>
    </w:p>
    <w:p w:rsidR="00702665" w:rsidRDefault="00702665" w:rsidP="00702665">
      <w:pPr>
        <w:pStyle w:val="-"/>
        <w:ind w:firstLine="420"/>
        <w:rPr>
          <w:rFonts w:hint="eastAsia"/>
        </w:rPr>
      </w:pPr>
      <w:r>
        <w:rPr>
          <w:rFonts w:hint="eastAsia"/>
        </w:rPr>
        <w:lastRenderedPageBreak/>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702665" w:rsidRDefault="00702665" w:rsidP="0070266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02665" w:rsidRDefault="00702665" w:rsidP="00702665">
      <w:pPr>
        <w:pStyle w:val="-1"/>
        <w:spacing w:before="156" w:after="156"/>
        <w:rPr>
          <w:rFonts w:hint="eastAsia"/>
        </w:rPr>
      </w:pPr>
      <w:r>
        <w:rPr>
          <w:rFonts w:hint="eastAsia"/>
        </w:rPr>
        <w:t>五、其他资料查询方式</w:t>
      </w:r>
    </w:p>
    <w:p w:rsidR="00702665" w:rsidRDefault="00702665" w:rsidP="0070266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702665" w:rsidRDefault="00702665" w:rsidP="00702665">
      <w:pPr>
        <w:pStyle w:val="-"/>
        <w:ind w:firstLine="420"/>
        <w:rPr>
          <w:rFonts w:hint="eastAsia"/>
        </w:rPr>
      </w:pPr>
      <w:r>
        <w:rPr>
          <w:rFonts w:hint="eastAsia"/>
        </w:rPr>
        <w:t>●《南方启元债券型证券投资基金基金合同》、</w:t>
      </w:r>
    </w:p>
    <w:p w:rsidR="00702665" w:rsidRDefault="00702665" w:rsidP="00702665">
      <w:pPr>
        <w:pStyle w:val="-"/>
        <w:ind w:firstLine="420"/>
        <w:rPr>
          <w:rFonts w:hint="eastAsia"/>
        </w:rPr>
      </w:pPr>
      <w:r>
        <w:rPr>
          <w:rFonts w:hint="eastAsia"/>
        </w:rPr>
        <w:t>《南方启元债券型证券投资基金托管协议》、</w:t>
      </w:r>
    </w:p>
    <w:p w:rsidR="00702665" w:rsidRDefault="00702665" w:rsidP="00702665">
      <w:pPr>
        <w:pStyle w:val="-"/>
        <w:ind w:firstLine="420"/>
        <w:rPr>
          <w:rFonts w:hint="eastAsia"/>
        </w:rPr>
      </w:pPr>
      <w:r>
        <w:rPr>
          <w:rFonts w:hint="eastAsia"/>
        </w:rPr>
        <w:t>《南方启元债券型证券投资基金招募说明书》</w:t>
      </w:r>
    </w:p>
    <w:p w:rsidR="00702665" w:rsidRDefault="00702665" w:rsidP="00702665">
      <w:pPr>
        <w:pStyle w:val="-"/>
        <w:ind w:firstLine="420"/>
        <w:rPr>
          <w:rFonts w:hint="eastAsia"/>
        </w:rPr>
      </w:pPr>
      <w:r>
        <w:rPr>
          <w:rFonts w:hint="eastAsia"/>
        </w:rPr>
        <w:t>●定期报告、包括基金季度报告、中期报告和年度报告</w:t>
      </w:r>
    </w:p>
    <w:p w:rsidR="00702665" w:rsidRDefault="00702665" w:rsidP="00702665">
      <w:pPr>
        <w:pStyle w:val="-"/>
        <w:ind w:firstLine="420"/>
        <w:rPr>
          <w:rFonts w:hint="eastAsia"/>
        </w:rPr>
      </w:pPr>
      <w:r>
        <w:rPr>
          <w:rFonts w:hint="eastAsia"/>
        </w:rPr>
        <w:t>●基金份额净值</w:t>
      </w:r>
    </w:p>
    <w:p w:rsidR="00702665" w:rsidRDefault="00702665" w:rsidP="00702665">
      <w:pPr>
        <w:pStyle w:val="-"/>
        <w:ind w:firstLine="420"/>
        <w:rPr>
          <w:rFonts w:hint="eastAsia"/>
        </w:rPr>
      </w:pPr>
      <w:r>
        <w:rPr>
          <w:rFonts w:hint="eastAsia"/>
        </w:rPr>
        <w:t>●基金销售机构及联系方式</w:t>
      </w:r>
    </w:p>
    <w:p w:rsidR="00702665" w:rsidRDefault="00702665" w:rsidP="00702665">
      <w:pPr>
        <w:pStyle w:val="-"/>
        <w:ind w:firstLine="420"/>
        <w:rPr>
          <w:rFonts w:hint="eastAsia"/>
        </w:rPr>
      </w:pPr>
      <w:r>
        <w:rPr>
          <w:rFonts w:hint="eastAsia"/>
        </w:rPr>
        <w:t>●其他重要资料</w:t>
      </w:r>
    </w:p>
    <w:p w:rsidR="00702665" w:rsidRDefault="00702665" w:rsidP="00702665">
      <w:pPr>
        <w:pStyle w:val="-1"/>
        <w:spacing w:before="156" w:after="156"/>
        <w:rPr>
          <w:rFonts w:hint="eastAsia"/>
        </w:rPr>
      </w:pPr>
      <w:r>
        <w:rPr>
          <w:rFonts w:hint="eastAsia"/>
        </w:rPr>
        <w:t>六、其他情况说明</w:t>
      </w:r>
    </w:p>
    <w:p w:rsidR="00702665" w:rsidRDefault="00702665" w:rsidP="00702665">
      <w:pPr>
        <w:pStyle w:val="-"/>
        <w:ind w:firstLine="420"/>
        <w:rPr>
          <w:rFonts w:hint="eastAsia"/>
        </w:rPr>
      </w:pPr>
      <w:bookmarkStart w:id="0" w:name="_GoBack"/>
      <w:bookmarkEnd w:id="0"/>
      <w:r>
        <w:rPr>
          <w:rFonts w:hint="eastAsia"/>
        </w:rPr>
        <w:t>暂无。</w:t>
      </w:r>
    </w:p>
    <w:p w:rsidR="00E67375" w:rsidRPr="00ED7F31" w:rsidRDefault="00702665" w:rsidP="00702665">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65" w:rsidRDefault="007026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702665" w:rsidRPr="0070266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65" w:rsidRDefault="007026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65" w:rsidRDefault="007026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702665" w:rsidP="00CE07B7">
    <w:pPr>
      <w:pStyle w:val="a6"/>
      <w:jc w:val="right"/>
    </w:pPr>
    <w:r>
      <w:rPr>
        <w:rFonts w:hint="eastAsia"/>
      </w:rPr>
      <w:t>南方启元债券型证券投资基金（</w:t>
    </w:r>
    <w:r>
      <w:rPr>
        <w:rFonts w:hint="eastAsia"/>
      </w:rPr>
      <w:t>C</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65" w:rsidRDefault="007026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02665"/>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2D17-231F-4089-AF81-C8915BCE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4001</Characters>
  <Application>Microsoft Office Word</Application>
  <DocSecurity>0</DocSecurity>
  <Lines>33</Lines>
  <Paragraphs>9</Paragraphs>
  <ScaleCrop>false</ScaleCrop>
  <Company>MC SYSTEM</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2021-08-12T03:46:00Z</dcterms:created>
  <dcterms:modified xsi:type="dcterms:W3CDTF">2021-08-12T03:46:00Z</dcterms:modified>
</cp:coreProperties>
</file>