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exact"/>
        <w:ind w:left="0" w:right="0"/>
        <w:jc w:val="left"/>
        <w:rPr>
          <w:rFonts w:ascii="Arial"/>
          <w:color w:val="FF0000"/>
          <w:spacing w:val="0"/>
          <w:sz w:val="2"/>
        </w:rPr>
      </w:pPr>
      <w:r>
        <w:rPr>
          <w:rFonts w:ascii="Arial"/>
          <w:color w:val="FF0000"/>
          <w:spacing w:val="0"/>
          <w:sz w:val="2"/>
        </w:rPr>
        <w:t xml:space="preserve"> </w:t>
      </w:r>
    </w:p>
    <w:p>
      <w:pPr>
        <w:framePr w:w="9138" w:wrap="around" w:vAnchor="margin" w:hAnchor="text" w:x="1978" w:y="5104"/>
        <w:widowControl w:val="0"/>
        <w:autoSpaceDE w:val="0"/>
        <w:autoSpaceDN w:val="0"/>
        <w:spacing w:before="0" w:after="0" w:line="439" w:lineRule="exact"/>
        <w:ind w:left="0" w:right="0"/>
        <w:jc w:val="left"/>
        <w:rPr>
          <w:rFonts w:ascii="SKJVQB+å®ä½" w:hAnsi="SKJVQB+å®ä½" w:cs="SKJVQB+å®ä½"/>
          <w:color w:val="000000"/>
          <w:spacing w:val="0"/>
          <w:sz w:val="44"/>
        </w:rPr>
      </w:pPr>
      <w:r>
        <w:rPr>
          <w:rFonts w:ascii="SKJVQB+å®ä½" w:hAnsi="SKJVQB+å®ä½" w:cs="SKJVQB+å®ä½"/>
          <w:color w:val="000000"/>
          <w:spacing w:val="0"/>
          <w:sz w:val="44"/>
        </w:rPr>
        <w:t>南方双元债券型证券投资基金招募说明书</w:t>
      </w:r>
    </w:p>
    <w:p>
      <w:pPr>
        <w:framePr w:w="4935" w:wrap="around" w:vAnchor="margin" w:hAnchor="text" w:x="3815" w:y="5714"/>
        <w:widowControl w:val="0"/>
        <w:autoSpaceDE w:val="0"/>
        <w:autoSpaceDN w:val="0"/>
        <w:spacing w:before="0" w:after="0" w:line="486" w:lineRule="exact"/>
        <w:ind w:left="0" w:right="0"/>
        <w:jc w:val="left"/>
        <w:rPr>
          <w:rFonts w:ascii="SKJVQB+å®ä½" w:hAnsi="SKJVQB+å®ä½" w:cs="SKJVQB+å®ä½"/>
          <w:color w:val="000000"/>
          <w:spacing w:val="0"/>
          <w:sz w:val="44"/>
        </w:rPr>
      </w:pPr>
      <w:r>
        <w:rPr>
          <w:rFonts w:ascii="SKJVQB+å®ä½" w:hAnsi="SKJVQB+å®ä½" w:cs="SKJVQB+å®ä½"/>
          <w:color w:val="000000"/>
          <w:spacing w:val="0"/>
          <w:sz w:val="44"/>
        </w:rPr>
        <w:t>（</w:t>
      </w:r>
      <w:r>
        <w:rPr>
          <w:rFonts w:ascii="Times New Roman"/>
          <w:b/>
          <w:color w:val="000000"/>
          <w:spacing w:val="0"/>
          <w:sz w:val="44"/>
        </w:rPr>
        <w:t>2020</w:t>
      </w:r>
      <w:r>
        <w:rPr>
          <w:rFonts w:ascii="SKJVQB+å®ä½" w:hAnsi="SKJVQB+å®ä½" w:cs="SKJVQB+å®ä½"/>
          <w:color w:val="000000"/>
          <w:spacing w:val="0"/>
          <w:sz w:val="44"/>
        </w:rPr>
        <w:t xml:space="preserve">年  </w:t>
      </w:r>
      <w:r>
        <w:rPr>
          <w:rFonts w:ascii="Times New Roman"/>
          <w:b/>
          <w:color w:val="000000"/>
          <w:spacing w:val="0"/>
          <w:sz w:val="44"/>
        </w:rPr>
        <w:t>11</w:t>
      </w:r>
      <w:r>
        <w:rPr>
          <w:rFonts w:ascii="SKJVQB+å®ä½" w:hAnsi="SKJVQB+å®ä½" w:cs="SKJVQB+å®ä½"/>
          <w:color w:val="000000"/>
          <w:spacing w:val="0"/>
          <w:sz w:val="44"/>
        </w:rPr>
        <w:t>月更新）</w:t>
      </w:r>
    </w:p>
    <w:p>
      <w:pPr>
        <w:framePr w:w="5795" w:wrap="around" w:vAnchor="margin" w:hAnchor="text" w:x="3435" w:y="11339"/>
        <w:widowControl w:val="0"/>
        <w:autoSpaceDE w:val="0"/>
        <w:autoSpaceDN w:val="0"/>
        <w:spacing w:before="0" w:after="0" w:line="281" w:lineRule="exact"/>
        <w:ind w:left="0" w:right="0"/>
        <w:jc w:val="left"/>
        <w:rPr>
          <w:rFonts w:ascii="THOMIT+é»ä½" w:hAnsi="THOMIT+é»ä½" w:cs="THOMIT+é»ä½"/>
          <w:color w:val="000000"/>
          <w:spacing w:val="0"/>
          <w:sz w:val="28"/>
        </w:rPr>
      </w:pPr>
      <w:r>
        <w:rPr>
          <w:rFonts w:ascii="THOMIT+é»ä½" w:hAnsi="THOMIT+é»ä½" w:cs="THOMIT+é»ä½"/>
          <w:color w:val="000000"/>
          <w:spacing w:val="0"/>
          <w:sz w:val="28"/>
        </w:rPr>
        <w:t>基金管理人：南方基金管理股份有限公司</w:t>
      </w:r>
    </w:p>
    <w:p>
      <w:pPr>
        <w:framePr w:w="5795" w:wrap="around" w:vAnchor="margin" w:hAnchor="text" w:x="3435" w:y="11339"/>
        <w:widowControl w:val="0"/>
        <w:autoSpaceDE w:val="0"/>
        <w:autoSpaceDN w:val="0"/>
        <w:spacing w:before="0" w:after="0" w:line="439" w:lineRule="exact"/>
        <w:ind w:left="278" w:right="0"/>
        <w:jc w:val="left"/>
        <w:rPr>
          <w:rFonts w:ascii="THOMIT+é»ä½" w:hAnsi="THOMIT+é»ä½" w:cs="THOMIT+é»ä½"/>
          <w:color w:val="000000"/>
          <w:spacing w:val="0"/>
          <w:sz w:val="28"/>
        </w:rPr>
      </w:pPr>
      <w:r>
        <w:rPr>
          <w:rFonts w:ascii="THOMIT+é»ä½" w:hAnsi="THOMIT+é»ä½" w:cs="THOMIT+é»ä½"/>
          <w:color w:val="000000"/>
          <w:spacing w:val="0"/>
          <w:sz w:val="28"/>
        </w:rPr>
        <w:t>基金托管人：交通银行股份有限公司</w:t>
      </w:r>
    </w:p>
    <w:p>
      <w:pPr>
        <w:spacing w:before="0" w:after="0" w:line="0" w:lineRule="exact"/>
        <w:ind w:left="0" w:right="0"/>
        <w:jc w:val="left"/>
        <w:rPr>
          <w:rFonts w:ascii="Arial"/>
          <w:color w:val="FF0000"/>
          <w:spacing w:val="0"/>
          <w:sz w:val="2"/>
        </w:rPr>
      </w:pPr>
      <w:r>
        <w:pict>
          <v:shape id="_x00000" o:spid="_x0000_s1026" o:spt="75" type="#_x0000_t75" style="position:absolute;left:0pt;margin-left:88.6pt;margin-top:52.95pt;height:0.7pt;width:418.3pt;mso-position-horizontal-relative:page;mso-position-vertical-relative:page;z-index:-1024;mso-width-relative:page;mso-height-relative:page;" filled="f" coordsize="21600,21600">
            <v:path/>
            <v:fill on="f" focussize="0,0"/>
            <v:stroke/>
            <v:imagedata r:id="rId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82" w:wrap="around" w:vAnchor="margin" w:hAnchor="text" w:x="5673" w:y="1836"/>
        <w:widowControl w:val="0"/>
        <w:autoSpaceDE w:val="0"/>
        <w:autoSpaceDN w:val="0"/>
        <w:spacing w:before="0" w:after="0" w:line="281" w:lineRule="exact"/>
        <w:ind w:left="0" w:right="0"/>
        <w:jc w:val="left"/>
        <w:rPr>
          <w:rFonts w:ascii="SKJVQB+å®ä½" w:hAnsi="SKJVQB+å®ä½" w:cs="SKJVQB+å®ä½"/>
          <w:color w:val="000000"/>
          <w:spacing w:val="0"/>
          <w:sz w:val="28"/>
        </w:rPr>
      </w:pPr>
      <w:r>
        <w:rPr>
          <w:rFonts w:ascii="SKJVQB+å®ä½" w:hAnsi="SKJVQB+å®ä½" w:cs="SKJVQB+å®ä½"/>
          <w:color w:val="000000"/>
          <w:spacing w:val="0"/>
          <w:sz w:val="28"/>
        </w:rPr>
        <w:t>目录</w:t>
      </w:r>
    </w:p>
    <w:p>
      <w:pPr>
        <w:framePr w:w="9546" w:wrap="around" w:vAnchor="margin" w:hAnchor="text" w:x="1800" w:y="2393"/>
        <w:widowControl w:val="0"/>
        <w:autoSpaceDE w:val="0"/>
        <w:autoSpaceDN w:val="0"/>
        <w:spacing w:before="0" w:after="0" w:line="234" w:lineRule="exact"/>
        <w:ind w:left="0" w:right="0"/>
        <w:jc w:val="left"/>
        <w:rPr>
          <w:rFonts w:ascii="Times New Roman"/>
          <w:color w:val="000000"/>
          <w:spacing w:val="0"/>
          <w:sz w:val="21"/>
        </w:rPr>
      </w:pPr>
      <w:r>
        <w:rPr>
          <w:rFonts w:ascii="Times New Roman" w:hAnsi="Times New Roman" w:cs="Times New Roman"/>
          <w:color w:val="000000"/>
          <w:spacing w:val="0"/>
          <w:sz w:val="21"/>
        </w:rPr>
        <w:t>§1</w:t>
      </w:r>
      <w:r>
        <w:rPr>
          <w:rFonts w:ascii="SKJVQB+å®ä½" w:hAnsi="SKJVQB+å®ä½" w:cs="SKJVQB+å®ä½"/>
          <w:color w:val="000000"/>
          <w:spacing w:val="0"/>
          <w:sz w:val="21"/>
        </w:rPr>
        <w:t>绪言</w:t>
      </w:r>
      <w:r>
        <w:rPr>
          <w:rFonts w:ascii="Times New Roman"/>
          <w:color w:val="000000"/>
          <w:spacing w:val="0"/>
          <w:sz w:val="21"/>
        </w:rPr>
        <w:t>.............................................................................................................................................   4</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§2</w:t>
      </w:r>
      <w:r>
        <w:rPr>
          <w:rFonts w:ascii="SKJVQB+å®ä½" w:hAnsi="SKJVQB+å®ä½" w:cs="SKJVQB+å®ä½"/>
          <w:color w:val="000000"/>
          <w:spacing w:val="0"/>
          <w:sz w:val="21"/>
        </w:rPr>
        <w:t>释义</w:t>
      </w:r>
      <w:r>
        <w:rPr>
          <w:rFonts w:ascii="Times New Roman"/>
          <w:color w:val="000000"/>
          <w:spacing w:val="0"/>
          <w:sz w:val="21"/>
        </w:rPr>
        <w:t>.............................................................................................................................................   5</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§3</w:t>
      </w:r>
      <w:r>
        <w:rPr>
          <w:rFonts w:ascii="SKJVQB+å®ä½" w:hAnsi="SKJVQB+å®ä½" w:cs="SKJVQB+å®ä½"/>
          <w:color w:val="000000"/>
          <w:spacing w:val="0"/>
          <w:sz w:val="21"/>
        </w:rPr>
        <w:t>基金管理人</w:t>
      </w:r>
      <w:r>
        <w:rPr>
          <w:rFonts w:ascii="Times New Roman"/>
          <w:color w:val="000000"/>
          <w:spacing w:val="0"/>
          <w:sz w:val="21"/>
        </w:rPr>
        <w:t>.................................................................................................................................   9</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§4</w:t>
      </w:r>
      <w:r>
        <w:rPr>
          <w:rFonts w:ascii="SKJVQB+å®ä½" w:hAnsi="SKJVQB+å®ä½" w:cs="SKJVQB+å®ä½"/>
          <w:color w:val="000000"/>
          <w:spacing w:val="0"/>
          <w:sz w:val="21"/>
        </w:rPr>
        <w:t>基金托管人</w:t>
      </w:r>
      <w:r>
        <w:rPr>
          <w:rFonts w:ascii="Times New Roman"/>
          <w:color w:val="000000"/>
          <w:spacing w:val="0"/>
          <w:sz w:val="21"/>
        </w:rPr>
        <w:t>...............................................................................................................................   20</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§5</w:t>
      </w:r>
      <w:r>
        <w:rPr>
          <w:rFonts w:ascii="SKJVQB+å®ä½" w:hAnsi="SKJVQB+å®ä½" w:cs="SKJVQB+å®ä½"/>
          <w:color w:val="000000"/>
          <w:spacing w:val="0"/>
          <w:sz w:val="21"/>
        </w:rPr>
        <w:t>相关服务机构</w:t>
      </w:r>
      <w:r>
        <w:rPr>
          <w:rFonts w:ascii="Times New Roman"/>
          <w:color w:val="000000"/>
          <w:spacing w:val="0"/>
          <w:sz w:val="21"/>
        </w:rPr>
        <w:t>...........................................................................................................................   24</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§6</w:t>
      </w:r>
      <w:r>
        <w:rPr>
          <w:rFonts w:ascii="SKJVQB+å®ä½" w:hAnsi="SKJVQB+å®ä½" w:cs="SKJVQB+å®ä½"/>
          <w:color w:val="000000"/>
          <w:spacing w:val="0"/>
          <w:sz w:val="21"/>
        </w:rPr>
        <w:t>基金的募集</w:t>
      </w:r>
      <w:r>
        <w:rPr>
          <w:rFonts w:ascii="Times New Roman"/>
          <w:color w:val="000000"/>
          <w:spacing w:val="0"/>
          <w:sz w:val="21"/>
        </w:rPr>
        <w:t>.............................................................................................................................   113</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§7</w:t>
      </w:r>
      <w:r>
        <w:rPr>
          <w:rFonts w:ascii="SKJVQB+å®ä½" w:hAnsi="SKJVQB+å®ä½" w:cs="SKJVQB+å®ä½"/>
          <w:color w:val="000000"/>
          <w:spacing w:val="0"/>
          <w:sz w:val="21"/>
        </w:rPr>
        <w:t>基金合同的生效</w:t>
      </w:r>
      <w:r>
        <w:rPr>
          <w:rFonts w:ascii="Times New Roman"/>
          <w:color w:val="000000"/>
          <w:spacing w:val="0"/>
          <w:sz w:val="21"/>
        </w:rPr>
        <w:t>.....................................................................................................................   114</w:t>
      </w:r>
    </w:p>
    <w:p>
      <w:pPr>
        <w:framePr w:w="9546" w:wrap="around" w:vAnchor="margin" w:hAnchor="text" w:x="1800" w:y="2393"/>
        <w:widowControl w:val="0"/>
        <w:autoSpaceDE w:val="0"/>
        <w:autoSpaceDN w:val="0"/>
        <w:spacing w:before="0" w:after="0" w:line="313" w:lineRule="exact"/>
        <w:ind w:left="0" w:right="0"/>
        <w:jc w:val="left"/>
        <w:rPr>
          <w:rFonts w:ascii="Times New Roman"/>
          <w:color w:val="000000"/>
          <w:spacing w:val="0"/>
          <w:sz w:val="21"/>
        </w:rPr>
      </w:pPr>
      <w:r>
        <w:rPr>
          <w:rFonts w:ascii="Times New Roman" w:hAnsi="Times New Roman" w:cs="Times New Roman"/>
          <w:color w:val="000000"/>
          <w:spacing w:val="0"/>
          <w:sz w:val="21"/>
        </w:rPr>
        <w:t>§8</w:t>
      </w:r>
      <w:r>
        <w:rPr>
          <w:rFonts w:ascii="SKJVQB+å®ä½" w:hAnsi="SKJVQB+å®ä½" w:cs="SKJVQB+å®ä½"/>
          <w:color w:val="000000"/>
          <w:spacing w:val="0"/>
          <w:sz w:val="21"/>
        </w:rPr>
        <w:t>基金份额的申购和赎回</w:t>
      </w:r>
      <w:r>
        <w:rPr>
          <w:rFonts w:ascii="Times New Roman"/>
          <w:color w:val="000000"/>
          <w:spacing w:val="0"/>
          <w:sz w:val="21"/>
        </w:rPr>
        <w:t>.........................................................................................................   115</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§9</w:t>
      </w:r>
      <w:r>
        <w:rPr>
          <w:rFonts w:ascii="SKJVQB+å®ä½" w:hAnsi="SKJVQB+å®ä½" w:cs="SKJVQB+å®ä½"/>
          <w:color w:val="000000"/>
          <w:spacing w:val="0"/>
          <w:sz w:val="21"/>
        </w:rPr>
        <w:t>基金的投资</w:t>
      </w:r>
      <w:r>
        <w:rPr>
          <w:rFonts w:ascii="Times New Roman"/>
          <w:color w:val="000000"/>
          <w:spacing w:val="0"/>
          <w:sz w:val="21"/>
        </w:rPr>
        <w:t>.............................................................................................................................   124</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§10</w:t>
      </w:r>
      <w:r>
        <w:rPr>
          <w:rFonts w:ascii="SKJVQB+å®ä½" w:hAnsi="SKJVQB+å®ä½" w:cs="SKJVQB+å®ä½"/>
          <w:color w:val="000000"/>
          <w:spacing w:val="0"/>
          <w:sz w:val="21"/>
        </w:rPr>
        <w:t>基金的财产</w:t>
      </w:r>
      <w:r>
        <w:rPr>
          <w:rFonts w:ascii="Times New Roman"/>
          <w:color w:val="000000"/>
          <w:spacing w:val="0"/>
          <w:sz w:val="21"/>
        </w:rPr>
        <w:t>...........................................................................................................................   135</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§11</w:t>
      </w:r>
      <w:r>
        <w:rPr>
          <w:rFonts w:ascii="SKJVQB+å®ä½" w:hAnsi="SKJVQB+å®ä½" w:cs="SKJVQB+å®ä½"/>
          <w:color w:val="000000"/>
          <w:spacing w:val="0"/>
          <w:sz w:val="21"/>
        </w:rPr>
        <w:t>基金资产估值</w:t>
      </w:r>
      <w:r>
        <w:rPr>
          <w:rFonts w:ascii="Times New Roman"/>
          <w:color w:val="000000"/>
          <w:spacing w:val="0"/>
          <w:sz w:val="21"/>
        </w:rPr>
        <w:t>.......................................................................................................................   136</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§12</w:t>
      </w:r>
      <w:r>
        <w:rPr>
          <w:rFonts w:ascii="SKJVQB+å®ä½" w:hAnsi="SKJVQB+å®ä½" w:cs="SKJVQB+å®ä½"/>
          <w:color w:val="000000"/>
          <w:spacing w:val="0"/>
          <w:sz w:val="21"/>
        </w:rPr>
        <w:t>基金的收益与分配</w:t>
      </w:r>
      <w:r>
        <w:rPr>
          <w:rFonts w:ascii="Times New Roman"/>
          <w:color w:val="000000"/>
          <w:spacing w:val="0"/>
          <w:sz w:val="21"/>
        </w:rPr>
        <w:t>...............................................................................................................   140</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§13</w:t>
      </w:r>
      <w:r>
        <w:rPr>
          <w:rFonts w:ascii="SKJVQB+å®ä½" w:hAnsi="SKJVQB+å®ä½" w:cs="SKJVQB+å®ä½"/>
          <w:color w:val="000000"/>
          <w:spacing w:val="0"/>
          <w:sz w:val="21"/>
        </w:rPr>
        <w:t>基金的费用与税收</w:t>
      </w:r>
      <w:r>
        <w:rPr>
          <w:rFonts w:ascii="Times New Roman"/>
          <w:color w:val="000000"/>
          <w:spacing w:val="0"/>
          <w:sz w:val="21"/>
        </w:rPr>
        <w:t>...............................................................................................................   142</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§14</w:t>
      </w:r>
      <w:r>
        <w:rPr>
          <w:rFonts w:ascii="SKJVQB+å®ä½" w:hAnsi="SKJVQB+å®ä½" w:cs="SKJVQB+å®ä½"/>
          <w:color w:val="000000"/>
          <w:spacing w:val="0"/>
          <w:sz w:val="21"/>
        </w:rPr>
        <w:t>基金的会计与审计</w:t>
      </w:r>
      <w:r>
        <w:rPr>
          <w:rFonts w:ascii="Times New Roman"/>
          <w:color w:val="000000"/>
          <w:spacing w:val="0"/>
          <w:sz w:val="21"/>
        </w:rPr>
        <w:t>...............................................................................................................   144</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§15</w:t>
      </w:r>
      <w:r>
        <w:rPr>
          <w:rFonts w:ascii="SKJVQB+å®ä½" w:hAnsi="SKJVQB+å®ä½" w:cs="SKJVQB+å®ä½"/>
          <w:color w:val="000000"/>
          <w:spacing w:val="0"/>
          <w:sz w:val="21"/>
        </w:rPr>
        <w:t>基金的信息披露</w:t>
      </w:r>
      <w:r>
        <w:rPr>
          <w:rFonts w:ascii="Times New Roman"/>
          <w:color w:val="000000"/>
          <w:spacing w:val="0"/>
          <w:sz w:val="21"/>
        </w:rPr>
        <w:t>...................................................................................................................   145</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§16</w:t>
      </w:r>
      <w:r>
        <w:rPr>
          <w:rFonts w:ascii="SKJVQB+å®ä½" w:hAnsi="SKJVQB+å®ä½" w:cs="SKJVQB+å®ä½"/>
          <w:color w:val="000000"/>
          <w:spacing w:val="0"/>
          <w:sz w:val="21"/>
        </w:rPr>
        <w:t>风险揭示</w:t>
      </w:r>
      <w:r>
        <w:rPr>
          <w:rFonts w:ascii="Times New Roman"/>
          <w:color w:val="000000"/>
          <w:spacing w:val="0"/>
          <w:sz w:val="21"/>
        </w:rPr>
        <w:t>...............................................................................................................................   151</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§17</w:t>
      </w:r>
      <w:r>
        <w:rPr>
          <w:rFonts w:ascii="SKJVQB+å®ä½" w:hAnsi="SKJVQB+å®ä½" w:cs="SKJVQB+å®ä½"/>
          <w:color w:val="000000"/>
          <w:spacing w:val="0"/>
          <w:sz w:val="21"/>
        </w:rPr>
        <w:t>基金合同的变更、终止和基金财产的清算</w:t>
      </w:r>
      <w:r>
        <w:rPr>
          <w:rFonts w:ascii="Times New Roman"/>
          <w:color w:val="000000"/>
          <w:spacing w:val="0"/>
          <w:sz w:val="21"/>
        </w:rPr>
        <w:t>.......................................................................   155</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§18</w:t>
      </w:r>
      <w:r>
        <w:rPr>
          <w:rFonts w:ascii="SKJVQB+å®ä½" w:hAnsi="SKJVQB+å®ä½" w:cs="SKJVQB+å®ä½"/>
          <w:color w:val="000000"/>
          <w:spacing w:val="0"/>
          <w:sz w:val="21"/>
        </w:rPr>
        <w:t>基金合同的内容摘要</w:t>
      </w:r>
      <w:r>
        <w:rPr>
          <w:rFonts w:ascii="Times New Roman"/>
          <w:color w:val="000000"/>
          <w:spacing w:val="0"/>
          <w:sz w:val="21"/>
        </w:rPr>
        <w:t>...........................................................................................................   157</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§19</w:t>
      </w:r>
      <w:r>
        <w:rPr>
          <w:rFonts w:ascii="SKJVQB+å®ä½" w:hAnsi="SKJVQB+å®ä½" w:cs="SKJVQB+å®ä½"/>
          <w:color w:val="000000"/>
          <w:spacing w:val="0"/>
          <w:sz w:val="21"/>
        </w:rPr>
        <w:t>基金托管协议的内容摘要</w:t>
      </w:r>
      <w:r>
        <w:rPr>
          <w:rFonts w:ascii="Times New Roman"/>
          <w:color w:val="000000"/>
          <w:spacing w:val="0"/>
          <w:sz w:val="21"/>
        </w:rPr>
        <w:t>...................................................................................................   175</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§20</w:t>
      </w:r>
      <w:r>
        <w:rPr>
          <w:rFonts w:ascii="SKJVQB+å®ä½" w:hAnsi="SKJVQB+å®ä½" w:cs="SKJVQB+å®ä½"/>
          <w:color w:val="000000"/>
          <w:spacing w:val="0"/>
          <w:sz w:val="21"/>
        </w:rPr>
        <w:t>基金份额持有人服务</w:t>
      </w:r>
      <w:r>
        <w:rPr>
          <w:rFonts w:ascii="Times New Roman"/>
          <w:color w:val="000000"/>
          <w:spacing w:val="0"/>
          <w:sz w:val="21"/>
        </w:rPr>
        <w:t>...........................................................................................................   189</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§21</w:t>
      </w:r>
      <w:r>
        <w:rPr>
          <w:rFonts w:ascii="SKJVQB+å®ä½" w:hAnsi="SKJVQB+å®ä½" w:cs="SKJVQB+å®ä½"/>
          <w:color w:val="000000"/>
          <w:spacing w:val="0"/>
          <w:sz w:val="21"/>
        </w:rPr>
        <w:t>其他应披露事项</w:t>
      </w:r>
      <w:r>
        <w:rPr>
          <w:rFonts w:ascii="Times New Roman"/>
          <w:color w:val="000000"/>
          <w:spacing w:val="0"/>
          <w:sz w:val="21"/>
        </w:rPr>
        <w:t>...................................................................................................................   191</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§22</w:t>
      </w:r>
      <w:r>
        <w:rPr>
          <w:rFonts w:ascii="SKJVQB+å®ä½" w:hAnsi="SKJVQB+å®ä½" w:cs="SKJVQB+å®ä½"/>
          <w:color w:val="000000"/>
          <w:spacing w:val="0"/>
          <w:sz w:val="21"/>
        </w:rPr>
        <w:t>招募说明书存放及其查阅方式</w:t>
      </w:r>
      <w:r>
        <w:rPr>
          <w:rFonts w:ascii="Times New Roman"/>
          <w:color w:val="000000"/>
          <w:spacing w:val="0"/>
          <w:sz w:val="21"/>
        </w:rPr>
        <w:t>...........................................................................................   192</w:t>
      </w:r>
    </w:p>
    <w:p>
      <w:pPr>
        <w:framePr w:w="9546" w:wrap="around" w:vAnchor="margin" w:hAnchor="text" w:x="1800" w:y="2393"/>
        <w:widowControl w:val="0"/>
        <w:autoSpaceDE w:val="0"/>
        <w:autoSpaceDN w:val="0"/>
        <w:spacing w:before="0" w:after="0" w:line="312" w:lineRule="exact"/>
        <w:ind w:left="0" w:right="0"/>
        <w:jc w:val="left"/>
        <w:rPr>
          <w:rFonts w:ascii="Times New Roman"/>
          <w:color w:val="000000"/>
          <w:spacing w:val="0"/>
          <w:sz w:val="21"/>
        </w:rPr>
      </w:pPr>
      <w:r>
        <w:rPr>
          <w:rFonts w:ascii="Times New Roman" w:hAnsi="Times New Roman" w:cs="Times New Roman"/>
          <w:color w:val="000000"/>
          <w:spacing w:val="0"/>
          <w:sz w:val="21"/>
        </w:rPr>
        <w:t>§23</w:t>
      </w:r>
      <w:r>
        <w:rPr>
          <w:rFonts w:ascii="SKJVQB+å®ä½" w:hAnsi="SKJVQB+å®ä½" w:cs="SKJVQB+å®ä½"/>
          <w:color w:val="000000"/>
          <w:spacing w:val="0"/>
          <w:sz w:val="21"/>
        </w:rPr>
        <w:t>备查文件</w:t>
      </w:r>
      <w:r>
        <w:rPr>
          <w:rFonts w:ascii="Times New Roman"/>
          <w:color w:val="000000"/>
          <w:spacing w:val="0"/>
          <w:sz w:val="21"/>
        </w:rPr>
        <w:t>...............................................................................................................................   193</w:t>
      </w:r>
    </w:p>
    <w:p>
      <w:pPr>
        <w:framePr w:w="1545" w:wrap="around" w:vAnchor="margin" w:hAnchor="text" w:x="5391" w:y="9937"/>
        <w:widowControl w:val="0"/>
        <w:autoSpaceDE w:val="0"/>
        <w:autoSpaceDN w:val="0"/>
        <w:spacing w:before="0" w:after="0" w:line="281" w:lineRule="exact"/>
        <w:ind w:left="0" w:right="0"/>
        <w:jc w:val="left"/>
        <w:rPr>
          <w:rFonts w:ascii="SKJVQB+å®ä½" w:hAnsi="SKJVQB+å®ä½" w:cs="SKJVQB+å®ä½"/>
          <w:color w:val="000000"/>
          <w:spacing w:val="0"/>
          <w:sz w:val="28"/>
        </w:rPr>
      </w:pPr>
      <w:r>
        <w:rPr>
          <w:rFonts w:ascii="SKJVQB+å®ä½" w:hAnsi="SKJVQB+å®ä½" w:cs="SKJVQB+å®ä½"/>
          <w:color w:val="000000"/>
          <w:spacing w:val="0"/>
          <w:sz w:val="28"/>
        </w:rPr>
        <w:t>重要提示</w:t>
      </w:r>
    </w:p>
    <w:p>
      <w:pPr>
        <w:framePr w:w="9557" w:wrap="around" w:vAnchor="margin" w:hAnchor="text" w:x="1800" w:y="1047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本基金经中国证监会 </w:t>
      </w:r>
      <w:r>
        <w:rPr>
          <w:rFonts w:ascii="GGHCMB+å®ä½"/>
          <w:color w:val="222222"/>
          <w:spacing w:val="0"/>
          <w:sz w:val="21"/>
        </w:rPr>
        <w:t>2015</w:t>
      </w:r>
      <w:r>
        <w:rPr>
          <w:rFonts w:ascii="SKJVQB+å®ä½" w:hAnsi="SKJVQB+å®ä½" w:cs="SKJVQB+å®ä½"/>
          <w:color w:val="222222"/>
          <w:spacing w:val="0"/>
          <w:sz w:val="21"/>
        </w:rPr>
        <w:t xml:space="preserve">年 </w:t>
      </w:r>
      <w:r>
        <w:rPr>
          <w:rFonts w:ascii="GGHCMB+å®ä½"/>
          <w:color w:val="222222"/>
          <w:spacing w:val="0"/>
          <w:sz w:val="21"/>
        </w:rPr>
        <w:t>1</w:t>
      </w:r>
      <w:r>
        <w:rPr>
          <w:rFonts w:ascii="SKJVQB+å®ä½" w:hAnsi="SKJVQB+å®ä½" w:cs="SKJVQB+å®ä½"/>
          <w:color w:val="222222"/>
          <w:spacing w:val="0"/>
          <w:sz w:val="21"/>
        </w:rPr>
        <w:t>月</w:t>
      </w:r>
      <w:r>
        <w:rPr>
          <w:rFonts w:ascii="GGHCMB+å®ä½"/>
          <w:color w:val="222222"/>
          <w:spacing w:val="0"/>
          <w:sz w:val="21"/>
        </w:rPr>
        <w:t>4</w:t>
      </w:r>
      <w:r>
        <w:rPr>
          <w:rFonts w:ascii="SKJVQB+å®ä½" w:hAnsi="SKJVQB+å®ä½" w:cs="SKJVQB+å®ä½"/>
          <w:color w:val="222222"/>
          <w:spacing w:val="0"/>
          <w:sz w:val="21"/>
        </w:rPr>
        <w:t>日证监许可</w:t>
      </w:r>
      <w:r>
        <w:rPr>
          <w:rFonts w:ascii="GGHCMB+å®ä½"/>
          <w:color w:val="222222"/>
          <w:spacing w:val="0"/>
          <w:sz w:val="21"/>
        </w:rPr>
        <w:t>[2015]7</w:t>
      </w:r>
      <w:r>
        <w:rPr>
          <w:rFonts w:ascii="SKJVQB+å®ä½" w:hAnsi="SKJVQB+å®ä½" w:cs="SKJVQB+å®ä½"/>
          <w:color w:val="222222"/>
          <w:spacing w:val="0"/>
          <w:sz w:val="21"/>
        </w:rPr>
        <w:t>号文注册募集，本基金合同于</w:t>
      </w:r>
    </w:p>
    <w:p>
      <w:pPr>
        <w:framePr w:w="9557" w:wrap="around" w:vAnchor="margin" w:hAnchor="text" w:x="1800" w:y="104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日正式生效。</w:t>
      </w:r>
    </w:p>
    <w:p>
      <w:pPr>
        <w:framePr w:w="9553" w:wrap="around" w:vAnchor="margin" w:hAnchor="text" w:x="1800" w:y="1129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基金管理人保证招募说明书的内容真实、准确、完整。本招募说明书经中国证监会注</w:t>
      </w:r>
      <w:bookmarkStart w:id="0" w:name="_GoBack"/>
      <w:bookmarkEnd w:id="0"/>
    </w:p>
    <w:p>
      <w:pPr>
        <w:framePr w:w="9553" w:wrap="around" w:vAnchor="margin" w:hAnchor="text" w:x="1800" w:y="1129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册，但中国证监会对本基金募集的注册，并不表明其对本基金的价值和收益做出实质性判</w:t>
      </w:r>
    </w:p>
    <w:p>
      <w:pPr>
        <w:framePr w:w="9553" w:wrap="around" w:vAnchor="margin" w:hAnchor="text" w:x="1800" w:y="1129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断或保证，也不表明投资于本基金没有风险。</w:t>
      </w:r>
    </w:p>
    <w:p>
      <w:pPr>
        <w:framePr w:w="9556" w:wrap="around" w:vAnchor="margin" w:hAnchor="text" w:x="1800" w:y="1252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本基金投资于证券市场，基金净值会因为证券市场波动等因素产生波动，投资人在投</w:t>
      </w:r>
    </w:p>
    <w:p>
      <w:pPr>
        <w:framePr w:w="9556" w:wrap="around" w:vAnchor="margin" w:hAnchor="text" w:x="1800" w:y="1252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资本基金前，应全面了解本基金的产品特性，充分考虑自身的风险承受能力，并承担基金</w:t>
      </w:r>
    </w:p>
    <w:p>
      <w:pPr>
        <w:framePr w:w="9556" w:wrap="around" w:vAnchor="margin" w:hAnchor="text" w:x="1800" w:y="1252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投资中出现的各类风险，包括：因政治、经济、社会等环境因素对证券价格产生影响而形</w:t>
      </w:r>
    </w:p>
    <w:p>
      <w:pPr>
        <w:framePr w:w="9556" w:wrap="around" w:vAnchor="margin" w:hAnchor="text" w:x="1800" w:y="12520"/>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成的系统性风险，个别证券特有的非系统性风险，由于基金投资人连续大量赎回基金产生</w:t>
      </w:r>
    </w:p>
    <w:p>
      <w:pPr>
        <w:framePr w:w="9556" w:wrap="around" w:vAnchor="margin" w:hAnchor="text" w:x="1800" w:y="1252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的流动性风险，基金管理人在基金管理实施过程中产生的基金管理风险，本基金投资中小</w:t>
      </w:r>
    </w:p>
    <w:p>
      <w:pPr>
        <w:framePr w:w="9556" w:wrap="around" w:vAnchor="margin" w:hAnchor="text" w:x="1800" w:y="1252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企业私募债的风险，本基金的特定风险等，详见招募说明书“风险揭示”章节。其中，本</w:t>
      </w:r>
    </w:p>
    <w:p>
      <w:pPr>
        <w:framePr w:w="9556" w:wrap="around" w:vAnchor="margin" w:hAnchor="text" w:x="1800" w:y="1252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基金投资中小企业私募债券，中小企业私募债是根据相关法律法规由非上市中小企业采用</w:t>
      </w:r>
    </w:p>
    <w:p>
      <w:pPr>
        <w:framePr w:w="360" w:wrap="around" w:vAnchor="margin" w:hAnchor="text" w:x="10018"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w:t>
      </w:r>
    </w:p>
    <w:p>
      <w:pPr>
        <w:spacing w:before="0" w:after="0" w:line="0" w:lineRule="exact"/>
        <w:ind w:left="0" w:right="0"/>
        <w:jc w:val="left"/>
        <w:rPr>
          <w:rFonts w:ascii="Arial"/>
          <w:color w:val="FF0000"/>
          <w:spacing w:val="0"/>
          <w:sz w:val="2"/>
        </w:rPr>
      </w:pPr>
      <w:r>
        <w:pict>
          <v:shape id="_x00001" o:spid="_x0000_s102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5" o:title=""/>
            <o:lock v:ext="edit" aspectratio="t"/>
          </v:shape>
        </w:pict>
      </w:r>
      <w:r>
        <w:pict>
          <v:shape id="_x00002" o:spid="_x0000_s1028" o:spt="75" type="#_x0000_t75" style="position:absolute;left:0pt;margin-left:88.6pt;margin-top:522.35pt;height:245.2pt;width:418.3pt;mso-position-horizontal-relative:page;mso-position-vertical-relative:page;z-index:-1024;mso-width-relative:page;mso-height-relative:page;" filled="f" coordsize="21600,21600">
            <v:path/>
            <v:fill on="f" focussize="0,0"/>
            <v:stroke/>
            <v:imagedata r:id="rId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48"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非公开方式发行的债券。由于不能公开交易，一般情况下，交易不活跃，潜在较大流动性</w:t>
      </w:r>
    </w:p>
    <w:p>
      <w:pPr>
        <w:framePr w:w="954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风险。当发债主体信用质量恶化时，受市场流动性所限，本基金可能无法卖出所持有的中</w:t>
      </w:r>
    </w:p>
    <w:p>
      <w:pPr>
        <w:framePr w:w="954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小企业私募债，由此可能给基金净值带来更大的负面影响和损失。</w:t>
      </w:r>
    </w:p>
    <w:p>
      <w:pPr>
        <w:framePr w:w="9559"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投资有风险，投资人认购（或申购）基金时应认真阅读本基金的《招募说明书》、《基</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金合同》及基金产品资料概要等信息披露文件，自主判断基金的投资价值，自主做出投资决</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策，全面认识本基金的风险收益特征和产品特性，并充分考虑自身的风险承受能力，理性</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判断市场，谨慎做出投资决策。</w:t>
      </w:r>
    </w:p>
    <w:p>
      <w:pPr>
        <w:framePr w:w="4110" w:wrap="around" w:vAnchor="margin" w:hAnchor="text" w:x="2220" w:y="43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基金的过往业绩并不预示其未来表现。</w:t>
      </w:r>
    </w:p>
    <w:p>
      <w:pPr>
        <w:framePr w:w="9553"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基金管理人依照恪尽职守、诚实信用、谨慎勤勉的原则管理和运用基金资产，但不保</w:t>
      </w:r>
    </w:p>
    <w:p>
      <w:pPr>
        <w:framePr w:w="9553"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证基金一定盈利，也不保证最低收益。本基金的过往业绩及其净值高低并不预示其未来业</w:t>
      </w:r>
    </w:p>
    <w:p>
      <w:pPr>
        <w:framePr w:w="9553"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绩表现；基金管理人管理的其他基金的业绩也不构成对本基金业绩表现的保证。基金管理</w:t>
      </w:r>
    </w:p>
    <w:p>
      <w:pPr>
        <w:framePr w:w="9553"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人提醒投资者基金投资的“买者自负”原则，在作出投资决策后，基金运营状况与基金净</w:t>
      </w:r>
    </w:p>
    <w:p>
      <w:pPr>
        <w:framePr w:w="9553" w:wrap="around" w:vAnchor="margin" w:hAnchor="text" w:x="1800" w:y="472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值变化引致的投资风险，由投资者自行负担。</w:t>
      </w:r>
    </w:p>
    <w:p>
      <w:pPr>
        <w:framePr w:w="9560" w:wrap="around" w:vAnchor="margin" w:hAnchor="text" w:x="1800" w:y="676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本次更新主要涉及调整基金管理、托管费事项，并已在招募说明书中对相关表述做出</w:t>
      </w:r>
    </w:p>
    <w:p>
      <w:pPr>
        <w:framePr w:w="9560" w:wrap="around" w:vAnchor="margin" w:hAnchor="text" w:x="1800" w:y="6763"/>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了修订。其他信息内容截止日为</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w:t>
      </w:r>
      <w:r>
        <w:rPr>
          <w:rFonts w:ascii="GGHCMB+å®ä½"/>
          <w:color w:val="222222"/>
          <w:spacing w:val="0"/>
          <w:sz w:val="21"/>
        </w:rPr>
        <w:t>,</w:t>
      </w:r>
      <w:r>
        <w:rPr>
          <w:rFonts w:ascii="SKJVQB+å®ä½" w:hAnsi="SKJVQB+å®ä½" w:cs="SKJVQB+å®ä½"/>
          <w:color w:val="222222"/>
          <w:spacing w:val="0"/>
          <w:sz w:val="21"/>
        </w:rPr>
        <w:t>有关财务数据和净值表现截止日为</w:t>
      </w:r>
      <w:r>
        <w:rPr>
          <w:rFonts w:ascii="GGHCMB+å®ä½"/>
          <w:color w:val="222222"/>
          <w:spacing w:val="0"/>
          <w:sz w:val="21"/>
        </w:rPr>
        <w:t>2019</w:t>
      </w:r>
    </w:p>
    <w:p>
      <w:pPr>
        <w:framePr w:w="9560"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31</w:t>
      </w:r>
      <w:r>
        <w:rPr>
          <w:rFonts w:ascii="SKJVQB+å®ä½" w:hAnsi="SKJVQB+å®ä½" w:cs="SKJVQB+å®ä½"/>
          <w:color w:val="222222"/>
          <w:spacing w:val="0"/>
          <w:sz w:val="21"/>
        </w:rPr>
        <w:t>日（未经审计）。</w:t>
      </w:r>
    </w:p>
    <w:p>
      <w:pPr>
        <w:framePr w:w="360" w:wrap="around" w:vAnchor="margin" w:hAnchor="text" w:x="10018"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w:t>
      </w:r>
    </w:p>
    <w:p>
      <w:pPr>
        <w:spacing w:before="0" w:after="0" w:line="0" w:lineRule="exact"/>
        <w:ind w:left="0" w:right="0"/>
        <w:jc w:val="left"/>
        <w:rPr>
          <w:rFonts w:ascii="Arial"/>
          <w:color w:val="FF0000"/>
          <w:spacing w:val="0"/>
          <w:sz w:val="2"/>
        </w:rPr>
      </w:pPr>
      <w:r>
        <w:pict>
          <v:shape id="_x00003" o:spid="_x0000_s102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7" o:title=""/>
            <o:lock v:ext="edit" aspectratio="t"/>
          </v:shape>
        </w:pict>
      </w:r>
      <w:r>
        <w:pict>
          <v:shape id="_x00004" o:spid="_x0000_s1030" o:spt="75" type="#_x0000_t75" style="position:absolute;left:0pt;margin-left:88.6pt;margin-top:71.1pt;height:326.85pt;width:418.3pt;mso-position-horizontal-relative:page;mso-position-vertical-relative:page;z-index:-1024;mso-width-relative:page;mso-height-relative:page;" filled="f" coordsize="21600,21600">
            <v:path/>
            <v:fill on="f" focussize="0,0"/>
            <v:stroke/>
            <v:imagedata r:id="rId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546" w:wrap="around" w:vAnchor="margin" w:hAnchor="text" w:x="5391"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w:t>
      </w:r>
      <w:r>
        <w:rPr>
          <w:rFonts w:ascii="SKJVQB+å®ä½" w:hAnsi="SKJVQB+å®ä½" w:cs="SKJVQB+å®ä½"/>
          <w:color w:val="222222"/>
          <w:spacing w:val="0"/>
          <w:sz w:val="28"/>
        </w:rPr>
        <w:t>绪言</w:t>
      </w:r>
    </w:p>
    <w:p>
      <w:pPr>
        <w:framePr w:w="9553" w:wrap="around" w:vAnchor="margin" w:hAnchor="text" w:x="1800" w:y="23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本基金按照中国法律法规成立并运作，若基金合同、招募说明书的内容与届时有效的</w:t>
      </w:r>
    </w:p>
    <w:p>
      <w:pPr>
        <w:framePr w:w="9553"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法律法规的强制性规定不一致，应当以届时有效的法律法规的规定为准。</w:t>
      </w:r>
    </w:p>
    <w:p>
      <w:pPr>
        <w:framePr w:w="9559" w:wrap="around" w:vAnchor="margin" w:hAnchor="text" w:x="1800" w:y="317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本招募说明书依据《中华人民共和国证券投资基金法》（以下简称《基金法》）、《公</w:t>
      </w:r>
    </w:p>
    <w:p>
      <w:pPr>
        <w:framePr w:w="9559" w:wrap="around" w:vAnchor="margin" w:hAnchor="text" w:x="1800" w:y="317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开募集证券投资基金运作管理办法》（以下简称《运作办法》）、《证券投资基金销售管理</w:t>
      </w:r>
    </w:p>
    <w:p>
      <w:pPr>
        <w:framePr w:w="9559" w:wrap="around" w:vAnchor="margin" w:hAnchor="text" w:x="1800" w:y="317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办法》（以下简称《销售办法》）、《公开募集证券投资基金信息披露管理办法》（以下简</w:t>
      </w:r>
    </w:p>
    <w:p>
      <w:pPr>
        <w:framePr w:w="9559" w:wrap="around" w:vAnchor="margin" w:hAnchor="text" w:x="1800" w:y="317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称《信息披露办法》）、《公开募集开放式证券投资基金流动性风险管理规定》以及《南方</w:t>
      </w:r>
    </w:p>
    <w:p>
      <w:pPr>
        <w:framePr w:w="9559" w:wrap="around" w:vAnchor="margin" w:hAnchor="text" w:x="1800" w:y="317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双元债券型证券投资基金基金合同》编写。</w:t>
      </w:r>
    </w:p>
    <w:p>
      <w:pPr>
        <w:framePr w:w="9558" w:wrap="around" w:vAnchor="margin" w:hAnchor="text" w:x="1800" w:y="521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基金管理人承诺本招募说明书不存在任何虚假记载、误导性陈述或者重大遗漏，并对</w:t>
      </w:r>
    </w:p>
    <w:p>
      <w:pPr>
        <w:framePr w:w="9558" w:wrap="around" w:vAnchor="margin" w:hAnchor="text" w:x="1800" w:y="52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其真实性、准确性、完整性承担法律责任。本基金是根据本招募说明书所载明的资料申请</w:t>
      </w:r>
    </w:p>
    <w:p>
      <w:pPr>
        <w:framePr w:w="9558" w:wrap="around" w:vAnchor="margin" w:hAnchor="text" w:x="1800" w:y="521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募集的。本基金管理人没有委托或授权任何其他人提供未在本招募说明书中载明的信息，</w:t>
      </w:r>
    </w:p>
    <w:p>
      <w:pPr>
        <w:framePr w:w="9558" w:wrap="around" w:vAnchor="margin" w:hAnchor="text" w:x="1800" w:y="52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或对本招募说明书作任何解释或者说明。</w:t>
      </w:r>
    </w:p>
    <w:p>
      <w:pPr>
        <w:framePr w:w="9559" w:wrap="around" w:vAnchor="margin" w:hAnchor="text" w:x="1800" w:y="685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本招募说明书根据本基金的基金合同编写，并经中国证监会注册。基金合同是约定基</w:t>
      </w:r>
    </w:p>
    <w:p>
      <w:pPr>
        <w:framePr w:w="9559" w:wrap="around" w:vAnchor="margin" w:hAnchor="text" w:x="1800" w:y="685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金当事人之间权利、义务的法律文件。基金投资人自依基金合同取得基金份额，即成为基</w:t>
      </w:r>
    </w:p>
    <w:p>
      <w:pPr>
        <w:framePr w:w="9559" w:wrap="around" w:vAnchor="margin" w:hAnchor="text" w:x="1800" w:y="685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金份额持有人和本基金合同的当事人，其持有基金份额的行为本身即表明其对基金合同的</w:t>
      </w:r>
    </w:p>
    <w:p>
      <w:pPr>
        <w:framePr w:w="9559" w:wrap="around" w:vAnchor="margin" w:hAnchor="text" w:x="1800" w:y="685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承认和接受，并按照《基金法》、基金合同及其他有关规定享有权利、承担义务。基金投资</w:t>
      </w:r>
    </w:p>
    <w:p>
      <w:pPr>
        <w:framePr w:w="9559" w:wrap="around" w:vAnchor="margin" w:hAnchor="text" w:x="1800" w:y="685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人欲了解基金份额持有人的权利和义务，应详细查阅基金合同。</w:t>
      </w:r>
    </w:p>
    <w:p>
      <w:pPr>
        <w:framePr w:w="360" w:wrap="around" w:vAnchor="margin" w:hAnchor="text" w:x="10018"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w:t>
      </w:r>
    </w:p>
    <w:p>
      <w:pPr>
        <w:spacing w:before="0" w:after="0" w:line="0" w:lineRule="exact"/>
        <w:ind w:left="0" w:right="0"/>
        <w:jc w:val="left"/>
        <w:rPr>
          <w:rFonts w:ascii="Arial"/>
          <w:color w:val="FF0000"/>
          <w:spacing w:val="0"/>
          <w:sz w:val="2"/>
        </w:rPr>
      </w:pPr>
      <w:r>
        <w:pict>
          <v:shape id="_x00005" o:spid="_x0000_s103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9" o:title=""/>
            <o:lock v:ext="edit" aspectratio="t"/>
          </v:shape>
        </w:pict>
      </w:r>
      <w:r>
        <w:pict>
          <v:shape id="_x00006" o:spid="_x0000_s1032" o:spt="75" type="#_x0000_t75" style="position:absolute;left:0pt;margin-left:88.6pt;margin-top:71.1pt;height:372.05pt;width:418.3pt;mso-position-horizontal-relative:page;mso-position-vertical-relative:page;z-index:-1024;mso-width-relative:page;mso-height-relative:page;" filled="f" coordsize="21600,21600">
            <v:path/>
            <v:fill on="f" focussize="0,0"/>
            <v:stroke/>
            <v:imagedata r:id="rId1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546" w:wrap="around" w:vAnchor="margin" w:hAnchor="text" w:x="5391"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w:t>
      </w:r>
      <w:r>
        <w:rPr>
          <w:rFonts w:ascii="SKJVQB+å®ä½" w:hAnsi="SKJVQB+å®ä½" w:cs="SKJVQB+å®ä½"/>
          <w:color w:val="222222"/>
          <w:spacing w:val="0"/>
          <w:sz w:val="28"/>
        </w:rPr>
        <w:t>释义</w:t>
      </w:r>
    </w:p>
    <w:p>
      <w:pPr>
        <w:framePr w:w="6769"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《招募说明书》中除非文意另有所指，下列词语具有如下含义：</w:t>
      </w:r>
    </w:p>
    <w:p>
      <w:pPr>
        <w:framePr w:w="5438" w:wrap="around" w:vAnchor="margin" w:hAnchor="text" w:x="2220" w:y="276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、基金或本基金：指南方双元债券型证券投资基金</w:t>
      </w:r>
    </w:p>
    <w:p>
      <w:pPr>
        <w:framePr w:w="4955" w:wrap="around" w:vAnchor="margin" w:hAnchor="text" w:x="2220" w:y="317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、基金管理人：指南方基金管理股份有限公司</w:t>
      </w:r>
    </w:p>
    <w:p>
      <w:pPr>
        <w:framePr w:w="4472" w:wrap="around" w:vAnchor="margin" w:hAnchor="text" w:x="2220" w:y="3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、基金托管人：指交通银行股份有限公司</w:t>
      </w:r>
    </w:p>
    <w:p>
      <w:pPr>
        <w:framePr w:w="9073" w:wrap="around" w:vAnchor="margin" w:hAnchor="text" w:x="2220" w:y="399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、基金合同：指《南方双元债券型证券投资基金基金合同》及对本基金合同的任何有</w:t>
      </w:r>
    </w:p>
    <w:p>
      <w:pPr>
        <w:framePr w:w="1578" w:wrap="around" w:vAnchor="margin" w:hAnchor="text" w:x="1800" w:y="439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效修订和补充</w:t>
      </w:r>
    </w:p>
    <w:p>
      <w:pPr>
        <w:framePr w:w="9556" w:wrap="around" w:vAnchor="margin" w:hAnchor="text" w:x="1800" w:y="48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、托管协议：指基金管理人与基金托管人就本基金签订之《南方双元债券型证券投资</w:t>
      </w:r>
    </w:p>
    <w:p>
      <w:pPr>
        <w:framePr w:w="9556" w:wrap="around" w:vAnchor="margin" w:hAnchor="text" w:x="1800" w:y="48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基金托管协议》及对该托管协议的任何有效修订和补充</w:t>
      </w:r>
    </w:p>
    <w:p>
      <w:pPr>
        <w:framePr w:w="9556" w:wrap="around" w:vAnchor="margin" w:hAnchor="text" w:x="1800" w:y="562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、招募说明书或本招募说明书：指《南方双元债券型证券投资基金招募说明书》及其</w:t>
      </w:r>
    </w:p>
    <w:p>
      <w:pPr>
        <w:framePr w:w="9556" w:wrap="around" w:vAnchor="margin" w:hAnchor="text" w:x="1800" w:y="562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更新</w:t>
      </w:r>
    </w:p>
    <w:p>
      <w:pPr>
        <w:framePr w:w="9556" w:wrap="around" w:vAnchor="margin" w:hAnchor="text" w:x="1800" w:y="644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、基金产品资料概要：指《南方双元债券型证券投资基金基金产品资料概要》及其更</w:t>
      </w:r>
    </w:p>
    <w:p>
      <w:pPr>
        <w:framePr w:w="9556" w:wrap="around" w:vAnchor="margin" w:hAnchor="text" w:x="1800" w:y="644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新</w:t>
      </w:r>
    </w:p>
    <w:p>
      <w:pPr>
        <w:framePr w:w="9799" w:wrap="around" w:vAnchor="margin" w:hAnchor="text" w:x="1800" w:y="725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、基金份额发售公告：指《南方双元债券型证券投资基金基金份额发售公告》</w:t>
      </w:r>
    </w:p>
    <w:p>
      <w:pPr>
        <w:framePr w:w="9799" w:wrap="around" w:vAnchor="margin" w:hAnchor="text" w:x="1800" w:y="725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、法律法规：指中国现行有效并公布实施的法律、行政法规、规范性文件、司法解释、</w:t>
      </w:r>
    </w:p>
    <w:p>
      <w:pPr>
        <w:framePr w:w="9799" w:wrap="around" w:vAnchor="margin" w:hAnchor="text" w:x="1800" w:y="725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行政规章以及其他对基金合同当事人有约束力的决定、决议、通知等</w:t>
      </w:r>
    </w:p>
    <w:p>
      <w:pPr>
        <w:framePr w:w="9799" w:wrap="around" w:vAnchor="margin" w:hAnchor="text" w:x="1800" w:y="725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、《基金法》：指</w:t>
      </w:r>
      <w:r>
        <w:rPr>
          <w:rFonts w:ascii="GGHCMB+å®ä½"/>
          <w:color w:val="222222"/>
          <w:spacing w:val="0"/>
          <w:sz w:val="21"/>
        </w:rPr>
        <w:t>2003</w:t>
      </w:r>
      <w:r>
        <w:rPr>
          <w:rFonts w:ascii="SKJVQB+å®ä½" w:hAnsi="SKJVQB+å®ä½" w:cs="SKJVQB+å®ä½"/>
          <w:color w:val="222222"/>
          <w:spacing w:val="0"/>
          <w:sz w:val="21"/>
        </w:rPr>
        <w:t>年</w:t>
      </w:r>
      <w:r>
        <w:rPr>
          <w:rFonts w:ascii="GGHCMB+å®ä½"/>
          <w:color w:val="222222"/>
          <w:spacing w:val="0"/>
          <w:sz w:val="21"/>
        </w:rPr>
        <w:t>10</w:t>
      </w:r>
      <w:r>
        <w:rPr>
          <w:rFonts w:ascii="SKJVQB+å®ä½" w:hAnsi="SKJVQB+å®ä½" w:cs="SKJVQB+å®ä½"/>
          <w:color w:val="222222"/>
          <w:spacing w:val="0"/>
          <w:sz w:val="21"/>
        </w:rPr>
        <w:t>月</w:t>
      </w:r>
      <w:r>
        <w:rPr>
          <w:rFonts w:ascii="GGHCMB+å®ä½"/>
          <w:color w:val="222222"/>
          <w:spacing w:val="0"/>
          <w:sz w:val="21"/>
        </w:rPr>
        <w:t>28</w:t>
      </w:r>
      <w:r>
        <w:rPr>
          <w:rFonts w:ascii="SKJVQB+å®ä½" w:hAnsi="SKJVQB+å®ä½" w:cs="SKJVQB+å®ä½"/>
          <w:color w:val="222222"/>
          <w:spacing w:val="0"/>
          <w:sz w:val="21"/>
        </w:rPr>
        <w:t>日经第十届全国人民代表大会常务委员会第五次</w:t>
      </w:r>
    </w:p>
    <w:p>
      <w:pPr>
        <w:framePr w:w="9799" w:wrap="around" w:vAnchor="margin" w:hAnchor="text" w:x="1800" w:y="725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会议通过，自</w:t>
      </w:r>
      <w:r>
        <w:rPr>
          <w:rFonts w:ascii="GGHCMB+å®ä½"/>
          <w:color w:val="222222"/>
          <w:spacing w:val="0"/>
          <w:sz w:val="21"/>
        </w:rPr>
        <w:t>2004</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日起实施并在</w:t>
      </w:r>
      <w:r>
        <w:rPr>
          <w:rFonts w:ascii="GGHCMB+å®ä½"/>
          <w:color w:val="222222"/>
          <w:spacing w:val="0"/>
          <w:sz w:val="21"/>
        </w:rPr>
        <w:t>2012</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28</w:t>
      </w:r>
      <w:r>
        <w:rPr>
          <w:rFonts w:ascii="SKJVQB+å®ä½" w:hAnsi="SKJVQB+å®ä½" w:cs="SKJVQB+å®ä½"/>
          <w:color w:val="222222"/>
          <w:spacing w:val="0"/>
          <w:sz w:val="21"/>
        </w:rPr>
        <w:t>日第十一届全国人民代表大会常</w:t>
      </w:r>
    </w:p>
    <w:p>
      <w:pPr>
        <w:framePr w:w="9799" w:wrap="around" w:vAnchor="margin" w:hAnchor="text" w:x="1800" w:y="725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务委员会第三十次会议修订、自</w:t>
      </w:r>
      <w:r>
        <w:rPr>
          <w:rFonts w:ascii="GGHCMB+å®ä½"/>
          <w:color w:val="222222"/>
          <w:spacing w:val="0"/>
          <w:sz w:val="21"/>
        </w:rPr>
        <w:t>2013</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日起实施的《中华人民共和国证券投资基金</w:t>
      </w:r>
    </w:p>
    <w:p>
      <w:pPr>
        <w:framePr w:w="9799" w:wrap="around" w:vAnchor="margin" w:hAnchor="text" w:x="1800" w:y="725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法》及颁布机关对其不时做出的修订</w:t>
      </w:r>
    </w:p>
    <w:p>
      <w:pPr>
        <w:framePr w:w="9557" w:wrap="around" w:vAnchor="margin" w:hAnchor="text" w:x="1800" w:y="1011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11</w:t>
      </w:r>
      <w:r>
        <w:rPr>
          <w:rFonts w:ascii="SKJVQB+å®ä½" w:hAnsi="SKJVQB+å®ä½" w:cs="SKJVQB+å®ä½"/>
          <w:color w:val="222222"/>
          <w:spacing w:val="0"/>
          <w:sz w:val="21"/>
        </w:rPr>
        <w:t>、《销售办法》：指中国证监会</w:t>
      </w:r>
      <w:r>
        <w:rPr>
          <w:rFonts w:ascii="GGHCMB+å®ä½"/>
          <w:color w:val="222222"/>
          <w:spacing w:val="0"/>
          <w:sz w:val="21"/>
        </w:rPr>
        <w:t>2013</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15</w:t>
      </w:r>
      <w:r>
        <w:rPr>
          <w:rFonts w:ascii="SKJVQB+å®ä½" w:hAnsi="SKJVQB+å®ä½" w:cs="SKJVQB+å®ä½"/>
          <w:color w:val="222222"/>
          <w:spacing w:val="0"/>
          <w:sz w:val="21"/>
        </w:rPr>
        <w:t>日颁布、同年</w:t>
      </w:r>
      <w:r>
        <w:rPr>
          <w:rFonts w:ascii="GGHCMB+å®ä½"/>
          <w:color w:val="222222"/>
          <w:spacing w:val="0"/>
          <w:sz w:val="21"/>
        </w:rPr>
        <w:t>6</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日实施的《证券</w:t>
      </w:r>
    </w:p>
    <w:p>
      <w:pPr>
        <w:framePr w:w="9557" w:wrap="around" w:vAnchor="margin" w:hAnchor="text" w:x="1800" w:y="10119"/>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投资基金销售管理办法》及颁布机关对其不时做出的修订</w:t>
      </w:r>
    </w:p>
    <w:p>
      <w:pPr>
        <w:framePr w:w="9678" w:wrap="around" w:vAnchor="margin" w:hAnchor="text" w:x="1800" w:y="1093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12</w:t>
      </w:r>
      <w:r>
        <w:rPr>
          <w:rFonts w:ascii="SKJVQB+å®ä½" w:hAnsi="SKJVQB+å®ä½" w:cs="SKJVQB+å®ä½"/>
          <w:color w:val="222222"/>
          <w:spacing w:val="0"/>
          <w:sz w:val="21"/>
        </w:rPr>
        <w:t>、《信息披露办法》：指中国证监会</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月</w:t>
      </w:r>
      <w:r>
        <w:rPr>
          <w:rFonts w:ascii="GGHCMB+å®ä½"/>
          <w:color w:val="222222"/>
          <w:spacing w:val="0"/>
          <w:sz w:val="21"/>
        </w:rPr>
        <w:t>26</w:t>
      </w:r>
      <w:r>
        <w:rPr>
          <w:rFonts w:ascii="SKJVQB+å®ä½" w:hAnsi="SKJVQB+å®ä½" w:cs="SKJVQB+å®ä½"/>
          <w:color w:val="222222"/>
          <w:spacing w:val="0"/>
          <w:sz w:val="21"/>
        </w:rPr>
        <w:t>日颁布、同年</w:t>
      </w:r>
      <w:r>
        <w:rPr>
          <w:rFonts w:ascii="GGHCMB+å®ä½"/>
          <w:color w:val="222222"/>
          <w:spacing w:val="0"/>
          <w:sz w:val="21"/>
        </w:rPr>
        <w:t>9</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日实施的《公</w:t>
      </w:r>
    </w:p>
    <w:p>
      <w:pPr>
        <w:framePr w:w="9678"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开募集证券投资基金信息披露管理办法》及颁布机关对其不时做出的修订</w:t>
      </w:r>
    </w:p>
    <w:p>
      <w:pPr>
        <w:framePr w:w="9678" w:wrap="around" w:vAnchor="margin" w:hAnchor="text" w:x="1800" w:y="10936"/>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13</w:t>
      </w:r>
      <w:r>
        <w:rPr>
          <w:rFonts w:ascii="SKJVQB+å®ä½" w:hAnsi="SKJVQB+å®ä½" w:cs="SKJVQB+å®ä½"/>
          <w:color w:val="222222"/>
          <w:spacing w:val="0"/>
          <w:sz w:val="21"/>
        </w:rPr>
        <w:t>、《运作办法》：指中国证监会</w:t>
      </w:r>
      <w:r>
        <w:rPr>
          <w:rFonts w:ascii="GGHCMB+å®ä½"/>
          <w:color w:val="222222"/>
          <w:spacing w:val="0"/>
          <w:sz w:val="21"/>
        </w:rPr>
        <w:t>2014</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月</w:t>
      </w:r>
      <w:r>
        <w:rPr>
          <w:rFonts w:ascii="GGHCMB+å®ä½"/>
          <w:color w:val="222222"/>
          <w:spacing w:val="0"/>
          <w:sz w:val="21"/>
        </w:rPr>
        <w:t>7</w:t>
      </w:r>
      <w:r>
        <w:rPr>
          <w:rFonts w:ascii="SKJVQB+å®ä½" w:hAnsi="SKJVQB+å®ä½" w:cs="SKJVQB+å®ä½"/>
          <w:color w:val="222222"/>
          <w:spacing w:val="0"/>
          <w:sz w:val="21"/>
        </w:rPr>
        <w:t>日颁布、同年</w:t>
      </w:r>
      <w:r>
        <w:rPr>
          <w:rFonts w:ascii="GGHCMB+å®ä½"/>
          <w:color w:val="222222"/>
          <w:spacing w:val="0"/>
          <w:sz w:val="21"/>
        </w:rPr>
        <w:t>8</w:t>
      </w:r>
      <w:r>
        <w:rPr>
          <w:rFonts w:ascii="SKJVQB+å®ä½" w:hAnsi="SKJVQB+å®ä½" w:cs="SKJVQB+å®ä½"/>
          <w:color w:val="222222"/>
          <w:spacing w:val="0"/>
          <w:sz w:val="21"/>
        </w:rPr>
        <w:t>月</w:t>
      </w:r>
      <w:r>
        <w:rPr>
          <w:rFonts w:ascii="GGHCMB+å®ä½"/>
          <w:color w:val="222222"/>
          <w:spacing w:val="0"/>
          <w:sz w:val="21"/>
        </w:rPr>
        <w:t>8</w:t>
      </w:r>
      <w:r>
        <w:rPr>
          <w:rFonts w:ascii="SKJVQB+å®ä½" w:hAnsi="SKJVQB+å®ä½" w:cs="SKJVQB+å®ä½"/>
          <w:color w:val="222222"/>
          <w:spacing w:val="0"/>
          <w:sz w:val="21"/>
        </w:rPr>
        <w:t>日实施的《公开</w:t>
      </w:r>
    </w:p>
    <w:p>
      <w:pPr>
        <w:framePr w:w="9678"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募集证券投资基金运作管理办法》及颁布机关对其不时做出的修订</w:t>
      </w:r>
    </w:p>
    <w:p>
      <w:pPr>
        <w:framePr w:w="9678" w:wrap="around" w:vAnchor="margin" w:hAnchor="text" w:x="1800" w:y="10936"/>
        <w:widowControl w:val="0"/>
        <w:autoSpaceDE w:val="0"/>
        <w:autoSpaceDN w:val="0"/>
        <w:spacing w:before="0" w:after="0" w:line="408" w:lineRule="exact"/>
        <w:ind w:left="420" w:right="0"/>
        <w:jc w:val="left"/>
        <w:rPr>
          <w:rFonts w:ascii="GGHCMB+å®ä½"/>
          <w:color w:val="222222"/>
          <w:spacing w:val="0"/>
          <w:sz w:val="21"/>
        </w:rPr>
      </w:pPr>
      <w:r>
        <w:rPr>
          <w:rFonts w:ascii="GGHCMB+å®ä½"/>
          <w:color w:val="222222"/>
          <w:spacing w:val="0"/>
          <w:sz w:val="21"/>
        </w:rPr>
        <w:t>14</w:t>
      </w:r>
      <w:r>
        <w:rPr>
          <w:rFonts w:ascii="SKJVQB+å®ä½" w:hAnsi="SKJVQB+å®ä½" w:cs="SKJVQB+å®ä½"/>
          <w:color w:val="222222"/>
          <w:spacing w:val="0"/>
          <w:sz w:val="21"/>
        </w:rPr>
        <w:t>、《公开募集开放式证券投资基金流动性风险管理规定》</w:t>
      </w:r>
      <w:r>
        <w:rPr>
          <w:rFonts w:ascii="GGHCMB+å®ä½"/>
          <w:color w:val="222222"/>
          <w:spacing w:val="0"/>
          <w:sz w:val="21"/>
        </w:rPr>
        <w:t>:</w:t>
      </w:r>
      <w:r>
        <w:rPr>
          <w:rFonts w:ascii="SKJVQB+å®ä½" w:hAnsi="SKJVQB+å®ä½" w:cs="SKJVQB+å®ä½"/>
          <w:color w:val="222222"/>
          <w:spacing w:val="0"/>
          <w:sz w:val="21"/>
        </w:rPr>
        <w:t xml:space="preserve">指中国证监会 </w:t>
      </w:r>
      <w:r>
        <w:rPr>
          <w:rFonts w:ascii="GGHCMB+å®ä½"/>
          <w:color w:val="222222"/>
          <w:spacing w:val="0"/>
          <w:sz w:val="21"/>
        </w:rPr>
        <w:t>2017</w:t>
      </w:r>
      <w:r>
        <w:rPr>
          <w:rFonts w:ascii="SKJVQB+å®ä½" w:hAnsi="SKJVQB+å®ä½" w:cs="SKJVQB+å®ä½"/>
          <w:color w:val="222222"/>
          <w:spacing w:val="0"/>
          <w:sz w:val="21"/>
        </w:rPr>
        <w:t xml:space="preserve">年  </w:t>
      </w:r>
      <w:r>
        <w:rPr>
          <w:rFonts w:ascii="GGHCMB+å®ä½"/>
          <w:color w:val="222222"/>
          <w:spacing w:val="0"/>
          <w:sz w:val="21"/>
        </w:rPr>
        <w:t xml:space="preserve"> 8</w:t>
      </w:r>
    </w:p>
    <w:p>
      <w:pPr>
        <w:framePr w:w="9678"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月</w:t>
      </w:r>
      <w:r>
        <w:rPr>
          <w:rFonts w:ascii="GGHCMB+å®ä½"/>
          <w:color w:val="222222"/>
          <w:spacing w:val="0"/>
          <w:sz w:val="21"/>
        </w:rPr>
        <w:t>31</w:t>
      </w:r>
      <w:r>
        <w:rPr>
          <w:rFonts w:ascii="SKJVQB+å®ä½" w:hAnsi="SKJVQB+å®ä½" w:cs="SKJVQB+å®ä½"/>
          <w:color w:val="222222"/>
          <w:spacing w:val="0"/>
          <w:sz w:val="21"/>
        </w:rPr>
        <w:t>日颁布、同年</w:t>
      </w:r>
      <w:r>
        <w:rPr>
          <w:rFonts w:ascii="GGHCMB+å®ä½"/>
          <w:color w:val="222222"/>
          <w:spacing w:val="0"/>
          <w:sz w:val="21"/>
        </w:rPr>
        <w:t>10</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日实施的《公开募集开放式证券投资基金流动性风险管理规定》</w:t>
      </w:r>
    </w:p>
    <w:p>
      <w:pPr>
        <w:framePr w:w="9678"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及颁布机关对其不时做出的修订</w:t>
      </w:r>
    </w:p>
    <w:p>
      <w:pPr>
        <w:framePr w:w="4836" w:wrap="around" w:vAnchor="margin" w:hAnchor="text" w:x="2220" w:y="1379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、中国证监会：指中国证券监督管理委员会</w:t>
      </w:r>
    </w:p>
    <w:p>
      <w:pPr>
        <w:framePr w:w="9553" w:wrap="around" w:vAnchor="margin" w:hAnchor="text" w:x="1800" w:y="1420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16</w:t>
      </w:r>
      <w:r>
        <w:rPr>
          <w:rFonts w:ascii="SKJVQB+å®ä½" w:hAnsi="SKJVQB+å®ä½" w:cs="SKJVQB+å®ä½"/>
          <w:color w:val="222222"/>
          <w:spacing w:val="0"/>
          <w:sz w:val="21"/>
        </w:rPr>
        <w:t>、银行业监督管理机构：指中国人民银行和</w:t>
      </w:r>
      <w:r>
        <w:rPr>
          <w:rFonts w:ascii="GGHCMB+å®ä½"/>
          <w:color w:val="222222"/>
          <w:spacing w:val="0"/>
          <w:sz w:val="21"/>
        </w:rPr>
        <w:t>/</w:t>
      </w:r>
      <w:r>
        <w:rPr>
          <w:rFonts w:ascii="SKJVQB+å®ä½" w:hAnsi="SKJVQB+å®ä½" w:cs="SKJVQB+å®ä½"/>
          <w:color w:val="222222"/>
          <w:spacing w:val="0"/>
          <w:sz w:val="21"/>
        </w:rPr>
        <w:t>或中国银行保险监督管理委员会</w:t>
      </w:r>
    </w:p>
    <w:p>
      <w:pPr>
        <w:framePr w:w="9553" w:wrap="around" w:vAnchor="margin" w:hAnchor="text" w:x="1800" w:y="1420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17</w:t>
      </w:r>
      <w:r>
        <w:rPr>
          <w:rFonts w:ascii="SKJVQB+å®ä½" w:hAnsi="SKJVQB+å®ä½" w:cs="SKJVQB+å®ä½"/>
          <w:color w:val="222222"/>
          <w:spacing w:val="0"/>
          <w:sz w:val="21"/>
        </w:rPr>
        <w:t>、基金合同当事人：指受基金合同约束，根据基金合同享有权利并承担义务的法律</w:t>
      </w:r>
    </w:p>
    <w:p>
      <w:pPr>
        <w:framePr w:w="9553" w:wrap="around" w:vAnchor="margin" w:hAnchor="text" w:x="1800" w:y="1420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主体，包括基金管理人、基金托管人和基金份额持有人</w:t>
      </w:r>
    </w:p>
    <w:p>
      <w:pPr>
        <w:framePr w:w="360" w:wrap="around" w:vAnchor="margin" w:hAnchor="text" w:x="10018"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w:t>
      </w:r>
    </w:p>
    <w:p>
      <w:pPr>
        <w:spacing w:before="0" w:after="0" w:line="0" w:lineRule="exact"/>
        <w:ind w:left="0" w:right="0"/>
        <w:jc w:val="left"/>
        <w:rPr>
          <w:rFonts w:ascii="Arial"/>
          <w:color w:val="FF0000"/>
          <w:spacing w:val="0"/>
          <w:sz w:val="2"/>
        </w:rPr>
      </w:pPr>
      <w:r>
        <w:pict>
          <v:shape id="_x00007" o:spid="_x0000_s103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 o:title=""/>
            <o:lock v:ext="edit" aspectratio="t"/>
          </v:shape>
        </w:pict>
      </w:r>
      <w:r>
        <w:pict>
          <v:shape id="_x00008" o:spid="_x0000_s1034" o:spt="75" type="#_x0000_t75" style="position:absolute;left:0pt;margin-left:88.6pt;margin-top:71.1pt;height:699pt;width:418.3pt;mso-position-horizontal-relative:page;mso-position-vertical-relative:page;z-index:-1024;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60"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18</w:t>
      </w:r>
      <w:r>
        <w:rPr>
          <w:rFonts w:ascii="SKJVQB+å®ä½" w:hAnsi="SKJVQB+å®ä½" w:cs="SKJVQB+å®ä½"/>
          <w:color w:val="222222"/>
          <w:spacing w:val="0"/>
          <w:sz w:val="21"/>
        </w:rPr>
        <w:t>、个人投资者：指依据有关法律法规规定可投资于证券投资基金的自然人</w:t>
      </w:r>
    </w:p>
    <w:p>
      <w:pPr>
        <w:framePr w:w="9560"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19</w:t>
      </w:r>
      <w:r>
        <w:rPr>
          <w:rFonts w:ascii="SKJVQB+å®ä½" w:hAnsi="SKJVQB+å®ä½" w:cs="SKJVQB+å®ä½"/>
          <w:color w:val="222222"/>
          <w:spacing w:val="0"/>
          <w:sz w:val="21"/>
        </w:rPr>
        <w:t>、机构投资者：指依法可以投资证券投资基金的、在中华人民共和国境内合法登记</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并存续或经有关政府部门批准设立并存续的企业法人、事业法人、社会团体或其他组织</w:t>
      </w:r>
    </w:p>
    <w:p>
      <w:pPr>
        <w:framePr w:w="9560" w:wrap="around" w:vAnchor="margin" w:hAnchor="text" w:x="1800" w:y="145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20</w:t>
      </w:r>
      <w:r>
        <w:rPr>
          <w:rFonts w:ascii="SKJVQB+å®ä½" w:hAnsi="SKJVQB+å®ä½" w:cs="SKJVQB+å®ä½"/>
          <w:color w:val="222222"/>
          <w:spacing w:val="0"/>
          <w:sz w:val="21"/>
        </w:rPr>
        <w:t>、合格境外机构投资者：指符合《合格境外机构投资者境内证券投资管理办法》（包</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括其不时修订）及相关法律法规规定可以投资于中国境内证券市场的中国境外的机构投资者</w:t>
      </w:r>
    </w:p>
    <w:p>
      <w:pPr>
        <w:framePr w:w="9560"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21</w:t>
      </w:r>
      <w:r>
        <w:rPr>
          <w:rFonts w:ascii="SKJVQB+å®ä½" w:hAnsi="SKJVQB+å®ä½" w:cs="SKJVQB+å®ä½"/>
          <w:color w:val="222222"/>
          <w:spacing w:val="0"/>
          <w:sz w:val="21"/>
        </w:rPr>
        <w:t>、人民币合格境外机构投资者：指按照《人民币合格境外机构投资者境内证券投资试</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点办法》（包括其不时修订）及相关法律法规规定，运用来自境外的人民币资金进行境内证</w:t>
      </w:r>
    </w:p>
    <w:p>
      <w:pPr>
        <w:framePr w:w="9560"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券投资的境外法人</w:t>
      </w:r>
    </w:p>
    <w:p>
      <w:pPr>
        <w:framePr w:w="9553"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22</w:t>
      </w:r>
      <w:r>
        <w:rPr>
          <w:rFonts w:ascii="SKJVQB+å®ä½" w:hAnsi="SKJVQB+å®ä½" w:cs="SKJVQB+å®ä½"/>
          <w:color w:val="222222"/>
          <w:spacing w:val="0"/>
          <w:sz w:val="21"/>
        </w:rPr>
        <w:t>、投资人：指个人投资者、机构投资者、合格境外机构投资者和人民币合格境外机</w:t>
      </w:r>
    </w:p>
    <w:p>
      <w:pPr>
        <w:framePr w:w="9553"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构投资者以及法律法规或中国证监会允许购买证券投资基金的其他投资人的合称</w:t>
      </w:r>
    </w:p>
    <w:p>
      <w:pPr>
        <w:framePr w:w="9553" w:wrap="around" w:vAnchor="margin" w:hAnchor="text" w:x="1800" w:y="472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23</w:t>
      </w:r>
      <w:r>
        <w:rPr>
          <w:rFonts w:ascii="SKJVQB+å®ä½" w:hAnsi="SKJVQB+å®ä½" w:cs="SKJVQB+å®ä½"/>
          <w:color w:val="222222"/>
          <w:spacing w:val="0"/>
          <w:sz w:val="21"/>
        </w:rPr>
        <w:t>、基金份额持有人：指依基金合同和招募说明书合法取得基金份额的投资人</w:t>
      </w:r>
    </w:p>
    <w:p>
      <w:pPr>
        <w:framePr w:w="9553" w:wrap="around" w:vAnchor="margin" w:hAnchor="text" w:x="1800" w:y="472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24</w:t>
      </w:r>
      <w:r>
        <w:rPr>
          <w:rFonts w:ascii="SKJVQB+å®ä½" w:hAnsi="SKJVQB+å®ä½" w:cs="SKJVQB+å®ä½"/>
          <w:color w:val="222222"/>
          <w:spacing w:val="0"/>
          <w:sz w:val="21"/>
        </w:rPr>
        <w:t>、基金销售业务：指基金管理人或销售机构宣传推介基金，发售基金份额，办理基</w:t>
      </w:r>
    </w:p>
    <w:p>
      <w:pPr>
        <w:framePr w:w="9553" w:wrap="around" w:vAnchor="margin" w:hAnchor="text" w:x="1800" w:y="472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金份额的申购、赎回、转换、转托管及定投等业务。</w:t>
      </w:r>
    </w:p>
    <w:p>
      <w:pPr>
        <w:framePr w:w="9559" w:wrap="around" w:vAnchor="margin" w:hAnchor="text" w:x="1800" w:y="676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25</w:t>
      </w:r>
      <w:r>
        <w:rPr>
          <w:rFonts w:ascii="SKJVQB+å®ä½" w:hAnsi="SKJVQB+å®ä½" w:cs="SKJVQB+å®ä½"/>
          <w:color w:val="222222"/>
          <w:spacing w:val="0"/>
          <w:sz w:val="21"/>
        </w:rPr>
        <w:t>、销售机构：指南方基金管理股份有限公司以及符合《销售办法》和中国证监会规定</w:t>
      </w:r>
    </w:p>
    <w:p>
      <w:pPr>
        <w:framePr w:w="9559"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的其他条件，取得基金销售业务资格并与基金管理人签订了基金销售服务协议，办理基金</w:t>
      </w:r>
    </w:p>
    <w:p>
      <w:pPr>
        <w:framePr w:w="9559"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销售业务的机构</w:t>
      </w:r>
    </w:p>
    <w:p>
      <w:pPr>
        <w:framePr w:w="9786"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26</w:t>
      </w:r>
      <w:r>
        <w:rPr>
          <w:rFonts w:ascii="SKJVQB+å®ä½" w:hAnsi="SKJVQB+å®ä½" w:cs="SKJVQB+å®ä½"/>
          <w:color w:val="222222"/>
          <w:spacing w:val="0"/>
          <w:sz w:val="21"/>
        </w:rPr>
        <w:t>、登记业务：指基金登记、存管、过户、清算和结算业务，具体内容包括投资人基</w:t>
      </w:r>
    </w:p>
    <w:p>
      <w:pPr>
        <w:framePr w:w="9786"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金账户的建立和管理、基金份额登记、基金销售业务的确认、清算和结算、代理发放红利、</w:t>
      </w:r>
    </w:p>
    <w:p>
      <w:pPr>
        <w:framePr w:w="9786"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建立并保管基金份额持有人名册和办理非交易过户等</w:t>
      </w:r>
    </w:p>
    <w:p>
      <w:pPr>
        <w:framePr w:w="9553" w:wrap="around" w:vAnchor="margin" w:hAnchor="text" w:x="1800" w:y="921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27</w:t>
      </w:r>
      <w:r>
        <w:rPr>
          <w:rFonts w:ascii="SKJVQB+å®ä½" w:hAnsi="SKJVQB+å®ä½" w:cs="SKJVQB+å®ä½"/>
          <w:color w:val="222222"/>
          <w:spacing w:val="0"/>
          <w:sz w:val="21"/>
        </w:rPr>
        <w:t>、登记机构：指办理登记业务的机构。基金的登记机构为南方基金管理股份有限公</w:t>
      </w:r>
    </w:p>
    <w:p>
      <w:pPr>
        <w:framePr w:w="9553"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司或接受南方基金管理股份有限公司委托代为办理登记业务的机构，本基金的登记机构为</w:t>
      </w:r>
    </w:p>
    <w:p>
      <w:pPr>
        <w:framePr w:w="9553" w:wrap="around" w:vAnchor="margin" w:hAnchor="text" w:x="1800" w:y="921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南方基金管理股份有限公司</w:t>
      </w:r>
    </w:p>
    <w:p>
      <w:pPr>
        <w:framePr w:w="9553"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28</w:t>
      </w:r>
      <w:r>
        <w:rPr>
          <w:rFonts w:ascii="SKJVQB+å®ä½" w:hAnsi="SKJVQB+å®ä½" w:cs="SKJVQB+å®ä½"/>
          <w:color w:val="222222"/>
          <w:spacing w:val="0"/>
          <w:sz w:val="21"/>
        </w:rPr>
        <w:t>、基金账户：指登记机构为投资人开立的、记录其持有的、基金管理人所管理的基</w:t>
      </w:r>
    </w:p>
    <w:p>
      <w:pPr>
        <w:framePr w:w="9553" w:wrap="around" w:vAnchor="margin" w:hAnchor="text" w:x="1800" w:y="104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金份额余额及其变动情况的账户</w:t>
      </w:r>
    </w:p>
    <w:p>
      <w:pPr>
        <w:framePr w:w="9553"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29</w:t>
      </w:r>
      <w:r>
        <w:rPr>
          <w:rFonts w:ascii="SKJVQB+å®ä½" w:hAnsi="SKJVQB+å®ä½" w:cs="SKJVQB+å®ä½"/>
          <w:color w:val="222222"/>
          <w:spacing w:val="0"/>
          <w:sz w:val="21"/>
        </w:rPr>
        <w:t>、基金交易账户：指销售机构为投资人开立的、记录投资人通过该销售机构办理基</w:t>
      </w:r>
    </w:p>
    <w:p>
      <w:pPr>
        <w:framePr w:w="9553"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金业务而引起的基金份额变动及结余情况的账户</w:t>
      </w:r>
    </w:p>
    <w:p>
      <w:pPr>
        <w:framePr w:w="9553" w:wrap="around" w:vAnchor="margin" w:hAnchor="text" w:x="1800" w:y="1207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30</w:t>
      </w:r>
      <w:r>
        <w:rPr>
          <w:rFonts w:ascii="SKJVQB+å®ä½" w:hAnsi="SKJVQB+å®ä½" w:cs="SKJVQB+å®ä½"/>
          <w:color w:val="222222"/>
          <w:spacing w:val="0"/>
          <w:sz w:val="21"/>
        </w:rPr>
        <w:t>、基金合同生效日：指基金募集达到法律法规规定及基金合同规定的条件，基金管</w:t>
      </w:r>
    </w:p>
    <w:p>
      <w:pPr>
        <w:framePr w:w="9553"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理人向中国证监会办理基金备案手续完毕，并获得中国证监会书面确认的日期</w:t>
      </w:r>
    </w:p>
    <w:p>
      <w:pPr>
        <w:framePr w:w="9553" w:wrap="around" w:vAnchor="margin" w:hAnchor="text" w:x="1800" w:y="1207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31</w:t>
      </w:r>
      <w:r>
        <w:rPr>
          <w:rFonts w:ascii="SKJVQB+å®ä½" w:hAnsi="SKJVQB+å®ä½" w:cs="SKJVQB+å®ä½"/>
          <w:color w:val="222222"/>
          <w:spacing w:val="0"/>
          <w:sz w:val="21"/>
        </w:rPr>
        <w:t>、基金合同终止日：指基金合同规定的基金合同终止事由出现后，基金财产清算完</w:t>
      </w:r>
    </w:p>
    <w:p>
      <w:pPr>
        <w:framePr w:w="9553"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毕，清算结果报中国证监会备案并予以公告的日期</w:t>
      </w:r>
    </w:p>
    <w:p>
      <w:pPr>
        <w:framePr w:w="9553"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32</w:t>
      </w:r>
      <w:r>
        <w:rPr>
          <w:rFonts w:ascii="SKJVQB+å®ä½" w:hAnsi="SKJVQB+å®ä½" w:cs="SKJVQB+å®ä½"/>
          <w:color w:val="222222"/>
          <w:spacing w:val="0"/>
          <w:sz w:val="21"/>
        </w:rPr>
        <w:t>、基金募集期：指自基金份额发售之日起至发售结束之日止的期间，最长不得超过</w:t>
      </w:r>
    </w:p>
    <w:p>
      <w:pPr>
        <w:framePr w:w="9553" w:wrap="around" w:vAnchor="margin" w:hAnchor="text" w:x="180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个月</w:t>
      </w:r>
    </w:p>
    <w:p>
      <w:pPr>
        <w:framePr w:w="5803" w:wrap="around" w:vAnchor="margin" w:hAnchor="text" w:x="2220" w:y="1452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33</w:t>
      </w:r>
      <w:r>
        <w:rPr>
          <w:rFonts w:ascii="SKJVQB+å®ä½" w:hAnsi="SKJVQB+å®ä½" w:cs="SKJVQB+å®ä½"/>
          <w:color w:val="222222"/>
          <w:spacing w:val="0"/>
          <w:sz w:val="21"/>
        </w:rPr>
        <w:t>、存续期：指基金合同生效至终止之间的不定期期限</w:t>
      </w:r>
    </w:p>
    <w:p>
      <w:pPr>
        <w:framePr w:w="6769"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34</w:t>
      </w:r>
      <w:r>
        <w:rPr>
          <w:rFonts w:ascii="SKJVQB+å®ä½" w:hAnsi="SKJVQB+å®ä½" w:cs="SKJVQB+å®ä½"/>
          <w:color w:val="222222"/>
          <w:spacing w:val="0"/>
          <w:sz w:val="21"/>
        </w:rPr>
        <w:t>、工作日：指上海证券交易所、深圳证券交易所的正常交易日</w:t>
      </w:r>
    </w:p>
    <w:p>
      <w:pPr>
        <w:framePr w:w="360" w:wrap="around" w:vAnchor="margin" w:hAnchor="text" w:x="10018"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w:t>
      </w:r>
    </w:p>
    <w:p>
      <w:pPr>
        <w:spacing w:before="0" w:after="0" w:line="0" w:lineRule="exact"/>
        <w:ind w:left="0" w:right="0"/>
        <w:jc w:val="left"/>
        <w:rPr>
          <w:rFonts w:ascii="Arial"/>
          <w:color w:val="FF0000"/>
          <w:spacing w:val="0"/>
          <w:sz w:val="2"/>
        </w:rPr>
      </w:pPr>
      <w:r>
        <w:pict>
          <v:shape id="_x00009" o:spid="_x0000_s103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 o:title=""/>
            <o:lock v:ext="edit" aspectratio="t"/>
          </v:shape>
        </w:pict>
      </w:r>
      <w:r>
        <w:pict>
          <v:shape id="_x000010" o:spid="_x0000_s1036" o:spt="75" type="#_x0000_t75" style="position:absolute;left:0pt;margin-left:88.6pt;margin-top:71.1pt;height:694.55pt;width:418.3pt;mso-position-horizontal-relative:page;mso-position-vertical-relative:page;z-index:-1024;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9"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35</w:t>
      </w:r>
      <w:r>
        <w:rPr>
          <w:rFonts w:ascii="SKJVQB+å®ä½" w:hAnsi="SKJVQB+å®ä½" w:cs="SKJVQB+å®ä½"/>
          <w:color w:val="222222"/>
          <w:spacing w:val="0"/>
          <w:sz w:val="21"/>
        </w:rPr>
        <w:t>、</w:t>
      </w:r>
      <w:r>
        <w:rPr>
          <w:rFonts w:ascii="GGHCMB+å®ä½"/>
          <w:color w:val="222222"/>
          <w:spacing w:val="0"/>
          <w:sz w:val="21"/>
        </w:rPr>
        <w:t>T</w:t>
      </w:r>
      <w:r>
        <w:rPr>
          <w:rFonts w:ascii="SKJVQB+å®ä½" w:hAnsi="SKJVQB+å®ä½" w:cs="SKJVQB+å®ä½"/>
          <w:color w:val="222222"/>
          <w:spacing w:val="0"/>
          <w:sz w:val="21"/>
        </w:rPr>
        <w:t>日：指销售机构在规定时间受理投资人申购、赎回或其他业务申请的开放日</w:t>
      </w:r>
    </w:p>
    <w:p>
      <w:pPr>
        <w:framePr w:w="9559"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36</w:t>
      </w:r>
      <w:r>
        <w:rPr>
          <w:rFonts w:ascii="SKJVQB+å®ä½" w:hAnsi="SKJVQB+å®ä½" w:cs="SKJVQB+å®ä½"/>
          <w:color w:val="222222"/>
          <w:spacing w:val="0"/>
          <w:sz w:val="21"/>
        </w:rPr>
        <w:t>、</w:t>
      </w:r>
      <w:r>
        <w:rPr>
          <w:rFonts w:ascii="GGHCMB+å®ä½"/>
          <w:color w:val="222222"/>
          <w:spacing w:val="0"/>
          <w:sz w:val="21"/>
        </w:rPr>
        <w:t>T+n</w:t>
      </w:r>
      <w:r>
        <w:rPr>
          <w:rFonts w:ascii="SKJVQB+å®ä½" w:hAnsi="SKJVQB+å®ä½" w:cs="SKJVQB+å®ä½"/>
          <w:color w:val="222222"/>
          <w:spacing w:val="0"/>
          <w:sz w:val="21"/>
        </w:rPr>
        <w:t>日：指自</w:t>
      </w:r>
      <w:r>
        <w:rPr>
          <w:rFonts w:ascii="GGHCMB+å®ä½"/>
          <w:color w:val="222222"/>
          <w:spacing w:val="0"/>
          <w:sz w:val="21"/>
        </w:rPr>
        <w:t>T</w:t>
      </w:r>
      <w:r>
        <w:rPr>
          <w:rFonts w:ascii="SKJVQB+å®ä½" w:hAnsi="SKJVQB+å®ä½" w:cs="SKJVQB+å®ä½"/>
          <w:color w:val="222222"/>
          <w:spacing w:val="0"/>
          <w:sz w:val="21"/>
        </w:rPr>
        <w:t>日起第</w:t>
      </w:r>
      <w:r>
        <w:rPr>
          <w:rFonts w:ascii="GGHCMB+å®ä½"/>
          <w:color w:val="222222"/>
          <w:spacing w:val="0"/>
          <w:sz w:val="21"/>
        </w:rPr>
        <w:t>n</w:t>
      </w:r>
      <w:r>
        <w:rPr>
          <w:rFonts w:ascii="SKJVQB+å®ä½" w:hAnsi="SKJVQB+å®ä½" w:cs="SKJVQB+å®ä½"/>
          <w:color w:val="222222"/>
          <w:spacing w:val="0"/>
          <w:sz w:val="21"/>
        </w:rPr>
        <w:t>个工作日</w:t>
      </w:r>
      <w:r>
        <w:rPr>
          <w:rFonts w:ascii="GGHCMB+å®ä½"/>
          <w:color w:val="222222"/>
          <w:spacing w:val="0"/>
          <w:sz w:val="21"/>
        </w:rPr>
        <w:t>(</w:t>
      </w:r>
      <w:r>
        <w:rPr>
          <w:rFonts w:ascii="SKJVQB+å®ä½" w:hAnsi="SKJVQB+å®ä½" w:cs="SKJVQB+å®ä½"/>
          <w:color w:val="222222"/>
          <w:spacing w:val="0"/>
          <w:sz w:val="21"/>
        </w:rPr>
        <w:t>不包含</w:t>
      </w:r>
      <w:r>
        <w:rPr>
          <w:rFonts w:ascii="GGHCMB+å®ä½"/>
          <w:color w:val="222222"/>
          <w:spacing w:val="0"/>
          <w:sz w:val="21"/>
        </w:rPr>
        <w:t>T</w:t>
      </w:r>
      <w:r>
        <w:rPr>
          <w:rFonts w:ascii="SKJVQB+å®ä½" w:hAnsi="SKJVQB+å®ä½" w:cs="SKJVQB+å®ä½"/>
          <w:color w:val="222222"/>
          <w:spacing w:val="0"/>
          <w:sz w:val="21"/>
        </w:rPr>
        <w:t>日</w:t>
      </w:r>
      <w:r>
        <w:rPr>
          <w:rFonts w:ascii="GGHCMB+å®ä½"/>
          <w:color w:val="222222"/>
          <w:spacing w:val="0"/>
          <w:sz w:val="21"/>
        </w:rPr>
        <w:t>)</w:t>
      </w:r>
      <w:r>
        <w:rPr>
          <w:rFonts w:ascii="SKJVQB+å®ä½" w:hAnsi="SKJVQB+å®ä½" w:cs="SKJVQB+å®ä½"/>
          <w:color w:val="222222"/>
          <w:spacing w:val="0"/>
          <w:sz w:val="21"/>
        </w:rPr>
        <w:t>，</w:t>
      </w:r>
      <w:r>
        <w:rPr>
          <w:rFonts w:ascii="GGHCMB+å®ä½"/>
          <w:color w:val="222222"/>
          <w:spacing w:val="0"/>
          <w:sz w:val="21"/>
        </w:rPr>
        <w:t>n</w:t>
      </w:r>
      <w:r>
        <w:rPr>
          <w:rFonts w:ascii="SKJVQB+å®ä½" w:hAnsi="SKJVQB+å®ä½" w:cs="SKJVQB+å®ä½"/>
          <w:color w:val="222222"/>
          <w:spacing w:val="0"/>
          <w:sz w:val="21"/>
        </w:rPr>
        <w:t>为自然数</w:t>
      </w:r>
    </w:p>
    <w:p>
      <w:pPr>
        <w:framePr w:w="9559"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37</w:t>
      </w:r>
      <w:r>
        <w:rPr>
          <w:rFonts w:ascii="SKJVQB+å®ä½" w:hAnsi="SKJVQB+å®ä½" w:cs="SKJVQB+å®ä½"/>
          <w:color w:val="222222"/>
          <w:spacing w:val="0"/>
          <w:sz w:val="21"/>
        </w:rPr>
        <w:t>、开放日：指为投资人办理基金份额申购、赎回或其他业务的工作日</w:t>
      </w:r>
    </w:p>
    <w:p>
      <w:pPr>
        <w:framePr w:w="9559" w:wrap="around" w:vAnchor="margin" w:hAnchor="text" w:x="1800" w:y="145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38</w:t>
      </w:r>
      <w:r>
        <w:rPr>
          <w:rFonts w:ascii="SKJVQB+å®ä½" w:hAnsi="SKJVQB+å®ä½" w:cs="SKJVQB+å®ä½"/>
          <w:color w:val="222222"/>
          <w:spacing w:val="0"/>
          <w:sz w:val="21"/>
        </w:rPr>
        <w:t>、开放时间：指开放日基金接受申购、赎回或其他交易的时间段</w:t>
      </w:r>
    </w:p>
    <w:p>
      <w:pPr>
        <w:framePr w:w="9559"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39</w:t>
      </w:r>
      <w:r>
        <w:rPr>
          <w:rFonts w:ascii="SKJVQB+å®ä½" w:hAnsi="SKJVQB+å®ä½" w:cs="SKJVQB+å®ä½"/>
          <w:color w:val="222222"/>
          <w:spacing w:val="0"/>
          <w:sz w:val="21"/>
        </w:rPr>
        <w:t>、《业务规则》：指《南方基金管理股份有限公司开放式基金业务规则》，是规范基</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金管理人所管理的开放式证券投资基金登记方面的业务规则，由基金管理人和投资人共同</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遵守</w:t>
      </w:r>
    </w:p>
    <w:p>
      <w:pPr>
        <w:framePr w:w="9543"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40</w:t>
      </w:r>
      <w:r>
        <w:rPr>
          <w:rFonts w:ascii="SKJVQB+å®ä½" w:hAnsi="SKJVQB+å®ä½" w:cs="SKJVQB+å®ä½"/>
          <w:color w:val="222222"/>
          <w:spacing w:val="0"/>
          <w:sz w:val="21"/>
        </w:rPr>
        <w:t>、认购：指在基金募集期内，投资人根据基金合同和招募说明书的规定申请购买基</w:t>
      </w:r>
    </w:p>
    <w:p>
      <w:pPr>
        <w:framePr w:w="9543"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金份额的行为</w:t>
      </w:r>
    </w:p>
    <w:p>
      <w:pPr>
        <w:framePr w:w="9553"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41</w:t>
      </w:r>
      <w:r>
        <w:rPr>
          <w:rFonts w:ascii="SKJVQB+å®ä½" w:hAnsi="SKJVQB+å®ä½" w:cs="SKJVQB+å®ä½"/>
          <w:color w:val="222222"/>
          <w:spacing w:val="0"/>
          <w:sz w:val="21"/>
        </w:rPr>
        <w:t>、申购：指基金合同生效后，投资人根据基金合同和招募说明书的规定申请购买基</w:t>
      </w:r>
    </w:p>
    <w:p>
      <w:pPr>
        <w:framePr w:w="9553"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金份额的行为</w:t>
      </w:r>
    </w:p>
    <w:p>
      <w:pPr>
        <w:framePr w:w="9553" w:wrap="around" w:vAnchor="margin" w:hAnchor="text" w:x="1800" w:y="59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42</w:t>
      </w:r>
      <w:r>
        <w:rPr>
          <w:rFonts w:ascii="SKJVQB+å®ä½" w:hAnsi="SKJVQB+å®ä½" w:cs="SKJVQB+å®ä½"/>
          <w:color w:val="222222"/>
          <w:spacing w:val="0"/>
          <w:sz w:val="21"/>
        </w:rPr>
        <w:t>、赎回：指基金合同生效后，基金份额持有人按基金合同和招募说明书规定的条件</w:t>
      </w:r>
    </w:p>
    <w:p>
      <w:pPr>
        <w:framePr w:w="9553"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要求将基金份额兑换为现金的行为</w:t>
      </w:r>
    </w:p>
    <w:p>
      <w:pPr>
        <w:framePr w:w="9553" w:wrap="around" w:vAnchor="margin" w:hAnchor="text" w:x="1800" w:y="676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43</w:t>
      </w:r>
      <w:r>
        <w:rPr>
          <w:rFonts w:ascii="SKJVQB+å®ä½" w:hAnsi="SKJVQB+å®ä½" w:cs="SKJVQB+å®ä½"/>
          <w:color w:val="222222"/>
          <w:spacing w:val="0"/>
          <w:sz w:val="21"/>
        </w:rPr>
        <w:t>、基金转换：指基金份额持有人按照本基金合同和基金管理人届时有效公告规定的</w:t>
      </w:r>
    </w:p>
    <w:p>
      <w:pPr>
        <w:framePr w:w="9553"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条件，申请将其持有基金管理人管理的、某一基金的基金份额转换为基金管理人管理的其</w:t>
      </w:r>
    </w:p>
    <w:p>
      <w:pPr>
        <w:framePr w:w="9553"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他基金份额的行为</w:t>
      </w:r>
    </w:p>
    <w:p>
      <w:pPr>
        <w:framePr w:w="9552"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44</w:t>
      </w:r>
      <w:r>
        <w:rPr>
          <w:rFonts w:ascii="SKJVQB+å®ä½" w:hAnsi="SKJVQB+å®ä½" w:cs="SKJVQB+å®ä½"/>
          <w:color w:val="222222"/>
          <w:spacing w:val="0"/>
          <w:sz w:val="21"/>
        </w:rPr>
        <w:t>、转托管：指基金份额持有人在本基金的不同销售机构之间实施的变更所持基金份</w:t>
      </w:r>
    </w:p>
    <w:p>
      <w:pPr>
        <w:framePr w:w="9552"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额销售机构的操作</w:t>
      </w:r>
    </w:p>
    <w:p>
      <w:pPr>
        <w:framePr w:w="9553"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45</w:t>
      </w:r>
      <w:r>
        <w:rPr>
          <w:rFonts w:ascii="SKJVQB+å®ä½" w:hAnsi="SKJVQB+å®ä½" w:cs="SKJVQB+å®ä½"/>
          <w:color w:val="222222"/>
          <w:spacing w:val="0"/>
          <w:sz w:val="21"/>
        </w:rPr>
        <w:t>、定投计划：指投资人通过有关销售机构提出申请，约定每期申购日、扣款金额及</w:t>
      </w:r>
    </w:p>
    <w:p>
      <w:pPr>
        <w:framePr w:w="9553"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扣款方式，由销售机构于每期约定扣款日在投资人指定银行账户内自动完成扣款及受理基</w:t>
      </w:r>
    </w:p>
    <w:p>
      <w:pPr>
        <w:framePr w:w="9553"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金申购申请的一种投资方式</w:t>
      </w:r>
    </w:p>
    <w:p>
      <w:pPr>
        <w:framePr w:w="9559"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46</w:t>
      </w:r>
      <w:r>
        <w:rPr>
          <w:rFonts w:ascii="SKJVQB+å®ä½" w:hAnsi="SKJVQB+å®ä½" w:cs="SKJVQB+å®ä½"/>
          <w:color w:val="222222"/>
          <w:spacing w:val="0"/>
          <w:sz w:val="21"/>
        </w:rPr>
        <w:t>、巨额赎回：指本基金单个开放日，基金净赎回申请</w:t>
      </w:r>
      <w:r>
        <w:rPr>
          <w:rFonts w:ascii="GGHCMB+å®ä½"/>
          <w:color w:val="222222"/>
          <w:spacing w:val="0"/>
          <w:sz w:val="21"/>
        </w:rPr>
        <w:t>(</w:t>
      </w:r>
      <w:r>
        <w:rPr>
          <w:rFonts w:ascii="SKJVQB+å®ä½" w:hAnsi="SKJVQB+å®ä½" w:cs="SKJVQB+å®ä½"/>
          <w:color w:val="222222"/>
          <w:spacing w:val="0"/>
          <w:sz w:val="21"/>
        </w:rPr>
        <w:t>赎回申请份额总数加上基金转</w:t>
      </w:r>
    </w:p>
    <w:p>
      <w:pPr>
        <w:framePr w:w="9559" w:wrap="around" w:vAnchor="margin" w:hAnchor="text" w:x="1800" w:y="10033"/>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换中转出申请份额总数后扣除申购申请份额总数及基金转换中转入申请份额总数后的余额</w:t>
      </w:r>
      <w:r>
        <w:rPr>
          <w:rFonts w:ascii="GGHCMB+å®ä½"/>
          <w:color w:val="222222"/>
          <w:spacing w:val="0"/>
          <w:sz w:val="21"/>
        </w:rPr>
        <w:t>)</w:t>
      </w:r>
    </w:p>
    <w:p>
      <w:pPr>
        <w:framePr w:w="9559" w:wrap="around" w:vAnchor="margin" w:hAnchor="text" w:x="1800" w:y="10033"/>
        <w:widowControl w:val="0"/>
        <w:autoSpaceDE w:val="0"/>
        <w:autoSpaceDN w:val="0"/>
        <w:spacing w:before="0" w:after="0" w:line="409" w:lineRule="exact"/>
        <w:ind w:left="0" w:right="0"/>
        <w:jc w:val="left"/>
        <w:rPr>
          <w:rFonts w:ascii="GGHCMB+å®ä½"/>
          <w:color w:val="222222"/>
          <w:spacing w:val="0"/>
          <w:sz w:val="21"/>
        </w:rPr>
      </w:pPr>
      <w:r>
        <w:rPr>
          <w:rFonts w:ascii="SKJVQB+å®ä½" w:hAnsi="SKJVQB+å®ä½" w:cs="SKJVQB+å®ä½"/>
          <w:color w:val="222222"/>
          <w:spacing w:val="0"/>
          <w:sz w:val="21"/>
        </w:rPr>
        <w:t>超过上一开放日基金总份额的</w:t>
      </w:r>
      <w:r>
        <w:rPr>
          <w:rFonts w:ascii="GGHCMB+å®ä½"/>
          <w:color w:val="222222"/>
          <w:spacing w:val="0"/>
          <w:sz w:val="21"/>
        </w:rPr>
        <w:t>10%</w:t>
      </w:r>
    </w:p>
    <w:p>
      <w:pPr>
        <w:framePr w:w="2209" w:wrap="around" w:vAnchor="margin" w:hAnchor="text" w:x="2220" w:y="112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47</w:t>
      </w:r>
      <w:r>
        <w:rPr>
          <w:rFonts w:ascii="SKJVQB+å®ä½" w:hAnsi="SKJVQB+å®ä½" w:cs="SKJVQB+å®ä½"/>
          <w:color w:val="222222"/>
          <w:spacing w:val="0"/>
          <w:sz w:val="21"/>
        </w:rPr>
        <w:t>、元：指人民币元</w:t>
      </w:r>
    </w:p>
    <w:p>
      <w:pPr>
        <w:framePr w:w="9560"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48</w:t>
      </w:r>
      <w:r>
        <w:rPr>
          <w:rFonts w:ascii="SKJVQB+å®ä½" w:hAnsi="SKJVQB+å®ä½" w:cs="SKJVQB+å®ä½"/>
          <w:color w:val="222222"/>
          <w:spacing w:val="0"/>
          <w:sz w:val="21"/>
        </w:rPr>
        <w:t>、流动性受限资产</w:t>
      </w:r>
      <w:r>
        <w:rPr>
          <w:rFonts w:ascii="GGHCMB+å®ä½"/>
          <w:color w:val="222222"/>
          <w:spacing w:val="0"/>
          <w:sz w:val="21"/>
        </w:rPr>
        <w:t>:</w:t>
      </w:r>
      <w:r>
        <w:rPr>
          <w:rFonts w:ascii="SKJVQB+å®ä½" w:hAnsi="SKJVQB+å®ä½" w:cs="SKJVQB+å®ä½"/>
          <w:color w:val="222222"/>
          <w:spacing w:val="0"/>
          <w:sz w:val="21"/>
        </w:rPr>
        <w:t>指由于法律法规、监管、合同或操作障碍等原因无法以合理价格</w:t>
      </w:r>
    </w:p>
    <w:p>
      <w:pPr>
        <w:framePr w:w="9560"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予以变现的资产，包括但不限于到期日在</w:t>
      </w:r>
      <w:r>
        <w:rPr>
          <w:rFonts w:ascii="GGHCMB+å®ä½"/>
          <w:color w:val="222222"/>
          <w:spacing w:val="0"/>
          <w:sz w:val="21"/>
        </w:rPr>
        <w:t>10</w:t>
      </w:r>
      <w:r>
        <w:rPr>
          <w:rFonts w:ascii="SKJVQB+å®ä½" w:hAnsi="SKJVQB+å®ä½" w:cs="SKJVQB+å®ä½"/>
          <w:color w:val="222222"/>
          <w:spacing w:val="0"/>
          <w:sz w:val="21"/>
        </w:rPr>
        <w:t>个交易日以上的逆回购与银行定期存款（含协</w:t>
      </w:r>
    </w:p>
    <w:p>
      <w:pPr>
        <w:framePr w:w="9560"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议约定有条件提前支取的银行存款）、停牌股票、流通受限的新股及非公开发行股票、资产</w:t>
      </w:r>
    </w:p>
    <w:p>
      <w:pPr>
        <w:framePr w:w="9560"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支持证券、因发行人债务违约无法进行转让或交易的债券等。法律法规或中国证监会另有</w:t>
      </w:r>
    </w:p>
    <w:p>
      <w:pPr>
        <w:framePr w:w="9560"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规定的，从其规定</w:t>
      </w:r>
    </w:p>
    <w:p>
      <w:pPr>
        <w:framePr w:w="9553"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49</w:t>
      </w:r>
      <w:r>
        <w:rPr>
          <w:rFonts w:ascii="SKJVQB+å®ä½" w:hAnsi="SKJVQB+å®ä½" w:cs="SKJVQB+å®ä½"/>
          <w:color w:val="222222"/>
          <w:spacing w:val="0"/>
          <w:sz w:val="21"/>
        </w:rPr>
        <w:t>、基金利润：指基金利息收入、投资收益、公允价值变动收益和其他收入扣除相关</w:t>
      </w:r>
    </w:p>
    <w:p>
      <w:pPr>
        <w:framePr w:w="9553" w:wrap="around" w:vAnchor="margin" w:hAnchor="text" w:x="180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费用后的余额</w:t>
      </w:r>
    </w:p>
    <w:p>
      <w:pPr>
        <w:framePr w:w="9553" w:wrap="around" w:vAnchor="margin" w:hAnchor="text" w:x="1800" w:y="1452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50</w:t>
      </w:r>
      <w:r>
        <w:rPr>
          <w:rFonts w:ascii="SKJVQB+å®ä½" w:hAnsi="SKJVQB+å®ä½" w:cs="SKJVQB+å®ä½"/>
          <w:color w:val="222222"/>
          <w:spacing w:val="0"/>
          <w:sz w:val="21"/>
        </w:rPr>
        <w:t>、基金资产总值：指基金拥有的各类有价证券、银行存款本息、基金应收申购款及</w:t>
      </w:r>
    </w:p>
    <w:p>
      <w:pPr>
        <w:framePr w:w="9553" w:wrap="around" w:vAnchor="margin" w:hAnchor="text" w:x="1800" w:y="1452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其他资产的价值总和</w:t>
      </w:r>
    </w:p>
    <w:p>
      <w:pPr>
        <w:framePr w:w="360" w:wrap="around" w:vAnchor="margin" w:hAnchor="text" w:x="10018"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w:t>
      </w:r>
    </w:p>
    <w:p>
      <w:pPr>
        <w:spacing w:before="0" w:after="0" w:line="0" w:lineRule="exact"/>
        <w:ind w:left="0" w:right="0"/>
        <w:jc w:val="left"/>
        <w:rPr>
          <w:rFonts w:ascii="Arial"/>
          <w:color w:val="FF0000"/>
          <w:spacing w:val="0"/>
          <w:sz w:val="2"/>
        </w:rPr>
      </w:pPr>
      <w:r>
        <w:pict>
          <v:shape id="_x000011" o:spid="_x0000_s103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 o:title=""/>
            <o:lock v:ext="edit" aspectratio="t"/>
          </v:shape>
        </w:pict>
      </w:r>
      <w:r>
        <w:pict>
          <v:shape id="_x000012" o:spid="_x0000_s1038" o:spt="75" type="#_x0000_t75" style="position:absolute;left:0pt;margin-left:88.6pt;margin-top:71.1pt;height:694.55pt;width:418.3pt;mso-position-horizontal-relative:page;mso-position-vertical-relative:page;z-index:-1024;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6285"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51</w:t>
      </w:r>
      <w:r>
        <w:rPr>
          <w:rFonts w:ascii="SKJVQB+å®ä½" w:hAnsi="SKJVQB+å®ä½" w:cs="SKJVQB+å®ä½"/>
          <w:color w:val="222222"/>
          <w:spacing w:val="0"/>
          <w:sz w:val="21"/>
        </w:rPr>
        <w:t>、基金资产净值：指基金资产总值减去基金负债后的价值</w:t>
      </w:r>
    </w:p>
    <w:p>
      <w:pPr>
        <w:framePr w:w="7252" w:wrap="around" w:vAnchor="margin" w:hAnchor="text" w:x="2220" w:y="186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52</w:t>
      </w:r>
      <w:r>
        <w:rPr>
          <w:rFonts w:ascii="SKJVQB+å®ä½" w:hAnsi="SKJVQB+å®ä½" w:cs="SKJVQB+å®ä½"/>
          <w:color w:val="222222"/>
          <w:spacing w:val="0"/>
          <w:sz w:val="21"/>
        </w:rPr>
        <w:t>、基金份额净值：指计算日基金资产净值除以计算日基金份额总数</w:t>
      </w:r>
    </w:p>
    <w:p>
      <w:pPr>
        <w:framePr w:w="9070" w:wrap="around" w:vAnchor="margin" w:hAnchor="text" w:x="2220" w:y="226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53</w:t>
      </w:r>
      <w:r>
        <w:rPr>
          <w:rFonts w:ascii="SKJVQB+å®ä½" w:hAnsi="SKJVQB+å®ä½" w:cs="SKJVQB+å®ä½"/>
          <w:color w:val="222222"/>
          <w:spacing w:val="0"/>
          <w:sz w:val="21"/>
        </w:rPr>
        <w:t>、基金资产估值：指计算评估基金资产和负债的价值，以确定基金资产净值和基金</w:t>
      </w:r>
    </w:p>
    <w:p>
      <w:pPr>
        <w:framePr w:w="1789" w:wrap="around" w:vAnchor="margin" w:hAnchor="text" w:x="180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份额净值的过程</w:t>
      </w:r>
    </w:p>
    <w:p>
      <w:pPr>
        <w:framePr w:w="9553"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54</w:t>
      </w:r>
      <w:r>
        <w:rPr>
          <w:rFonts w:ascii="SKJVQB+å®ä½" w:hAnsi="SKJVQB+å®ä½" w:cs="SKJVQB+å®ä½"/>
          <w:color w:val="222222"/>
          <w:spacing w:val="0"/>
          <w:sz w:val="21"/>
        </w:rPr>
        <w:t>、指定媒介：指中国证监会指定的用以进行信息披露的全国性报刊及指定互联网网</w:t>
      </w:r>
    </w:p>
    <w:p>
      <w:pPr>
        <w:framePr w:w="9553"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站（包括基金管理人网站、基金托管人网站、中国证监会电子披露网站）等媒介</w:t>
      </w:r>
    </w:p>
    <w:p>
      <w:pPr>
        <w:framePr w:w="9553" w:wrap="around" w:vAnchor="margin" w:hAnchor="text" w:x="1800" w:y="308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55</w:t>
      </w:r>
      <w:r>
        <w:rPr>
          <w:rFonts w:ascii="SKJVQB+å®ä½" w:hAnsi="SKJVQB+å®ä½" w:cs="SKJVQB+å®ä½"/>
          <w:color w:val="222222"/>
          <w:spacing w:val="0"/>
          <w:sz w:val="21"/>
        </w:rPr>
        <w:t>、不可抗力：指本基金合同当事人不能预见、不能避免且不能克服的客观事件</w:t>
      </w:r>
    </w:p>
    <w:p>
      <w:pPr>
        <w:framePr w:w="9553" w:wrap="around" w:vAnchor="margin" w:hAnchor="text" w:x="1800" w:y="3086"/>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以上释义中涉及法律法规、业务规则的内容，法律法规、业务规则修订后，如适用本</w:t>
      </w:r>
    </w:p>
    <w:p>
      <w:pPr>
        <w:framePr w:w="9553" w:wrap="around" w:vAnchor="margin" w:hAnchor="text" w:x="1800" w:y="3086"/>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基金，相关内容以修订后法律法规、业务规则为准。</w:t>
      </w:r>
    </w:p>
    <w:p>
      <w:pPr>
        <w:framePr w:w="360" w:wrap="around" w:vAnchor="margin" w:hAnchor="text" w:x="10018"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w:t>
      </w:r>
    </w:p>
    <w:p>
      <w:pPr>
        <w:spacing w:before="0" w:after="0" w:line="0" w:lineRule="exact"/>
        <w:ind w:left="0" w:right="0"/>
        <w:jc w:val="left"/>
        <w:rPr>
          <w:rFonts w:ascii="Arial"/>
          <w:color w:val="FF0000"/>
          <w:spacing w:val="0"/>
          <w:sz w:val="2"/>
        </w:rPr>
      </w:pPr>
      <w:r>
        <w:pict>
          <v:shape id="_x000013" o:spid="_x0000_s103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5" o:title=""/>
            <o:lock v:ext="edit" aspectratio="t"/>
          </v:shape>
        </w:pict>
      </w:r>
      <w:r>
        <w:pict>
          <v:shape id="_x000014" o:spid="_x0000_s1040" o:spt="75" type="#_x0000_t75" style="position:absolute;left:0pt;margin-left:88.6pt;margin-top:71.1pt;height:183.9pt;width:418.3pt;mso-position-horizontal-relative:page;mso-position-vertical-relative:page;z-index:-1024;mso-width-relative:page;mso-height-relative:page;" filled="f" coordsize="21600,21600">
            <v:path/>
            <v:fill on="f" focussize="0,0"/>
            <v:stroke/>
            <v:imagedata r:id="rId1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388" w:wrap="around" w:vAnchor="margin" w:hAnchor="text" w:x="4969"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3</w:t>
      </w:r>
      <w:r>
        <w:rPr>
          <w:rFonts w:ascii="SKJVQB+å®ä½" w:hAnsi="SKJVQB+å®ä½" w:cs="SKJVQB+å®ä½"/>
          <w:color w:val="222222"/>
          <w:spacing w:val="0"/>
          <w:sz w:val="28"/>
        </w:rPr>
        <w:t>基金管理人</w:t>
      </w:r>
    </w:p>
    <w:p>
      <w:pPr>
        <w:framePr w:w="2529" w:wrap="around" w:vAnchor="margin" w:hAnchor="text" w:x="1800" w:y="253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3.1</w:t>
      </w:r>
      <w:r>
        <w:rPr>
          <w:rFonts w:ascii="SKJVQB+å®ä½" w:hAnsi="SKJVQB+å®ä½" w:cs="SKJVQB+å®ä½"/>
          <w:color w:val="222222"/>
          <w:spacing w:val="0"/>
          <w:sz w:val="24"/>
        </w:rPr>
        <w:t>基金管理人概况</w:t>
      </w:r>
    </w:p>
    <w:p>
      <w:pPr>
        <w:framePr w:w="7854" w:wrap="around" w:vAnchor="margin" w:hAnchor="text" w:x="2220" w:y="311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名称：南方基金管理股份有限公司</w:t>
      </w:r>
    </w:p>
    <w:p>
      <w:pPr>
        <w:framePr w:w="7854" w:wrap="around" w:vAnchor="margin" w:hAnchor="text" w:x="2220" w:y="311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住所及办公地址：深圳市福田区莲花街道益田路</w:t>
      </w:r>
      <w:r>
        <w:rPr>
          <w:rFonts w:ascii="GGHCMB+å®ä½"/>
          <w:color w:val="222222"/>
          <w:spacing w:val="0"/>
          <w:sz w:val="21"/>
        </w:rPr>
        <w:t>5999</w:t>
      </w:r>
      <w:r>
        <w:rPr>
          <w:rFonts w:ascii="SKJVQB+å®ä½" w:hAnsi="SKJVQB+å®ä½" w:cs="SKJVQB+å®ä½"/>
          <w:color w:val="222222"/>
          <w:spacing w:val="0"/>
          <w:sz w:val="21"/>
        </w:rPr>
        <w:t>号基金大厦</w:t>
      </w:r>
      <w:r>
        <w:rPr>
          <w:rFonts w:ascii="GGHCMB+å®ä½"/>
          <w:color w:val="222222"/>
          <w:spacing w:val="0"/>
          <w:sz w:val="21"/>
        </w:rPr>
        <w:t>32-42</w:t>
      </w:r>
      <w:r>
        <w:rPr>
          <w:rFonts w:ascii="SKJVQB+å®ä½" w:hAnsi="SKJVQB+å®ä½" w:cs="SKJVQB+å®ä½"/>
          <w:color w:val="222222"/>
          <w:spacing w:val="0"/>
          <w:sz w:val="21"/>
        </w:rPr>
        <w:t>楼</w:t>
      </w:r>
    </w:p>
    <w:p>
      <w:pPr>
        <w:framePr w:w="7854" w:wrap="around" w:vAnchor="margin" w:hAnchor="text" w:x="2220" w:y="31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成立时间：</w:t>
      </w:r>
      <w:r>
        <w:rPr>
          <w:rFonts w:ascii="GGHCMB+å®ä½"/>
          <w:color w:val="222222"/>
          <w:spacing w:val="0"/>
          <w:sz w:val="21"/>
        </w:rPr>
        <w:t>1998</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6</w:t>
      </w:r>
      <w:r>
        <w:rPr>
          <w:rFonts w:ascii="SKJVQB+å®ä½" w:hAnsi="SKJVQB+å®ä½" w:cs="SKJVQB+å®ä½"/>
          <w:color w:val="222222"/>
          <w:spacing w:val="0"/>
          <w:sz w:val="21"/>
        </w:rPr>
        <w:t>日</w:t>
      </w:r>
    </w:p>
    <w:p>
      <w:pPr>
        <w:framePr w:w="2209" w:wrap="around" w:vAnchor="margin" w:hAnchor="text" w:x="2220" w:y="434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法定代表人：张海波</w:t>
      </w:r>
    </w:p>
    <w:p>
      <w:pPr>
        <w:framePr w:w="3202" w:wrap="around" w:vAnchor="margin" w:hAnchor="text" w:x="2220" w:y="475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注册资本：</w:t>
      </w:r>
      <w:r>
        <w:rPr>
          <w:rFonts w:ascii="GGHCMB+å®ä½"/>
          <w:color w:val="222222"/>
          <w:spacing w:val="0"/>
          <w:sz w:val="21"/>
        </w:rPr>
        <w:t>3.6172</w:t>
      </w:r>
      <w:r>
        <w:rPr>
          <w:rFonts w:ascii="SKJVQB+å®ä½" w:hAnsi="SKJVQB+å®ä½" w:cs="SKJVQB+å®ä½"/>
          <w:color w:val="222222"/>
          <w:spacing w:val="0"/>
          <w:sz w:val="21"/>
        </w:rPr>
        <w:t>亿元人民币</w:t>
      </w:r>
    </w:p>
    <w:p>
      <w:pPr>
        <w:framePr w:w="3202" w:wrap="around" w:vAnchor="margin" w:hAnchor="text" w:x="2220" w:y="4750"/>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电话：（</w:t>
      </w:r>
      <w:r>
        <w:rPr>
          <w:rFonts w:ascii="GGHCMB+å®ä½"/>
          <w:color w:val="222222"/>
          <w:spacing w:val="0"/>
          <w:sz w:val="21"/>
        </w:rPr>
        <w:t>0755</w:t>
      </w:r>
      <w:r>
        <w:rPr>
          <w:rFonts w:ascii="SKJVQB+å®ä½" w:hAnsi="SKJVQB+å®ä½" w:cs="SKJVQB+å®ä½"/>
          <w:color w:val="222222"/>
          <w:spacing w:val="0"/>
          <w:sz w:val="21"/>
        </w:rPr>
        <w:t>）</w:t>
      </w:r>
      <w:r>
        <w:rPr>
          <w:rFonts w:ascii="GGHCMB+å®ä½"/>
          <w:color w:val="222222"/>
          <w:spacing w:val="0"/>
          <w:sz w:val="21"/>
        </w:rPr>
        <w:t>82763888</w:t>
      </w:r>
    </w:p>
    <w:p>
      <w:pPr>
        <w:framePr w:w="2664" w:wrap="around" w:vAnchor="margin" w:hAnchor="text" w:x="2220" w:y="5568"/>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0755</w:t>
      </w:r>
      <w:r>
        <w:rPr>
          <w:rFonts w:ascii="SKJVQB+å®ä½" w:hAnsi="SKJVQB+å®ä½" w:cs="SKJVQB+å®ä½"/>
          <w:color w:val="222222"/>
          <w:spacing w:val="0"/>
          <w:sz w:val="21"/>
        </w:rPr>
        <w:t>）</w:t>
      </w:r>
      <w:r>
        <w:rPr>
          <w:rFonts w:ascii="GGHCMB+å®ä½"/>
          <w:color w:val="222222"/>
          <w:spacing w:val="0"/>
          <w:sz w:val="21"/>
        </w:rPr>
        <w:t>82763889</w:t>
      </w:r>
    </w:p>
    <w:p>
      <w:pPr>
        <w:framePr w:w="1789" w:wrap="around" w:vAnchor="margin" w:hAnchor="text" w:x="2220" w:y="597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联系人：常克川</w:t>
      </w:r>
    </w:p>
    <w:p>
      <w:pPr>
        <w:framePr w:w="9560" w:wrap="around" w:vAnchor="margin" w:hAnchor="text" w:x="1800" w:y="679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1998</w:t>
      </w:r>
      <w:r>
        <w:rPr>
          <w:rFonts w:ascii="SKJVQB+å®ä½" w:hAnsi="SKJVQB+å®ä½" w:cs="SKJVQB+å®ä½"/>
          <w:color w:val="222222"/>
          <w:spacing w:val="0"/>
          <w:sz w:val="21"/>
        </w:rPr>
        <w:t>年，南方基金管理有限公司经中国证监会证监基字</w:t>
      </w:r>
      <w:r>
        <w:rPr>
          <w:rFonts w:ascii="GGHCMB+å®ä½"/>
          <w:color w:val="222222"/>
          <w:spacing w:val="0"/>
          <w:sz w:val="21"/>
        </w:rPr>
        <w:t>[1998]4</w:t>
      </w:r>
      <w:r>
        <w:rPr>
          <w:rFonts w:ascii="SKJVQB+å®ä½" w:hAnsi="SKJVQB+å®ä½" w:cs="SKJVQB+å®ä½"/>
          <w:color w:val="222222"/>
          <w:spacing w:val="0"/>
          <w:sz w:val="21"/>
        </w:rPr>
        <w:t>号文批准，由南方证</w:t>
      </w:r>
    </w:p>
    <w:p>
      <w:pPr>
        <w:framePr w:w="9560" w:wrap="around" w:vAnchor="margin" w:hAnchor="text" w:x="1800" w:y="67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券有限公司、厦门国际信托投资公司、广西信托投资公司共同发起设立。</w:t>
      </w:r>
      <w:r>
        <w:rPr>
          <w:rFonts w:ascii="GGHCMB+å®ä½"/>
          <w:color w:val="222222"/>
          <w:spacing w:val="0"/>
          <w:sz w:val="21"/>
        </w:rPr>
        <w:t>2000</w:t>
      </w:r>
      <w:r>
        <w:rPr>
          <w:rFonts w:ascii="SKJVQB+å®ä½" w:hAnsi="SKJVQB+å®ä½" w:cs="SKJVQB+å®ä½"/>
          <w:color w:val="222222"/>
          <w:spacing w:val="0"/>
          <w:sz w:val="21"/>
        </w:rPr>
        <w:t>年，经中国</w:t>
      </w:r>
    </w:p>
    <w:p>
      <w:pPr>
        <w:framePr w:w="9560" w:wrap="around" w:vAnchor="margin" w:hAnchor="text" w:x="1800" w:y="6792"/>
        <w:widowControl w:val="0"/>
        <w:autoSpaceDE w:val="0"/>
        <w:autoSpaceDN w:val="0"/>
        <w:spacing w:before="0" w:after="0" w:line="411" w:lineRule="exact"/>
        <w:ind w:left="0" w:right="0"/>
        <w:jc w:val="left"/>
        <w:rPr>
          <w:rFonts w:ascii="GGHCMB+å®ä½"/>
          <w:color w:val="222222"/>
          <w:spacing w:val="0"/>
          <w:sz w:val="21"/>
        </w:rPr>
      </w:pPr>
      <w:r>
        <w:rPr>
          <w:rFonts w:ascii="SKJVQB+å®ä½" w:hAnsi="SKJVQB+å®ä½" w:cs="SKJVQB+å®ä½"/>
          <w:color w:val="222222"/>
          <w:spacing w:val="0"/>
          <w:sz w:val="21"/>
        </w:rPr>
        <w:t>证监会证监基金字</w:t>
      </w:r>
      <w:r>
        <w:rPr>
          <w:rFonts w:ascii="GGHCMB+å®ä½"/>
          <w:color w:val="222222"/>
          <w:spacing w:val="0"/>
          <w:sz w:val="21"/>
        </w:rPr>
        <w:t>[2000]78</w:t>
      </w:r>
      <w:r>
        <w:rPr>
          <w:rFonts w:ascii="SKJVQB+å®ä½" w:hAnsi="SKJVQB+å®ä½" w:cs="SKJVQB+å®ä½"/>
          <w:color w:val="222222"/>
          <w:spacing w:val="0"/>
          <w:sz w:val="21"/>
        </w:rPr>
        <w:t xml:space="preserve">号文批准进行了增资扩股，注册资本达到 </w:t>
      </w:r>
      <w:r>
        <w:rPr>
          <w:rFonts w:ascii="GGHCMB+å®ä½"/>
          <w:color w:val="222222"/>
          <w:spacing w:val="0"/>
          <w:sz w:val="21"/>
        </w:rPr>
        <w:t>1</w:t>
      </w:r>
      <w:r>
        <w:rPr>
          <w:rFonts w:ascii="SKJVQB+å®ä½" w:hAnsi="SKJVQB+å®ä½" w:cs="SKJVQB+å®ä½"/>
          <w:color w:val="222222"/>
          <w:spacing w:val="0"/>
          <w:sz w:val="21"/>
        </w:rPr>
        <w:t>亿元人民币。</w:t>
      </w:r>
      <w:r>
        <w:rPr>
          <w:rFonts w:ascii="GGHCMB+å®ä½"/>
          <w:color w:val="222222"/>
          <w:spacing w:val="0"/>
          <w:sz w:val="21"/>
        </w:rPr>
        <w:t>2005</w:t>
      </w:r>
    </w:p>
    <w:p>
      <w:pPr>
        <w:framePr w:w="9560" w:wrap="around" w:vAnchor="margin" w:hAnchor="text" w:x="1800" w:y="67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年，经中国证监会证监基金字</w:t>
      </w:r>
      <w:r>
        <w:rPr>
          <w:rFonts w:ascii="GGHCMB+å®ä½"/>
          <w:color w:val="222222"/>
          <w:spacing w:val="0"/>
          <w:sz w:val="21"/>
        </w:rPr>
        <w:t>[2005]201</w:t>
      </w:r>
      <w:r>
        <w:rPr>
          <w:rFonts w:ascii="SKJVQB+å®ä½" w:hAnsi="SKJVQB+å®ä½" w:cs="SKJVQB+å®ä½"/>
          <w:color w:val="222222"/>
          <w:spacing w:val="0"/>
          <w:sz w:val="21"/>
        </w:rPr>
        <w:t>号文批准进行增资扩股，注册资本增至</w:t>
      </w:r>
      <w:r>
        <w:rPr>
          <w:rFonts w:ascii="GGHCMB+å®ä½"/>
          <w:color w:val="222222"/>
          <w:spacing w:val="0"/>
          <w:sz w:val="21"/>
        </w:rPr>
        <w:t>1.5</w:t>
      </w:r>
      <w:r>
        <w:rPr>
          <w:rFonts w:ascii="SKJVQB+å®ä½" w:hAnsi="SKJVQB+å®ä½" w:cs="SKJVQB+å®ä½"/>
          <w:color w:val="222222"/>
          <w:spacing w:val="0"/>
          <w:sz w:val="21"/>
        </w:rPr>
        <w:t>亿元人</w:t>
      </w:r>
    </w:p>
    <w:p>
      <w:pPr>
        <w:framePr w:w="9560" w:wrap="around" w:vAnchor="margin" w:hAnchor="text" w:x="1800" w:y="67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民币。</w:t>
      </w:r>
      <w:r>
        <w:rPr>
          <w:rFonts w:ascii="GGHCMB+å®ä½"/>
          <w:color w:val="222222"/>
          <w:spacing w:val="0"/>
          <w:sz w:val="21"/>
        </w:rPr>
        <w:t>2014</w:t>
      </w:r>
      <w:r>
        <w:rPr>
          <w:rFonts w:ascii="SKJVQB+å®ä½" w:hAnsi="SKJVQB+å®ä½" w:cs="SKJVQB+å®ä½"/>
          <w:color w:val="222222"/>
          <w:spacing w:val="0"/>
          <w:sz w:val="21"/>
        </w:rPr>
        <w:t>年公司进行增资扩股，注册资本金增至</w:t>
      </w:r>
      <w:r>
        <w:rPr>
          <w:rFonts w:ascii="GGHCMB+å®ä½"/>
          <w:color w:val="222222"/>
          <w:spacing w:val="0"/>
          <w:sz w:val="21"/>
        </w:rPr>
        <w:t>3</w:t>
      </w:r>
      <w:r>
        <w:rPr>
          <w:rFonts w:ascii="SKJVQB+å®ä½" w:hAnsi="SKJVQB+å®ä½" w:cs="SKJVQB+å®ä½"/>
          <w:color w:val="222222"/>
          <w:spacing w:val="0"/>
          <w:sz w:val="21"/>
        </w:rPr>
        <w:t>亿元人民币。</w:t>
      </w:r>
    </w:p>
    <w:p>
      <w:pPr>
        <w:framePr w:w="9557" w:wrap="around" w:vAnchor="margin" w:hAnchor="text" w:x="1800" w:y="883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1</w:t>
      </w:r>
      <w:r>
        <w:rPr>
          <w:rFonts w:ascii="SKJVQB+å®ä½" w:hAnsi="SKJVQB+å®ä½" w:cs="SKJVQB+å®ä½"/>
          <w:color w:val="222222"/>
          <w:spacing w:val="0"/>
          <w:sz w:val="21"/>
        </w:rPr>
        <w:t>月，公司整体变更设立为南方基金管理股份有限公司</w:t>
      </w:r>
      <w:r>
        <w:rPr>
          <w:rFonts w:ascii="GGHCMB+å®ä½"/>
          <w:color w:val="222222"/>
          <w:spacing w:val="0"/>
          <w:sz w:val="21"/>
        </w:rPr>
        <w:t>,</w:t>
      </w:r>
      <w:r>
        <w:rPr>
          <w:rFonts w:ascii="SKJVQB+å®ä½" w:hAnsi="SKJVQB+å®ä½" w:cs="SKJVQB+å®ä½"/>
          <w:color w:val="222222"/>
          <w:spacing w:val="0"/>
          <w:sz w:val="21"/>
        </w:rPr>
        <w:t>注册资本金</w:t>
      </w:r>
      <w:r>
        <w:rPr>
          <w:rFonts w:ascii="GGHCMB+å®ä½"/>
          <w:color w:val="222222"/>
          <w:spacing w:val="0"/>
          <w:sz w:val="21"/>
        </w:rPr>
        <w:t>3</w:t>
      </w:r>
      <w:r>
        <w:rPr>
          <w:rFonts w:ascii="SKJVQB+å®ä½" w:hAnsi="SKJVQB+å®ä½" w:cs="SKJVQB+å®ä½"/>
          <w:color w:val="222222"/>
          <w:spacing w:val="0"/>
          <w:sz w:val="21"/>
        </w:rPr>
        <w:t>亿元人民</w:t>
      </w:r>
    </w:p>
    <w:p>
      <w:pPr>
        <w:framePr w:w="9557" w:wrap="around" w:vAnchor="margin" w:hAnchor="text" w:x="1800" w:y="883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币。</w:t>
      </w:r>
    </w:p>
    <w:p>
      <w:pPr>
        <w:framePr w:w="9620" w:wrap="around" w:vAnchor="margin" w:hAnchor="text" w:x="1800" w:y="965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 xml:space="preserve">月  </w:t>
      </w:r>
      <w:r>
        <w:rPr>
          <w:rFonts w:ascii="GGHCMB+å®ä½"/>
          <w:color w:val="222222"/>
          <w:spacing w:val="0"/>
          <w:sz w:val="21"/>
        </w:rPr>
        <w:t>30</w:t>
      </w:r>
      <w:r>
        <w:rPr>
          <w:rFonts w:ascii="SKJVQB+å®ä½" w:hAnsi="SKJVQB+å®ä½" w:cs="SKJVQB+å®ä½"/>
          <w:color w:val="222222"/>
          <w:spacing w:val="0"/>
          <w:sz w:val="21"/>
        </w:rPr>
        <w:t>日，公司注册资本增至</w:t>
      </w:r>
      <w:r>
        <w:rPr>
          <w:rFonts w:ascii="GGHCMB+å®ä½"/>
          <w:color w:val="222222"/>
          <w:spacing w:val="0"/>
          <w:sz w:val="21"/>
        </w:rPr>
        <w:t>3.6172</w:t>
      </w:r>
      <w:r>
        <w:rPr>
          <w:rFonts w:ascii="SKJVQB+å®ä½" w:hAnsi="SKJVQB+å®ä½" w:cs="SKJVQB+å®ä½"/>
          <w:color w:val="222222"/>
          <w:spacing w:val="0"/>
          <w:sz w:val="21"/>
        </w:rPr>
        <w:t>亿元，股权结构调整为华泰证券股份有</w:t>
      </w:r>
    </w:p>
    <w:p>
      <w:pPr>
        <w:framePr w:w="9620" w:wrap="around" w:vAnchor="margin" w:hAnchor="text" w:x="1800" w:y="965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限公司</w:t>
      </w:r>
      <w:r>
        <w:rPr>
          <w:rFonts w:ascii="GGHCMB+å®ä½"/>
          <w:color w:val="222222"/>
          <w:spacing w:val="0"/>
          <w:sz w:val="21"/>
        </w:rPr>
        <w:t>41.16%</w:t>
      </w:r>
      <w:r>
        <w:rPr>
          <w:rFonts w:ascii="SKJVQB+å®ä½" w:hAnsi="SKJVQB+å®ä½" w:cs="SKJVQB+å®ä½"/>
          <w:color w:val="222222"/>
          <w:spacing w:val="0"/>
          <w:sz w:val="21"/>
        </w:rPr>
        <w:t>、深圳市投资控股有限公司</w:t>
      </w:r>
      <w:r>
        <w:rPr>
          <w:rFonts w:ascii="GGHCMB+å®ä½"/>
          <w:color w:val="222222"/>
          <w:spacing w:val="0"/>
          <w:sz w:val="21"/>
        </w:rPr>
        <w:t>27.44%</w:t>
      </w:r>
      <w:r>
        <w:rPr>
          <w:rFonts w:ascii="SKJVQB+å®ä½" w:hAnsi="SKJVQB+å®ä½" w:cs="SKJVQB+å®ä½"/>
          <w:color w:val="222222"/>
          <w:spacing w:val="0"/>
          <w:sz w:val="21"/>
        </w:rPr>
        <w:t>、厦门国际信托有限公司</w:t>
      </w:r>
      <w:r>
        <w:rPr>
          <w:rFonts w:ascii="GGHCMB+å®ä½"/>
          <w:color w:val="222222"/>
          <w:spacing w:val="0"/>
          <w:sz w:val="21"/>
        </w:rPr>
        <w:t>13.72%</w:t>
      </w:r>
      <w:r>
        <w:rPr>
          <w:rFonts w:ascii="SKJVQB+å®ä½" w:hAnsi="SKJVQB+å®ä½" w:cs="SKJVQB+å®ä½"/>
          <w:color w:val="222222"/>
          <w:spacing w:val="0"/>
          <w:sz w:val="21"/>
        </w:rPr>
        <w:t>、兴业证</w:t>
      </w:r>
    </w:p>
    <w:p>
      <w:pPr>
        <w:framePr w:w="9620" w:wrap="around" w:vAnchor="margin" w:hAnchor="text" w:x="1800" w:y="965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券股份有限公司 </w:t>
      </w:r>
      <w:r>
        <w:rPr>
          <w:rFonts w:ascii="GGHCMB+å®ä½"/>
          <w:color w:val="222222"/>
          <w:spacing w:val="0"/>
          <w:sz w:val="21"/>
        </w:rPr>
        <w:t>9.15%</w:t>
      </w:r>
      <w:r>
        <w:rPr>
          <w:rFonts w:ascii="SKJVQB+å®ä½" w:hAnsi="SKJVQB+å®ä½" w:cs="SKJVQB+å®ä½"/>
          <w:color w:val="222222"/>
          <w:spacing w:val="0"/>
          <w:sz w:val="21"/>
        </w:rPr>
        <w:t>、厦门合泽吉企业管理合伙企业（有限合伙）</w:t>
      </w:r>
      <w:r>
        <w:rPr>
          <w:rFonts w:ascii="GGHCMB+å®ä½"/>
          <w:color w:val="222222"/>
          <w:spacing w:val="0"/>
          <w:sz w:val="21"/>
        </w:rPr>
        <w:t>2.10%</w:t>
      </w:r>
      <w:r>
        <w:rPr>
          <w:rFonts w:ascii="SKJVQB+å®ä½" w:hAnsi="SKJVQB+å®ä½" w:cs="SKJVQB+å®ä½"/>
          <w:color w:val="222222"/>
          <w:spacing w:val="0"/>
          <w:sz w:val="21"/>
        </w:rPr>
        <w:t>、厦门合泽祥企</w:t>
      </w:r>
    </w:p>
    <w:p>
      <w:pPr>
        <w:framePr w:w="9620" w:wrap="around" w:vAnchor="margin" w:hAnchor="text" w:x="1800" w:y="965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业管理合伙企业（有限合伙）</w:t>
      </w:r>
      <w:r>
        <w:rPr>
          <w:rFonts w:ascii="GGHCMB+å®ä½"/>
          <w:color w:val="222222"/>
          <w:spacing w:val="0"/>
          <w:sz w:val="21"/>
        </w:rPr>
        <w:t>2.12%</w:t>
      </w:r>
      <w:r>
        <w:rPr>
          <w:rFonts w:ascii="SKJVQB+å®ä½" w:hAnsi="SKJVQB+å®ä½" w:cs="SKJVQB+å®ä½"/>
          <w:color w:val="222222"/>
          <w:spacing w:val="0"/>
          <w:sz w:val="21"/>
        </w:rPr>
        <w:t>、厦门合泽益企业管理合伙企业（有限合伙）</w:t>
      </w:r>
      <w:r>
        <w:rPr>
          <w:rFonts w:ascii="GGHCMB+å®ä½"/>
          <w:color w:val="222222"/>
          <w:spacing w:val="0"/>
          <w:sz w:val="21"/>
        </w:rPr>
        <w:t>2.11%</w:t>
      </w:r>
      <w:r>
        <w:rPr>
          <w:rFonts w:ascii="SKJVQB+å®ä½" w:hAnsi="SKJVQB+å®ä½" w:cs="SKJVQB+å®ä½"/>
          <w:color w:val="222222"/>
          <w:spacing w:val="0"/>
          <w:sz w:val="21"/>
        </w:rPr>
        <w:t>、厦</w:t>
      </w:r>
    </w:p>
    <w:p>
      <w:pPr>
        <w:framePr w:w="9620" w:wrap="around" w:vAnchor="margin" w:hAnchor="text" w:x="1800" w:y="965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门合泽盈企业管理合伙企业（有限合伙）</w:t>
      </w:r>
      <w:r>
        <w:rPr>
          <w:rFonts w:ascii="GGHCMB+å®ä½"/>
          <w:color w:val="222222"/>
          <w:spacing w:val="0"/>
          <w:sz w:val="21"/>
        </w:rPr>
        <w:t>2.20%</w:t>
      </w:r>
      <w:r>
        <w:rPr>
          <w:rFonts w:ascii="SKJVQB+å®ä½" w:hAnsi="SKJVQB+å®ä½" w:cs="SKJVQB+å®ä½"/>
          <w:color w:val="222222"/>
          <w:spacing w:val="0"/>
          <w:sz w:val="21"/>
        </w:rPr>
        <w:t>。</w:t>
      </w:r>
    </w:p>
    <w:p>
      <w:pPr>
        <w:framePr w:w="2289" w:wrap="around" w:vAnchor="margin" w:hAnchor="text" w:x="1800" w:y="12149"/>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3.2</w:t>
      </w:r>
      <w:r>
        <w:rPr>
          <w:rFonts w:ascii="SKJVQB+å®ä½" w:hAnsi="SKJVQB+å®ä½" w:cs="SKJVQB+å®ä½"/>
          <w:color w:val="222222"/>
          <w:spacing w:val="0"/>
          <w:sz w:val="24"/>
        </w:rPr>
        <w:t>主要人员情况</w:t>
      </w:r>
    </w:p>
    <w:p>
      <w:pPr>
        <w:framePr w:w="2289" w:wrap="around" w:vAnchor="margin" w:hAnchor="text" w:x="1800" w:y="12149"/>
        <w:widowControl w:val="0"/>
        <w:autoSpaceDE w:val="0"/>
        <w:autoSpaceDN w:val="0"/>
        <w:spacing w:before="0" w:after="0" w:line="761" w:lineRule="exact"/>
        <w:ind w:left="0" w:right="0"/>
        <w:jc w:val="left"/>
        <w:rPr>
          <w:rFonts w:ascii="SKJVQB+å®ä½" w:hAnsi="SKJVQB+å®ä½" w:cs="SKJVQB+å®ä½"/>
          <w:color w:val="222222"/>
          <w:spacing w:val="0"/>
          <w:sz w:val="24"/>
        </w:rPr>
      </w:pPr>
      <w:r>
        <w:rPr>
          <w:rFonts w:ascii="GGHCMB+å®ä½"/>
          <w:color w:val="222222"/>
          <w:spacing w:val="0"/>
          <w:sz w:val="24"/>
        </w:rPr>
        <w:t>3.2.1</w:t>
      </w:r>
      <w:r>
        <w:rPr>
          <w:rFonts w:ascii="SKJVQB+å®ä½" w:hAnsi="SKJVQB+å®ä½" w:cs="SKJVQB+å®ä½"/>
          <w:color w:val="222222"/>
          <w:spacing w:val="0"/>
          <w:sz w:val="24"/>
        </w:rPr>
        <w:t>董事会成员</w:t>
      </w:r>
    </w:p>
    <w:p>
      <w:pPr>
        <w:framePr w:w="9559" w:wrap="around" w:vAnchor="margin" w:hAnchor="text" w:x="1800" w:y="1349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张海波先生，董事长，工商管理硕士，中国籍。曾任职中共江苏省委农工部至助理调</w:t>
      </w:r>
    </w:p>
    <w:p>
      <w:pPr>
        <w:framePr w:w="9559" w:wrap="around" w:vAnchor="margin" w:hAnchor="text" w:x="1800" w:y="1349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研员，江苏省人民政府办公厅调研员，华泰证券总裁助理、投资银行部总经理、投资银行</w:t>
      </w:r>
    </w:p>
    <w:p>
      <w:pPr>
        <w:framePr w:w="9559" w:wrap="around" w:vAnchor="margin" w:hAnchor="text" w:x="1800" w:y="1349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业务总监兼投资银行业务管理总部总经理，华泰证券副总裁兼华泰紫金投资有限责任公司</w:t>
      </w:r>
    </w:p>
    <w:p>
      <w:pPr>
        <w:framePr w:w="9559" w:wrap="around" w:vAnchor="margin" w:hAnchor="text" w:x="1800" w:y="1349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董事长、华泰金融控股（香港）有限公司董事长、华泰证券（上海）资产管理有限公司董事</w:t>
      </w:r>
    </w:p>
    <w:p>
      <w:pPr>
        <w:framePr w:w="9559" w:wrap="around" w:vAnchor="margin" w:hAnchor="text" w:x="1800" w:y="1349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长。现任南方基金管理股份有限公司党委书记、董事长。</w:t>
      </w:r>
    </w:p>
    <w:p>
      <w:pPr>
        <w:framePr w:w="360" w:wrap="around" w:vAnchor="margin" w:hAnchor="text" w:x="10018"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w:t>
      </w:r>
    </w:p>
    <w:p>
      <w:pPr>
        <w:spacing w:before="0" w:after="0" w:line="0" w:lineRule="exact"/>
        <w:ind w:left="0" w:right="0"/>
        <w:jc w:val="left"/>
        <w:rPr>
          <w:rFonts w:ascii="Arial"/>
          <w:color w:val="FF0000"/>
          <w:spacing w:val="0"/>
          <w:sz w:val="2"/>
        </w:rPr>
      </w:pPr>
      <w:r>
        <w:pict>
          <v:shape id="_x000015" o:spid="_x0000_s104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7" o:title=""/>
            <o:lock v:ext="edit" aspectratio="t"/>
          </v:shape>
        </w:pict>
      </w:r>
      <w:r>
        <w:pict>
          <v:shape id="_x000016" o:spid="_x0000_s1042" o:spt="75" type="#_x0000_t75" style="position:absolute;left:0pt;margin-left:88.6pt;margin-top:71.1pt;height:550.2pt;width:418.3pt;mso-position-horizontal-relative:page;mso-position-vertical-relative:page;z-index:-1024;mso-width-relative:page;mso-height-relative:page;" filled="f" coordsize="21600,21600">
            <v:path/>
            <v:fill on="f" focussize="0,0"/>
            <v:stroke/>
            <v:imagedata r:id="rId18" o:title=""/>
            <o:lock v:ext="edit" aspectratio="t"/>
          </v:shape>
        </w:pict>
      </w:r>
      <w:r>
        <w:pict>
          <v:shape id="_x000017" o:spid="_x0000_s1043" o:spt="75" type="#_x0000_t75" style="position:absolute;left:0pt;margin-left:88.6pt;margin-top:673.35pt;height:102.15pt;width:418.3pt;mso-position-horizontal-relative:page;mso-position-vertical-relative:page;z-index:-1024;mso-width-relative:page;mso-height-relative:page;" filled="f" coordsize="21600,21600">
            <v:path/>
            <v:fill on="f" focussize="0,0"/>
            <v:stroke/>
            <v:imagedata r:id="rId1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9"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张辉先生，董事，管理学博士，中国籍。曾任职北京东城区人才交流服务中心、华晨</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集团上海办事处、通商控股有限公司、北京联创投资管理有限公司干部，华泰证券资产管</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理总部高级经理、证券投资部投资策划员、南通姚港路营业部副总经理、上海瑞金一路营</w:t>
      </w:r>
    </w:p>
    <w:p>
      <w:pPr>
        <w:framePr w:w="9559"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业部总经理、证券投资部副总经理、综合事务部总经理、人力资源部总经理兼党委组织部</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长。现任华泰证券股份有限公司执行委员会委员、董事会秘书。</w:t>
      </w:r>
    </w:p>
    <w:p>
      <w:pPr>
        <w:framePr w:w="9553"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王连芬女士，董事，金融专业硕士，中国籍。曾任职赛格集团销售，深圳投资基金管</w:t>
      </w:r>
    </w:p>
    <w:p>
      <w:pPr>
        <w:framePr w:w="9553"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理公司投资一部研究室主任，大鹏证券经纪业务部副总经理、深圳福虹路营业部总经理、</w:t>
      </w:r>
    </w:p>
    <w:p>
      <w:pPr>
        <w:framePr w:w="9553"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南方总部总经理、总裁助理，第一证券总裁助理，华泰联合证券深圳华强北路营业部总经</w:t>
      </w:r>
    </w:p>
    <w:p>
      <w:pPr>
        <w:framePr w:w="9553" w:wrap="around" w:vAnchor="margin" w:hAnchor="text" w:x="1800" w:y="349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理、渠道服务部总经理、运营中心总经理、零售客户部总经理、执行办主任、总裁助理。</w:t>
      </w:r>
    </w:p>
    <w:p>
      <w:pPr>
        <w:framePr w:w="9553"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现任华泰证券股份有限公司总裁助理兼深圳分公司总经理。</w:t>
      </w:r>
    </w:p>
    <w:p>
      <w:pPr>
        <w:framePr w:w="9559"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冯青山先生，董事，工学学士，中国籍。曾任职陆军第 </w:t>
      </w:r>
      <w:r>
        <w:rPr>
          <w:rFonts w:ascii="GGHCMB+å®ä½"/>
          <w:color w:val="222222"/>
          <w:spacing w:val="0"/>
          <w:sz w:val="21"/>
        </w:rPr>
        <w:t>124</w:t>
      </w:r>
      <w:r>
        <w:rPr>
          <w:rFonts w:ascii="SKJVQB+å®ä½" w:hAnsi="SKJVQB+å®ä½" w:cs="SKJVQB+å®ä½"/>
          <w:color w:val="222222"/>
          <w:spacing w:val="0"/>
          <w:sz w:val="21"/>
        </w:rPr>
        <w:t>师工兵营地爆连副连职排</w:t>
      </w:r>
    </w:p>
    <w:p>
      <w:pPr>
        <w:framePr w:w="9559"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长、代政治指导员、师政治部组织科正连职干事</w:t>
      </w:r>
      <w:r>
        <w:rPr>
          <w:rFonts w:ascii="GGHCMB+å®ä½"/>
          <w:color w:val="222222"/>
          <w:spacing w:val="0"/>
          <w:sz w:val="21"/>
        </w:rPr>
        <w:t>,</w:t>
      </w:r>
      <w:r>
        <w:rPr>
          <w:rFonts w:ascii="SKJVQB+å®ä½" w:hAnsi="SKJVQB+å®ä½" w:cs="SKJVQB+å®ä½"/>
          <w:color w:val="222222"/>
          <w:spacing w:val="0"/>
          <w:sz w:val="21"/>
        </w:rPr>
        <w:t xml:space="preserve">陆军第 </w:t>
      </w:r>
      <w:r>
        <w:rPr>
          <w:rFonts w:ascii="GGHCMB+å®ä½"/>
          <w:color w:val="222222"/>
          <w:spacing w:val="0"/>
          <w:sz w:val="21"/>
        </w:rPr>
        <w:t>42</w:t>
      </w:r>
      <w:r>
        <w:rPr>
          <w:rFonts w:ascii="SKJVQB+å®ä½" w:hAnsi="SKJVQB+å®ä½" w:cs="SKJVQB+å®ä½"/>
          <w:color w:val="222222"/>
          <w:spacing w:val="0"/>
          <w:sz w:val="21"/>
        </w:rPr>
        <w:t>集团军政治部组织处副营职干</w:t>
      </w:r>
    </w:p>
    <w:p>
      <w:pPr>
        <w:framePr w:w="9559" w:wrap="around" w:vAnchor="margin" w:hAnchor="text" w:x="1800" w:y="553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事，驻香港部队政治部组织处正营职干事，驻澳门部队政治部正营职干事，陆军第 </w:t>
      </w:r>
      <w:r>
        <w:rPr>
          <w:rFonts w:ascii="GGHCMB+å®ä½"/>
          <w:color w:val="222222"/>
          <w:spacing w:val="0"/>
          <w:sz w:val="21"/>
        </w:rPr>
        <w:t>163</w:t>
      </w:r>
      <w:r>
        <w:rPr>
          <w:rFonts w:ascii="SKJVQB+å®ä½" w:hAnsi="SKJVQB+å®ä½" w:cs="SKJVQB+å®ä½"/>
          <w:color w:val="222222"/>
          <w:spacing w:val="0"/>
          <w:sz w:val="21"/>
        </w:rPr>
        <w:t>师</w:t>
      </w:r>
    </w:p>
    <w:p>
      <w:pPr>
        <w:framePr w:w="9559"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政治部宣传科副科长</w:t>
      </w:r>
      <w:r>
        <w:rPr>
          <w:rFonts w:ascii="GGHCMB+å®ä½"/>
          <w:color w:val="222222"/>
          <w:spacing w:val="0"/>
          <w:sz w:val="21"/>
        </w:rPr>
        <w:t>(</w:t>
      </w:r>
      <w:r>
        <w:rPr>
          <w:rFonts w:ascii="SKJVQB+å®ä½" w:hAnsi="SKJVQB+å®ä½" w:cs="SKJVQB+å®ä½"/>
          <w:color w:val="222222"/>
          <w:spacing w:val="0"/>
          <w:sz w:val="21"/>
        </w:rPr>
        <w:t>正营职</w:t>
      </w:r>
      <w:r>
        <w:rPr>
          <w:rFonts w:ascii="GGHCMB+å®ä½"/>
          <w:color w:val="222222"/>
          <w:spacing w:val="0"/>
          <w:sz w:val="21"/>
        </w:rPr>
        <w:t>)</w:t>
      </w:r>
      <w:r>
        <w:rPr>
          <w:rFonts w:ascii="SKJVQB+å®ä½" w:hAnsi="SKJVQB+å®ä½" w:cs="SKJVQB+å®ä½"/>
          <w:color w:val="222222"/>
          <w:spacing w:val="0"/>
          <w:sz w:val="21"/>
        </w:rPr>
        <w:t>，深圳市纪委教育调研室主任科员、副处级纪检员、办公厅</w:t>
      </w:r>
    </w:p>
    <w:p>
      <w:pPr>
        <w:framePr w:w="9559"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副主任、党风廉政建设室主任。现任深圳市投资控股有限公司董事、党委副书记，深圳市</w:t>
      </w:r>
    </w:p>
    <w:p>
      <w:pPr>
        <w:framePr w:w="9559"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投控资本有限公司监事。</w:t>
      </w:r>
    </w:p>
    <w:p>
      <w:pPr>
        <w:framePr w:w="9559"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李平先生，董事，工商管理硕士，中国籍。曾任职深圳市城市建设开发（集团）公司办</w:t>
      </w:r>
    </w:p>
    <w:p>
      <w:pPr>
        <w:framePr w:w="9559"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公室文秘，董办文秘、主管；深圳市投资控股有限公司办公室高级主管，企业三部高级主</w:t>
      </w:r>
    </w:p>
    <w:p>
      <w:pPr>
        <w:framePr w:w="9559"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管。现任深圳市投资控股有限公司金融发展部副部长，深圳市城市建设开发（集团）公司董</w:t>
      </w:r>
    </w:p>
    <w:p>
      <w:pPr>
        <w:framePr w:w="9559"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事。李自成先生，董事，近现代史专业硕士，中国籍。曾任职厦门大学哲学系团总支副书</w:t>
      </w:r>
    </w:p>
    <w:p>
      <w:pPr>
        <w:framePr w:w="9559"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记，厦门国际信托投资公司办公室主任、营业部经理、计财部经理、公司总经理助理，厦</w:t>
      </w:r>
    </w:p>
    <w:p>
      <w:pPr>
        <w:framePr w:w="9559"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门国际信托投资有限公司副总经理、工会主席、党总支副书记。现任厦门国际信托有限公</w:t>
      </w:r>
    </w:p>
    <w:p>
      <w:pPr>
        <w:framePr w:w="9559"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司党总支副书记、总经理。</w:t>
      </w:r>
    </w:p>
    <w:p>
      <w:pPr>
        <w:framePr w:w="9559" w:wrap="around" w:vAnchor="margin" w:hAnchor="text" w:x="1800" w:y="1084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王斌先生，董事，临床医学博士，中国籍。曾任职安徽泗县人民医院临床医生，瑞金</w:t>
      </w:r>
    </w:p>
    <w:p>
      <w:pPr>
        <w:framePr w:w="9559"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医院主治医师，兴业证券研究所医药行业研究员、总经理助理、副总监、副总经理（主持工</w:t>
      </w:r>
    </w:p>
    <w:p>
      <w:pPr>
        <w:framePr w:w="9559"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作）、总经理。现任兴业证券经济与金融研究院总经理。</w:t>
      </w:r>
    </w:p>
    <w:p>
      <w:pPr>
        <w:framePr w:w="9560" w:wrap="around" w:vAnchor="margin" w:hAnchor="text" w:x="1800" w:y="1207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杨小松先生，董事，经济学硕士，中国注册会计师，中国籍。曾任职德勤国际会计师</w:t>
      </w:r>
    </w:p>
    <w:p>
      <w:pPr>
        <w:framePr w:w="9560"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行会计专业翻译，光大银行证券部职员，美国</w:t>
      </w:r>
      <w:r>
        <w:rPr>
          <w:rFonts w:ascii="GGHCMB+å®ä½"/>
          <w:color w:val="222222"/>
          <w:spacing w:val="0"/>
          <w:sz w:val="21"/>
        </w:rPr>
        <w:t>NASDAQ</w:t>
      </w:r>
      <w:r>
        <w:rPr>
          <w:rFonts w:ascii="SKJVQB+å®ä½" w:hAnsi="SKJVQB+å®ä½" w:cs="SKJVQB+å®ä½"/>
          <w:color w:val="222222"/>
          <w:spacing w:val="0"/>
          <w:sz w:val="21"/>
        </w:rPr>
        <w:t>实习职员，证监会处长、副主任，南</w:t>
      </w:r>
    </w:p>
    <w:p>
      <w:pPr>
        <w:framePr w:w="9560"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方基金管理有限公司督察长。现任南方基金管理股份有限公司总裁、党委副书记，南方东</w:t>
      </w:r>
    </w:p>
    <w:p>
      <w:pPr>
        <w:framePr w:w="9560"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英资产管理有限公司董事。</w:t>
      </w:r>
    </w:p>
    <w:p>
      <w:pPr>
        <w:framePr w:w="9553"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姚景源先生，独立董事，经济学硕士，中国籍。曾任职国家经委副处长，商业部政策</w:t>
      </w:r>
    </w:p>
    <w:p>
      <w:pPr>
        <w:framePr w:w="9553" w:wrap="around" w:vAnchor="margin" w:hAnchor="text" w:x="180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研究室副处长、国际合作司处长、副司长，中国国际贸易促进会商业行业分会副会长、常</w:t>
      </w:r>
    </w:p>
    <w:p>
      <w:pPr>
        <w:framePr w:w="9553" w:wrap="around" w:vAnchor="margin" w:hAnchor="text" w:x="1800" w:y="137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务副会长，国内贸易部商业发展中心主任，中国商业联合会副会长、秘书长，安徽省政府</w:t>
      </w:r>
    </w:p>
    <w:p>
      <w:pPr>
        <w:framePr w:w="9553" w:wrap="around" w:vAnchor="margin" w:hAnchor="text" w:x="1800" w:y="137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副秘书长，安徽省阜阳市政府市长，安徽省统计局局长、党组书记，国家统计局总经济师</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w:t>
      </w:r>
    </w:p>
    <w:p>
      <w:pPr>
        <w:spacing w:before="0" w:after="0" w:line="0" w:lineRule="exact"/>
        <w:ind w:left="0" w:right="0"/>
        <w:jc w:val="left"/>
        <w:rPr>
          <w:rFonts w:ascii="Arial"/>
          <w:color w:val="FF0000"/>
          <w:spacing w:val="0"/>
          <w:sz w:val="2"/>
        </w:rPr>
      </w:pPr>
      <w:r>
        <w:pict>
          <v:shape id="_x000018" o:spid="_x0000_s1044"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 o:title=""/>
            <o:lock v:ext="edit" aspectratio="t"/>
          </v:shape>
        </w:pict>
      </w:r>
      <w:r>
        <w:pict>
          <v:shape id="_x000019" o:spid="_x0000_s1045" o:spt="75" type="#_x0000_t75" style="position:absolute;left:0pt;margin-left:88.6pt;margin-top:71.1pt;height:694.55pt;width:418.3pt;mso-position-horizontal-relative:page;mso-position-vertical-relative:page;z-index:-1024;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9"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兼新闻发言人。现任国务院参事室特约研究员，中国经济</w:t>
      </w:r>
      <w:r>
        <w:rPr>
          <w:rFonts w:ascii="GGHCMB+å®ä½"/>
          <w:color w:val="222222"/>
          <w:spacing w:val="0"/>
          <w:sz w:val="21"/>
        </w:rPr>
        <w:t>50</w:t>
      </w:r>
      <w:r>
        <w:rPr>
          <w:rFonts w:ascii="SKJVQB+å®ä½" w:hAnsi="SKJVQB+å®ä½" w:cs="SKJVQB+å®ä½"/>
          <w:color w:val="222222"/>
          <w:spacing w:val="0"/>
          <w:sz w:val="21"/>
        </w:rPr>
        <w:t>人论坛成员，中国统计学会副</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会长。</w:t>
      </w:r>
    </w:p>
    <w:p>
      <w:pPr>
        <w:framePr w:w="9786"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李心丹先生，独立董事，金融学博士，国务院特殊津贴专家，中国籍。曾任职东南大</w:t>
      </w:r>
    </w:p>
    <w:p>
      <w:pPr>
        <w:framePr w:w="9786"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学经济管理学院教授，南京大学工程管理学院院长。现任南京大学</w:t>
      </w:r>
      <w:r>
        <w:rPr>
          <w:rFonts w:ascii="GGHCMB+å®ä½"/>
          <w:color w:val="222222"/>
          <w:spacing w:val="0"/>
          <w:sz w:val="21"/>
        </w:rPr>
        <w:t>-</w:t>
      </w:r>
      <w:r>
        <w:rPr>
          <w:rFonts w:ascii="SKJVQB+å®ä½" w:hAnsi="SKJVQB+å®ä½" w:cs="SKJVQB+å®ä½"/>
          <w:color w:val="222222"/>
          <w:spacing w:val="0"/>
          <w:sz w:val="21"/>
        </w:rPr>
        <w:t>牛津大学金融创新研究</w:t>
      </w:r>
    </w:p>
    <w:p>
      <w:pPr>
        <w:framePr w:w="9786"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院院长、金融工程研究中心主任，南京大学教授、博士生导师，中国金融学年会常务理事，</w:t>
      </w:r>
    </w:p>
    <w:p>
      <w:pPr>
        <w:framePr w:w="9786"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江苏省资本市场研究会会长，江苏省科技创新协会副会长、江苏银行监事、上海证券交易</w:t>
      </w:r>
    </w:p>
    <w:p>
      <w:pPr>
        <w:framePr w:w="9786"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所科创板制度评估专家委员会主任。</w:t>
      </w:r>
    </w:p>
    <w:p>
      <w:pPr>
        <w:framePr w:w="9558"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周锦涛先生，独立董事，工商管理博士，法学硕士，香港证券及投资学会杰出资深会</w:t>
      </w:r>
    </w:p>
    <w:p>
      <w:pPr>
        <w:framePr w:w="9558"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员。曾任职香港警务处</w:t>
      </w:r>
      <w:r>
        <w:rPr>
          <w:rFonts w:ascii="GGHCMB+å®ä½"/>
          <w:color w:val="222222"/>
          <w:spacing w:val="0"/>
          <w:sz w:val="21"/>
        </w:rPr>
        <w:t>(</w:t>
      </w:r>
      <w:r>
        <w:rPr>
          <w:rFonts w:ascii="SKJVQB+å®ä½" w:hAnsi="SKJVQB+å®ä½" w:cs="SKJVQB+å®ä½"/>
          <w:color w:val="222222"/>
          <w:spacing w:val="0"/>
          <w:sz w:val="21"/>
        </w:rPr>
        <w:t>商业罪案调查科</w:t>
      </w:r>
      <w:r>
        <w:rPr>
          <w:rFonts w:ascii="GGHCMB+å®ä½"/>
          <w:color w:val="222222"/>
          <w:spacing w:val="0"/>
          <w:sz w:val="21"/>
        </w:rPr>
        <w:t>)</w:t>
      </w:r>
      <w:r>
        <w:rPr>
          <w:rFonts w:ascii="SKJVQB+å®ä½" w:hAnsi="SKJVQB+å®ä½" w:cs="SKJVQB+å®ä½"/>
          <w:color w:val="222222"/>
          <w:spacing w:val="0"/>
          <w:sz w:val="21"/>
        </w:rPr>
        <w:t>警务总督察，香港证券及期货专员办事处证券主</w:t>
      </w:r>
    </w:p>
    <w:p>
      <w:pPr>
        <w:framePr w:w="9558"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任，香港证券及期货事务监察委员会法规执行部总监。现任香港金融管理局顾问。</w:t>
      </w:r>
    </w:p>
    <w:p>
      <w:pPr>
        <w:framePr w:w="9558" w:wrap="around" w:vAnchor="margin" w:hAnchor="text" w:x="1800" w:y="4313"/>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郑建彪先生，独立董事，经济学硕士，工商管理硕士，中国注册会计师，中国籍。曾</w:t>
      </w:r>
    </w:p>
    <w:p>
      <w:pPr>
        <w:framePr w:w="9558"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任职北京市财政局干部，深圳蛇口中华会计师事务所经理，京都会计师事务所副主任，中</w:t>
      </w:r>
    </w:p>
    <w:p>
      <w:pPr>
        <w:framePr w:w="9558" w:wrap="around" w:vAnchor="margin" w:hAnchor="text" w:x="1800" w:y="431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国证监会第九届股票发行审核委员会委员，中国证监会第一至三届上市公司并购重组专家</w:t>
      </w:r>
    </w:p>
    <w:p>
      <w:pPr>
        <w:framePr w:w="9558"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咨询委员会委员。现任致同会计师事务所（特殊普通合伙）管理合伙人。</w:t>
      </w:r>
    </w:p>
    <w:p>
      <w:pPr>
        <w:framePr w:w="9558" w:wrap="around" w:vAnchor="margin" w:hAnchor="text" w:x="1800" w:y="4313"/>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周蕊女士，独立董事，法学硕士，中国籍。先后执业于万商天勤律师事务所、中伦律</w:t>
      </w:r>
    </w:p>
    <w:p>
      <w:pPr>
        <w:framePr w:w="9558"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师事务所律师等国内知名律所，曾担任广东省律师协会女工委副主任、深圳市律师协会证</w:t>
      </w:r>
    </w:p>
    <w:p>
      <w:pPr>
        <w:framePr w:w="9558"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券、基金与期货专业委员会副主任、深圳市律师协会国际与港澳台工作委员会副主任。现</w:t>
      </w:r>
    </w:p>
    <w:p>
      <w:pPr>
        <w:framePr w:w="9558" w:wrap="around" w:vAnchor="margin" w:hAnchor="text" w:x="1800" w:y="431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任金杜律师事务所合伙人，中国并购公会广东分会会长，深圳市中小企业改制专家服务团</w:t>
      </w:r>
    </w:p>
    <w:p>
      <w:pPr>
        <w:framePr w:w="9558"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专家，深圳市女企业家协会理事。</w:t>
      </w:r>
    </w:p>
    <w:p>
      <w:pPr>
        <w:framePr w:w="2289" w:wrap="around" w:vAnchor="margin" w:hAnchor="text" w:x="1800" w:y="9667"/>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3.2.2</w:t>
      </w:r>
      <w:r>
        <w:rPr>
          <w:rFonts w:ascii="SKJVQB+å®ä½" w:hAnsi="SKJVQB+å®ä½" w:cs="SKJVQB+å®ä½"/>
          <w:color w:val="222222"/>
          <w:spacing w:val="0"/>
          <w:sz w:val="24"/>
        </w:rPr>
        <w:t>监事会成员</w:t>
      </w:r>
    </w:p>
    <w:p>
      <w:pPr>
        <w:framePr w:w="9553" w:wrap="around" w:vAnchor="margin" w:hAnchor="text" w:x="1800" w:y="1025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吴晓东先生，监事会主席，法律博士，中国籍。曾任职中国证监会副处长、处长，华</w:t>
      </w:r>
    </w:p>
    <w:p>
      <w:pPr>
        <w:framePr w:w="9553" w:wrap="around" w:vAnchor="margin" w:hAnchor="text" w:x="1800" w:y="10253"/>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泰证券合规总监，华泰联合证券副总裁、党委书记、董事长，南方股权投资基金管理有限</w:t>
      </w:r>
    </w:p>
    <w:p>
      <w:pPr>
        <w:framePr w:w="9553" w:wrap="around" w:vAnchor="margin" w:hAnchor="text" w:x="1800" w:y="1025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公司董事长。现任南方基金管理股份有限公司监事会主席、南方股权投资基金管理有限公</w:t>
      </w:r>
    </w:p>
    <w:p>
      <w:pPr>
        <w:framePr w:w="9553" w:wrap="around" w:vAnchor="margin" w:hAnchor="text" w:x="1800" w:y="1025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司监事。</w:t>
      </w:r>
    </w:p>
    <w:p>
      <w:pPr>
        <w:framePr w:w="9556" w:wrap="around" w:vAnchor="margin" w:hAnchor="text" w:x="1800" w:y="118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陈莉女士，监事，法学硕士，中国籍。曾任职华泰证券深圳民田路营业部总经理、深</w:t>
      </w:r>
    </w:p>
    <w:p>
      <w:pPr>
        <w:framePr w:w="955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圳益田路营业部总经理、研究所副所长等职务。现任华泰证券股份有限公司研究所所长、</w:t>
      </w:r>
    </w:p>
    <w:p>
      <w:pPr>
        <w:framePr w:w="9556" w:wrap="around" w:vAnchor="margin" w:hAnchor="text" w:x="1800" w:y="118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华泰期货有限公司监事会主席、华泰国际金融控股有限公司董事。</w:t>
      </w:r>
    </w:p>
    <w:p>
      <w:pPr>
        <w:framePr w:w="9553" w:wrap="around" w:vAnchor="margin" w:hAnchor="text" w:x="1800" w:y="1311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姜丽花女士，监事，大学本科学历，高级会计师，中国籍。曾任职浙江兰溪马涧米厂</w:t>
      </w:r>
    </w:p>
    <w:p>
      <w:pPr>
        <w:framePr w:w="9553" w:wrap="around" w:vAnchor="margin" w:hAnchor="text" w:x="1800" w:y="131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主管会计，浙江兰溪纺织机械厂主管会计，深圳市建筑机械动力公司会计，深圳市建设集</w:t>
      </w:r>
    </w:p>
    <w:p>
      <w:pPr>
        <w:framePr w:w="9553" w:wrap="around" w:vAnchor="margin" w:hAnchor="text" w:x="1800" w:y="131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团计划财务部助理会计师，深圳市建设投资控股公司计划财务部高级会计师、经理助理，</w:t>
      </w:r>
    </w:p>
    <w:p>
      <w:pPr>
        <w:framePr w:w="9553" w:wrap="around" w:vAnchor="margin" w:hAnchor="text" w:x="1800" w:y="1311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深圳市投资控股有限公司计划财务部经理、财务预算部副部长、考核分配部部长。现任深</w:t>
      </w:r>
    </w:p>
    <w:p>
      <w:pPr>
        <w:framePr w:w="444" w:wrap="around" w:vAnchor="margin" w:hAnchor="text" w:x="9936"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w:t>
      </w:r>
    </w:p>
    <w:p>
      <w:pPr>
        <w:spacing w:before="0" w:after="0" w:line="0" w:lineRule="exact"/>
        <w:ind w:left="0" w:right="0"/>
        <w:jc w:val="left"/>
        <w:rPr>
          <w:rFonts w:ascii="Arial"/>
          <w:color w:val="FF0000"/>
          <w:spacing w:val="0"/>
          <w:sz w:val="2"/>
        </w:rPr>
      </w:pPr>
      <w:r>
        <w:pict>
          <v:shape id="_x000020" o:spid="_x0000_s1046"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0" o:title=""/>
            <o:lock v:ext="edit" aspectratio="t"/>
          </v:shape>
        </w:pict>
      </w:r>
      <w:r>
        <w:pict>
          <v:shape id="_x000021" o:spid="_x0000_s1047" o:spt="75" type="#_x0000_t75" style="position:absolute;left:0pt;margin-left:88.6pt;margin-top:71.1pt;height:388.15pt;width:418.3pt;mso-position-horizontal-relative:page;mso-position-vertical-relative:page;z-index:-1024;mso-width-relative:page;mso-height-relative:page;" filled="f" coordsize="21600,21600">
            <v:path/>
            <v:fill on="f" focussize="0,0"/>
            <v:stroke/>
            <v:imagedata r:id="rId21" o:title=""/>
            <o:lock v:ext="edit" aspectratio="t"/>
          </v:shape>
        </w:pict>
      </w:r>
      <w:r>
        <w:pict>
          <v:shape id="_x000022" o:spid="_x0000_s1048" o:spt="75" type="#_x0000_t75" style="position:absolute;left:0pt;margin-left:88.6pt;margin-top:511.2pt;height:224.8pt;width:418.3pt;mso-position-horizontal-relative:page;mso-position-vertical-relative:page;z-index:-1024;mso-width-relative:page;mso-height-relative:page;" filled="f" coordsize="21600,21600">
            <v:path/>
            <v:fill on="f" focussize="0,0"/>
            <v:stroke/>
            <v:imagedata r:id="rId2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9"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圳市投资控股有限公司财务部部长、深圳经济特区房地产（集团）股份有限公司董事、深圳</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市建安（集团）股份有限公司董事。</w:t>
      </w:r>
    </w:p>
    <w:p>
      <w:pPr>
        <w:framePr w:w="9553"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王克力先生，监事，船舶工程专业学士，中国籍。曾任职厦门造船厂技术员，厦门汽</w:t>
      </w:r>
    </w:p>
    <w:p>
      <w:pPr>
        <w:framePr w:w="9553"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车工业公司总经理助理，厦门国际信托有限公司国际广场筹建处副主任，厦信置业发展公</w:t>
      </w:r>
    </w:p>
    <w:p>
      <w:pPr>
        <w:framePr w:w="9553"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司总经理、投资部副经理、自有资产管理部副经理职务。现任厦门国际信托有限公司投资</w:t>
      </w:r>
    </w:p>
    <w:p>
      <w:pPr>
        <w:framePr w:w="9553"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发展部总经理。</w:t>
      </w:r>
    </w:p>
    <w:p>
      <w:pPr>
        <w:framePr w:w="9559"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林红珍女士，监事，工商管理硕士，中国籍。曾任职厦门对外供应总公司会计，厦门</w:t>
      </w:r>
    </w:p>
    <w:p>
      <w:pPr>
        <w:framePr w:w="9559"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中友贸易联合公司财务部副经理，厦门外供房地产开发公司财务部经理，兴业证券计财部</w:t>
      </w:r>
    </w:p>
    <w:p>
      <w:pPr>
        <w:framePr w:w="9559" w:wrap="around" w:vAnchor="margin" w:hAnchor="text" w:x="1800" w:y="390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财务综合组负责人、直属营业部财务部经理、计划财务部经理、风险控制部总经理助理兼</w:t>
      </w:r>
    </w:p>
    <w:p>
      <w:pPr>
        <w:framePr w:w="9559" w:wrap="around" w:vAnchor="margin" w:hAnchor="text" w:x="1800" w:y="390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审计部经理、风险管理部副总监、稽核审计部副总监、风险管理部副总经理（主持工作）、</w:t>
      </w:r>
    </w:p>
    <w:p>
      <w:pPr>
        <w:framePr w:w="9559" w:wrap="around" w:vAnchor="margin" w:hAnchor="text" w:x="1800" w:y="390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风险管理部总经理、财务部总经理、资金运营管理部总经理。现任兴业证券计划财务部总</w:t>
      </w:r>
    </w:p>
    <w:p>
      <w:pPr>
        <w:framePr w:w="9559" w:wrap="around" w:vAnchor="margin" w:hAnchor="text" w:x="1800" w:y="390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经理，兴证期货有限公司董事，兴证创新资本管理有限公司监事。</w:t>
      </w:r>
    </w:p>
    <w:p>
      <w:pPr>
        <w:framePr w:w="9786"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徐刚先生，职工监事，工商管理硕士，中国籍。曾任职深圳期货投资公司职员、项目</w:t>
      </w:r>
    </w:p>
    <w:p>
      <w:pPr>
        <w:framePr w:w="9786"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经理，南方基金管理股份有限公司上海分公司职员、机构业务部职员、养老金业务部主管、</w:t>
      </w:r>
    </w:p>
    <w:p>
      <w:pPr>
        <w:framePr w:w="9786"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上海分公司高级经理、副总经理，现任南方基金管理股份有限公司上海分公司董事。</w:t>
      </w:r>
    </w:p>
    <w:p>
      <w:pPr>
        <w:framePr w:w="9786" w:wrap="around" w:vAnchor="margin" w:hAnchor="text" w:x="1800" w:y="635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董星华女士，职工监事，硕士学历，中国籍。曾任职中国人保武汉分公司、中国人寿</w:t>
      </w:r>
    </w:p>
    <w:p>
      <w:pPr>
        <w:framePr w:w="9786"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再保险公司、中国再保险公司、深圳证券通信公司，南方基金管理股份有限公司综合管理</w:t>
      </w:r>
    </w:p>
    <w:p>
      <w:pPr>
        <w:framePr w:w="9786" w:wrap="around" w:vAnchor="margin" w:hAnchor="text" w:x="1800" w:y="635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部经理、办公室高级经理，现任南方基金管理股份有限公司办公室高级副总裁。</w:t>
      </w:r>
    </w:p>
    <w:p>
      <w:pPr>
        <w:framePr w:w="9786" w:wrap="around" w:vAnchor="margin" w:hAnchor="text" w:x="1800" w:y="635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苏望先生，职工监事，法学硕士学位，中国籍。曾任国信证券股份有限公司合规管理</w:t>
      </w:r>
    </w:p>
    <w:p>
      <w:pPr>
        <w:framePr w:w="9786"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总部职员，深圳市融通资本管理股份有限公司职员。现任南方基金管理股份有限公司监察</w:t>
      </w:r>
    </w:p>
    <w:p>
      <w:pPr>
        <w:framePr w:w="9786"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稽核部高级副总裁。</w:t>
      </w:r>
    </w:p>
    <w:p>
      <w:pPr>
        <w:framePr w:w="3049" w:wrap="around" w:vAnchor="margin" w:hAnchor="text" w:x="1800" w:y="10486"/>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3.2.3</w:t>
      </w:r>
      <w:r>
        <w:rPr>
          <w:rFonts w:ascii="SKJVQB+å®ä½" w:hAnsi="SKJVQB+å®ä½" w:cs="SKJVQB+å®ä½"/>
          <w:color w:val="222222"/>
          <w:spacing w:val="0"/>
          <w:sz w:val="24"/>
        </w:rPr>
        <w:t>公司高级管理人员</w:t>
      </w:r>
    </w:p>
    <w:p>
      <w:pPr>
        <w:framePr w:w="3627" w:wrap="around" w:vAnchor="margin" w:hAnchor="text" w:x="2220" w:y="1107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张海波先生，董事长，简历同上。</w:t>
      </w:r>
    </w:p>
    <w:p>
      <w:pPr>
        <w:framePr w:w="3387" w:wrap="around" w:vAnchor="margin" w:hAnchor="text" w:x="2220" w:y="114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杨小松先生，总裁，简历同上。</w:t>
      </w:r>
    </w:p>
    <w:p>
      <w:pPr>
        <w:framePr w:w="9556" w:wrap="around" w:vAnchor="margin" w:hAnchor="text" w:x="1800" w:y="118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俞文宏先生，副总裁，工商管理硕士，经济师，中国籍，无境外永久居留权。曾任职</w:t>
      </w:r>
    </w:p>
    <w:p>
      <w:pPr>
        <w:framePr w:w="955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江苏省投资公司业务经理，江苏国际招商公司部门经理，江苏省国际信托投资公司投资银</w:t>
      </w:r>
    </w:p>
    <w:p>
      <w:pPr>
        <w:framePr w:w="9556" w:wrap="around" w:vAnchor="margin" w:hAnchor="text" w:x="1800" w:y="118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行部总经理，江苏国信高科技创业投资有限公司董事长兼总经理，南方资本管理有限公司</w:t>
      </w:r>
    </w:p>
    <w:p>
      <w:pPr>
        <w:framePr w:w="955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董事长。现任南方基金管理股份有限公司副总裁、党委委员。</w:t>
      </w:r>
    </w:p>
    <w:p>
      <w:pPr>
        <w:framePr w:w="9553" w:wrap="around" w:vAnchor="margin" w:hAnchor="text" w:x="1800" w:y="1352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朱运东先生，副总裁，经济学学士，高级经济师，中国籍，无境外永久居留权。曾任</w:t>
      </w:r>
    </w:p>
    <w:p>
      <w:pPr>
        <w:framePr w:w="9553" w:wrap="around" w:vAnchor="margin" w:hAnchor="text" w:x="1800" w:y="135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职财政部地方预算司及办公厅秘书，中国经济开发信托投资公司综合管理部总经理，南方</w:t>
      </w:r>
    </w:p>
    <w:p>
      <w:pPr>
        <w:framePr w:w="9553" w:wrap="around" w:vAnchor="margin" w:hAnchor="text" w:x="1800" w:y="1352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基金管理有限公司北京分公司总经理、产品开发部总监、总裁助理、首席市场执行官。现</w:t>
      </w:r>
    </w:p>
    <w:p>
      <w:pPr>
        <w:framePr w:w="9553" w:wrap="around" w:vAnchor="margin" w:hAnchor="text" w:x="1800" w:y="135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任南方基金管理股份有限公司副总裁、党委委员。</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w:t>
      </w:r>
    </w:p>
    <w:p>
      <w:pPr>
        <w:spacing w:before="0" w:after="0" w:line="0" w:lineRule="exact"/>
        <w:ind w:left="0" w:right="0"/>
        <w:jc w:val="left"/>
        <w:rPr>
          <w:rFonts w:ascii="Arial"/>
          <w:color w:val="FF0000"/>
          <w:spacing w:val="0"/>
          <w:sz w:val="2"/>
        </w:rPr>
      </w:pPr>
      <w:r>
        <w:pict>
          <v:shape id="_x000023" o:spid="_x0000_s104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3" o:title=""/>
            <o:lock v:ext="edit" aspectratio="t"/>
          </v:shape>
        </w:pict>
      </w:r>
      <w:r>
        <w:pict>
          <v:shape id="_x000024" o:spid="_x0000_s1050" o:spt="75" type="#_x0000_t75" style="position:absolute;left:0pt;margin-left:88.6pt;margin-top:71.1pt;height:429.05pt;width:418.3pt;mso-position-horizontal-relative:page;mso-position-vertical-relative:page;z-index:-1024;mso-width-relative:page;mso-height-relative:page;" filled="f" coordsize="21600,21600">
            <v:path/>
            <v:fill on="f" focussize="0,0"/>
            <v:stroke/>
            <v:imagedata r:id="rId24" o:title=""/>
            <o:lock v:ext="edit" aspectratio="t"/>
          </v:shape>
        </w:pict>
      </w:r>
      <w:r>
        <w:pict>
          <v:shape id="_x000025" o:spid="_x0000_s1051" o:spt="75" type="#_x0000_t75" style="position:absolute;left:0pt;margin-left:88.6pt;margin-top:552.15pt;height:204.25pt;width:418.3pt;mso-position-horizontal-relative:page;mso-position-vertical-relative:page;z-index:-1024;mso-width-relative:page;mso-height-relative:page;" filled="f" coordsize="21600,21600">
            <v:path/>
            <v:fill on="f" focussize="0,0"/>
            <v:stroke/>
            <v:imagedata r:id="rId2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7"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常克川先生，副总裁，</w:t>
      </w:r>
      <w:r>
        <w:rPr>
          <w:rFonts w:ascii="GGHCMB+å®ä½"/>
          <w:color w:val="222222"/>
          <w:spacing w:val="0"/>
          <w:sz w:val="21"/>
        </w:rPr>
        <w:t>EMBA</w:t>
      </w:r>
      <w:r>
        <w:rPr>
          <w:rFonts w:ascii="SKJVQB+å®ä½" w:hAnsi="SKJVQB+å®ä½" w:cs="SKJVQB+å®ä½"/>
          <w:color w:val="222222"/>
          <w:spacing w:val="0"/>
          <w:sz w:val="21"/>
        </w:rPr>
        <w:t>工商管理硕士，中国籍，无境外永久居留权。曾任职中国</w:t>
      </w:r>
    </w:p>
    <w:p>
      <w:pPr>
        <w:framePr w:w="9557"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农业银行副处级秘书，南方证券有限责任公司投资业务部总经理、沈阳分公司总经理、总</w:t>
      </w:r>
    </w:p>
    <w:p>
      <w:pPr>
        <w:framePr w:w="9557"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裁助理，华泰联合证券董事会秘书、合规总监等职务，南方资本管理有限公司董事。现任</w:t>
      </w:r>
    </w:p>
    <w:p>
      <w:pPr>
        <w:framePr w:w="9557"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南方基金管理股份有限公司副总裁、董事会秘书、纪委书记。</w:t>
      </w:r>
    </w:p>
    <w:p>
      <w:pPr>
        <w:framePr w:w="9559"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李海鹏先生，副总裁，工商管理硕士，特许金融分析师（</w:t>
      </w:r>
      <w:r>
        <w:rPr>
          <w:rFonts w:ascii="GGHCMB+å®ä½"/>
          <w:color w:val="222222"/>
          <w:spacing w:val="0"/>
          <w:sz w:val="21"/>
        </w:rPr>
        <w:t>CFA</w:t>
      </w:r>
      <w:r>
        <w:rPr>
          <w:rFonts w:ascii="SKJVQB+å®ä½" w:hAnsi="SKJVQB+å®ä½" w:cs="SKJVQB+å®ä½"/>
          <w:color w:val="222222"/>
          <w:spacing w:val="0"/>
          <w:sz w:val="21"/>
        </w:rPr>
        <w:t>），中国籍，无境外永久</w:t>
      </w:r>
    </w:p>
    <w:p>
      <w:pPr>
        <w:framePr w:w="9559"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居留权。曾任职美国 </w:t>
      </w:r>
      <w:r>
        <w:rPr>
          <w:rFonts w:ascii="GGHCMB+å®ä½"/>
          <w:color w:val="222222"/>
          <w:spacing w:val="0"/>
          <w:sz w:val="21"/>
        </w:rPr>
        <w:t>AXA Financial</w:t>
      </w:r>
      <w:r>
        <w:rPr>
          <w:rFonts w:ascii="SKJVQB+å®ä½" w:hAnsi="SKJVQB+å®ä½" w:cs="SKJVQB+å®ä½"/>
          <w:color w:val="222222"/>
          <w:spacing w:val="0"/>
          <w:sz w:val="21"/>
        </w:rPr>
        <w:t>公司投资部高级分析师，南方基金管理有限公司高级</w:t>
      </w:r>
    </w:p>
    <w:p>
      <w:pPr>
        <w:framePr w:w="9559"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研究员、基金经理助理、基金经理、全国社保及国际业务部执行总监、全国社保业务部总</w:t>
      </w:r>
    </w:p>
    <w:p>
      <w:pPr>
        <w:framePr w:w="9559" w:wrap="around" w:vAnchor="margin" w:hAnchor="text" w:x="1800" w:y="308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监、固定收益部总监、总裁助理兼固定收益投资总监，南方东英资产管理有限公司董事。</w:t>
      </w:r>
    </w:p>
    <w:p>
      <w:pPr>
        <w:framePr w:w="9559" w:wrap="around" w:vAnchor="margin" w:hAnchor="text" w:x="1800" w:y="3086"/>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现任南方基金管理股份有限公司副总裁、首席投资官（固定收益）。</w:t>
      </w:r>
    </w:p>
    <w:p>
      <w:pPr>
        <w:framePr w:w="9799"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史博先生，副总裁，经济学硕士，特许金融分析师（</w:t>
      </w:r>
      <w:r>
        <w:rPr>
          <w:rFonts w:ascii="GGHCMB+å®ä½"/>
          <w:color w:val="222222"/>
          <w:spacing w:val="0"/>
          <w:sz w:val="21"/>
        </w:rPr>
        <w:t>CFA</w:t>
      </w:r>
      <w:r>
        <w:rPr>
          <w:rFonts w:ascii="SKJVQB+å®ä½" w:hAnsi="SKJVQB+å®ä½" w:cs="SKJVQB+å®ä½"/>
          <w:color w:val="222222"/>
          <w:spacing w:val="0"/>
          <w:sz w:val="21"/>
        </w:rPr>
        <w:t>），中国籍，无境外永久居留</w:t>
      </w:r>
    </w:p>
    <w:p>
      <w:pPr>
        <w:framePr w:w="9799"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权。曾任职博时基金管理有限公司研究员、市场部总助，中国人寿资产管理有限公司股票</w:t>
      </w:r>
    </w:p>
    <w:p>
      <w:pPr>
        <w:framePr w:w="9799"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部高级投资经理，泰达宏利基金管理有限公司投资副总监、研究总监、首席策略分析师、</w:t>
      </w:r>
    </w:p>
    <w:p>
      <w:pPr>
        <w:framePr w:w="9799" w:wrap="around" w:vAnchor="margin" w:hAnchor="text" w:x="1800" w:y="512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基金经理，南方基金管理有限公司基金经理、研究部总监、总裁助理兼首席投资官（权益）。</w:t>
      </w:r>
    </w:p>
    <w:p>
      <w:pPr>
        <w:framePr w:w="9799"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现任南方基金管理股份有限公司副总裁、首席投资官（权益）、基金经理。</w:t>
      </w:r>
    </w:p>
    <w:p>
      <w:pPr>
        <w:framePr w:w="9549"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鲍文革先生，督察长，经济学硕士，中国籍，无境外永久居留权。曾任职财政部中华</w:t>
      </w:r>
    </w:p>
    <w:p>
      <w:pPr>
        <w:framePr w:w="9549"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会计师事务所审计师，南方证券有限公司投行部及计划财务部总经理助理，南方基金管理</w:t>
      </w:r>
    </w:p>
    <w:p>
      <w:pPr>
        <w:framePr w:w="9549"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有限公司运作保障部总监、公司监事、财务负责人、总裁助理。现任南方基金管理股份有</w:t>
      </w:r>
    </w:p>
    <w:p>
      <w:pPr>
        <w:framePr w:w="9549" w:wrap="around" w:vAnchor="margin" w:hAnchor="text" w:x="1800" w:y="717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限公司督察长，南方资本管理有限公司董事。</w:t>
      </w:r>
    </w:p>
    <w:p>
      <w:pPr>
        <w:framePr w:w="2049" w:wrap="around" w:vAnchor="margin" w:hAnchor="text" w:x="1800" w:y="9259"/>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3.2.4</w:t>
      </w:r>
      <w:r>
        <w:rPr>
          <w:rFonts w:ascii="SKJVQB+å®ä½" w:hAnsi="SKJVQB+å®ä½" w:cs="SKJVQB+å®ä½"/>
          <w:color w:val="222222"/>
          <w:spacing w:val="0"/>
          <w:sz w:val="24"/>
        </w:rPr>
        <w:t>基金经理</w:t>
      </w:r>
    </w:p>
    <w:p>
      <w:pPr>
        <w:framePr w:w="9557" w:wrap="around" w:vAnchor="margin" w:hAnchor="text" w:x="1800" w:y="98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本基金历任基金经理为：何康先生，管理时间为</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日至</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w:t>
      </w:r>
      <w:r>
        <w:rPr>
          <w:rFonts w:ascii="GGHCMB+å®ä½"/>
          <w:color w:val="222222"/>
          <w:spacing w:val="0"/>
          <w:sz w:val="21"/>
        </w:rPr>
        <w:t>5</w:t>
      </w:r>
      <w:r>
        <w:rPr>
          <w:rFonts w:ascii="SKJVQB+å®ä½" w:hAnsi="SKJVQB+å®ä½" w:cs="SKJVQB+å®ä½"/>
          <w:color w:val="222222"/>
          <w:spacing w:val="0"/>
          <w:sz w:val="21"/>
        </w:rPr>
        <w:t>日、</w:t>
      </w:r>
    </w:p>
    <w:p>
      <w:pPr>
        <w:framePr w:w="9557" w:wrap="around" w:vAnchor="margin" w:hAnchor="text" w:x="1800" w:y="98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2017</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日至</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29</w:t>
      </w:r>
      <w:r>
        <w:rPr>
          <w:rFonts w:ascii="SKJVQB+å®ä½" w:hAnsi="SKJVQB+å®ä½" w:cs="SKJVQB+å®ä½"/>
          <w:color w:val="222222"/>
          <w:spacing w:val="0"/>
          <w:sz w:val="21"/>
        </w:rPr>
        <w:t>日；陶铄先生，管理时间为</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w:t>
      </w:r>
      <w:r>
        <w:rPr>
          <w:rFonts w:ascii="GGHCMB+å®ä½"/>
          <w:color w:val="222222"/>
          <w:spacing w:val="0"/>
          <w:sz w:val="21"/>
        </w:rPr>
        <w:t>5</w:t>
      </w:r>
      <w:r>
        <w:rPr>
          <w:rFonts w:ascii="SKJVQB+å®ä½" w:hAnsi="SKJVQB+å®ä½" w:cs="SKJVQB+å®ä½"/>
          <w:color w:val="222222"/>
          <w:spacing w:val="0"/>
          <w:sz w:val="21"/>
        </w:rPr>
        <w:t>日至</w:t>
      </w:r>
      <w:r>
        <w:rPr>
          <w:rFonts w:ascii="GGHCMB+å®ä½"/>
          <w:color w:val="222222"/>
          <w:spacing w:val="0"/>
          <w:sz w:val="21"/>
        </w:rPr>
        <w:t>2018</w:t>
      </w:r>
      <w:r>
        <w:rPr>
          <w:rFonts w:ascii="SKJVQB+å®ä½" w:hAnsi="SKJVQB+å®ä½" w:cs="SKJVQB+å®ä½"/>
          <w:color w:val="222222"/>
          <w:spacing w:val="0"/>
          <w:sz w:val="21"/>
        </w:rPr>
        <w:t>年</w:t>
      </w:r>
    </w:p>
    <w:p>
      <w:pPr>
        <w:framePr w:w="9557" w:wrap="around" w:vAnchor="margin" w:hAnchor="text" w:x="1800" w:y="9845"/>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2</w:t>
      </w:r>
      <w:r>
        <w:rPr>
          <w:rFonts w:ascii="SKJVQB+å®ä½" w:hAnsi="SKJVQB+å®ä½" w:cs="SKJVQB+å®ä½"/>
          <w:color w:val="222222"/>
          <w:spacing w:val="0"/>
          <w:sz w:val="21"/>
        </w:rPr>
        <w:t>日；杜才超先生，管理时间为</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29</w:t>
      </w:r>
      <w:r>
        <w:rPr>
          <w:rFonts w:ascii="SKJVQB+å®ä½" w:hAnsi="SKJVQB+å®ä½" w:cs="SKJVQB+å®ä½"/>
          <w:color w:val="222222"/>
          <w:spacing w:val="0"/>
          <w:sz w:val="21"/>
        </w:rPr>
        <w:t>日至今。</w:t>
      </w:r>
    </w:p>
    <w:p>
      <w:pPr>
        <w:framePr w:w="9560" w:wrap="around" w:vAnchor="margin" w:hAnchor="text" w:x="1800" w:y="1107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杜才超先生，中央财经大学金融学硕士，具有基金从业资格。</w:t>
      </w:r>
      <w:r>
        <w:rPr>
          <w:rFonts w:ascii="GGHCMB+å®ä½"/>
          <w:color w:val="222222"/>
          <w:spacing w:val="0"/>
          <w:sz w:val="21"/>
        </w:rPr>
        <w:t>2012</w:t>
      </w:r>
      <w:r>
        <w:rPr>
          <w:rFonts w:ascii="SKJVQB+å®ä½" w:hAnsi="SKJVQB+å®ä½" w:cs="SKJVQB+å®ä½"/>
          <w:color w:val="222222"/>
          <w:spacing w:val="0"/>
          <w:sz w:val="21"/>
        </w:rPr>
        <w:t xml:space="preserve">年 </w:t>
      </w:r>
      <w:r>
        <w:rPr>
          <w:rFonts w:ascii="GGHCMB+å®ä½"/>
          <w:color w:val="222222"/>
          <w:spacing w:val="0"/>
          <w:sz w:val="21"/>
        </w:rPr>
        <w:t>7</w:t>
      </w:r>
      <w:r>
        <w:rPr>
          <w:rFonts w:ascii="SKJVQB+å®ä½" w:hAnsi="SKJVQB+å®ä½" w:cs="SKJVQB+å®ä½"/>
          <w:color w:val="222222"/>
          <w:spacing w:val="0"/>
          <w:sz w:val="21"/>
        </w:rPr>
        <w:t>月加入南方基</w:t>
      </w:r>
    </w:p>
    <w:p>
      <w:pPr>
        <w:framePr w:w="9560" w:wrap="around" w:vAnchor="margin" w:hAnchor="text" w:x="1800" w:y="1107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金，历任债券交易员、债券研究员、信用分析师。</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18</w:t>
      </w:r>
      <w:r>
        <w:rPr>
          <w:rFonts w:ascii="SKJVQB+å®ä½" w:hAnsi="SKJVQB+å®ä½" w:cs="SKJVQB+å®ä½"/>
          <w:color w:val="222222"/>
          <w:spacing w:val="0"/>
          <w:sz w:val="21"/>
        </w:rPr>
        <w:t>日至</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9</w:t>
      </w:r>
      <w:r>
        <w:rPr>
          <w:rFonts w:ascii="SKJVQB+å®ä½" w:hAnsi="SKJVQB+å®ä½" w:cs="SKJVQB+å®ä½"/>
          <w:color w:val="222222"/>
          <w:spacing w:val="0"/>
          <w:sz w:val="21"/>
        </w:rPr>
        <w:t>日，</w:t>
      </w:r>
    </w:p>
    <w:p>
      <w:pPr>
        <w:framePr w:w="9560" w:wrap="around" w:vAnchor="margin" w:hAnchor="text" w:x="1800" w:y="11072"/>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任南方润元、南方稳利、南方多利、南方金利的基金经理助理。</w:t>
      </w:r>
      <w:r>
        <w:rPr>
          <w:rFonts w:ascii="GGHCMB+å®ä½"/>
          <w:color w:val="222222"/>
          <w:spacing w:val="0"/>
          <w:sz w:val="21"/>
        </w:rPr>
        <w:t>2016</w:t>
      </w:r>
      <w:r>
        <w:rPr>
          <w:rFonts w:ascii="SKJVQB+å®ä½" w:hAnsi="SKJVQB+å®ä½" w:cs="SKJVQB+å®ä½"/>
          <w:color w:val="222222"/>
          <w:spacing w:val="0"/>
          <w:sz w:val="21"/>
        </w:rPr>
        <w:t xml:space="preserve">年 </w:t>
      </w:r>
      <w:r>
        <w:rPr>
          <w:rFonts w:ascii="GGHCMB+å®ä½"/>
          <w:color w:val="222222"/>
          <w:spacing w:val="0"/>
          <w:sz w:val="21"/>
        </w:rPr>
        <w:t>12</w:t>
      </w:r>
      <w:r>
        <w:rPr>
          <w:rFonts w:ascii="SKJVQB+å®ä½" w:hAnsi="SKJVQB+å®ä½" w:cs="SKJVQB+å®ä½"/>
          <w:color w:val="222222"/>
          <w:spacing w:val="0"/>
          <w:sz w:val="21"/>
        </w:rPr>
        <w:t xml:space="preserve">月  </w:t>
      </w:r>
      <w:r>
        <w:rPr>
          <w:rFonts w:ascii="GGHCMB+å®ä½"/>
          <w:color w:val="222222"/>
          <w:spacing w:val="0"/>
          <w:sz w:val="21"/>
        </w:rPr>
        <w:t>9</w:t>
      </w:r>
      <w:r>
        <w:rPr>
          <w:rFonts w:ascii="SKJVQB+å®ä½" w:hAnsi="SKJVQB+å®ä½" w:cs="SKJVQB+å®ä½"/>
          <w:color w:val="222222"/>
          <w:spacing w:val="0"/>
          <w:sz w:val="21"/>
        </w:rPr>
        <w:t xml:space="preserve">日至 </w:t>
      </w:r>
      <w:r>
        <w:rPr>
          <w:rFonts w:ascii="GGHCMB+å®ä½"/>
          <w:color w:val="222222"/>
          <w:spacing w:val="0"/>
          <w:sz w:val="21"/>
        </w:rPr>
        <w:t xml:space="preserve"> 2018</w:t>
      </w:r>
    </w:p>
    <w:p>
      <w:pPr>
        <w:framePr w:w="9560" w:wrap="around" w:vAnchor="margin" w:hAnchor="text" w:x="1800" w:y="1107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2</w:t>
      </w:r>
      <w:r>
        <w:rPr>
          <w:rFonts w:ascii="SKJVQB+å®ä½" w:hAnsi="SKJVQB+å®ä½" w:cs="SKJVQB+å®ä½"/>
          <w:color w:val="222222"/>
          <w:spacing w:val="0"/>
          <w:sz w:val="21"/>
        </w:rPr>
        <w:t>日，任南方润元、南方稳利基金经理；</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13</w:t>
      </w:r>
      <w:r>
        <w:rPr>
          <w:rFonts w:ascii="SKJVQB+å®ä½" w:hAnsi="SKJVQB+å®ä½" w:cs="SKJVQB+å®ä½"/>
          <w:color w:val="222222"/>
          <w:spacing w:val="0"/>
          <w:sz w:val="21"/>
        </w:rPr>
        <w:t>日至</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14</w:t>
      </w:r>
      <w:r>
        <w:rPr>
          <w:rFonts w:ascii="SKJVQB+å®ä½" w:hAnsi="SKJVQB+å®ä½" w:cs="SKJVQB+å®ä½"/>
          <w:color w:val="222222"/>
          <w:spacing w:val="0"/>
          <w:sz w:val="21"/>
        </w:rPr>
        <w:t>日，</w:t>
      </w:r>
    </w:p>
    <w:p>
      <w:pPr>
        <w:framePr w:w="9560" w:wrap="around" w:vAnchor="margin" w:hAnchor="text" w:x="1800" w:y="1107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任南方交元基金经理；</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9</w:t>
      </w:r>
      <w:r>
        <w:rPr>
          <w:rFonts w:ascii="SKJVQB+å®ä½" w:hAnsi="SKJVQB+å®ä½" w:cs="SKJVQB+å®ä½"/>
          <w:color w:val="222222"/>
          <w:spacing w:val="0"/>
          <w:sz w:val="21"/>
        </w:rPr>
        <w:t>日至今，任南方丰元基金经理；</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28</w:t>
      </w:r>
      <w:r>
        <w:rPr>
          <w:rFonts w:ascii="SKJVQB+å®ä½" w:hAnsi="SKJVQB+å®ä½" w:cs="SKJVQB+å®ä½"/>
          <w:color w:val="222222"/>
          <w:spacing w:val="0"/>
          <w:sz w:val="21"/>
        </w:rPr>
        <w:t>日至</w:t>
      </w:r>
    </w:p>
    <w:p>
      <w:pPr>
        <w:framePr w:w="9560" w:wrap="around" w:vAnchor="margin" w:hAnchor="text" w:x="1800" w:y="11072"/>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今，任南方宣利基金经理；</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9</w:t>
      </w:r>
      <w:r>
        <w:rPr>
          <w:rFonts w:ascii="SKJVQB+å®ä½" w:hAnsi="SKJVQB+å®ä½" w:cs="SKJVQB+å®ä½"/>
          <w:color w:val="222222"/>
          <w:spacing w:val="0"/>
          <w:sz w:val="21"/>
        </w:rPr>
        <w:t>月</w:t>
      </w:r>
      <w:r>
        <w:rPr>
          <w:rFonts w:ascii="GGHCMB+å®ä½"/>
          <w:color w:val="222222"/>
          <w:spacing w:val="0"/>
          <w:sz w:val="21"/>
        </w:rPr>
        <w:t>14</w:t>
      </w:r>
      <w:r>
        <w:rPr>
          <w:rFonts w:ascii="SKJVQB+å®ä½" w:hAnsi="SKJVQB+å®ä½" w:cs="SKJVQB+å®ä½"/>
          <w:color w:val="222222"/>
          <w:spacing w:val="0"/>
          <w:sz w:val="21"/>
        </w:rPr>
        <w:t>日至今，任南方泽元基金经理；</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w:t>
      </w:r>
      <w:r>
        <w:rPr>
          <w:rFonts w:ascii="GGHCMB+å®ä½"/>
          <w:color w:val="222222"/>
          <w:spacing w:val="0"/>
          <w:sz w:val="21"/>
        </w:rPr>
        <w:t>24</w:t>
      </w:r>
    </w:p>
    <w:p>
      <w:pPr>
        <w:framePr w:w="9560" w:wrap="around" w:vAnchor="margin" w:hAnchor="text" w:x="1800" w:y="11072"/>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日至今，任南方旭元基金经理；</w:t>
      </w:r>
      <w:r>
        <w:rPr>
          <w:rFonts w:ascii="GGHCMB+å®ä½"/>
          <w:color w:val="222222"/>
          <w:spacing w:val="0"/>
          <w:sz w:val="21"/>
        </w:rPr>
        <w:t>2019</w:t>
      </w:r>
      <w:r>
        <w:rPr>
          <w:rFonts w:ascii="SKJVQB+å®ä½" w:hAnsi="SKJVQB+å®ä½" w:cs="SKJVQB+å®ä½"/>
          <w:color w:val="222222"/>
          <w:spacing w:val="0"/>
          <w:sz w:val="21"/>
        </w:rPr>
        <w:t xml:space="preserve">年 </w:t>
      </w:r>
      <w:r>
        <w:rPr>
          <w:rFonts w:ascii="GGHCMB+å®ä½"/>
          <w:color w:val="222222"/>
          <w:spacing w:val="0"/>
          <w:sz w:val="21"/>
        </w:rPr>
        <w:t>7</w:t>
      </w:r>
      <w:r>
        <w:rPr>
          <w:rFonts w:ascii="SKJVQB+å®ä½" w:hAnsi="SKJVQB+å®ä½" w:cs="SKJVQB+å®ä½"/>
          <w:color w:val="222222"/>
          <w:spacing w:val="0"/>
          <w:sz w:val="21"/>
        </w:rPr>
        <w:t xml:space="preserve">月  </w:t>
      </w:r>
      <w:r>
        <w:rPr>
          <w:rFonts w:ascii="GGHCMB+å®ä½"/>
          <w:color w:val="222222"/>
          <w:spacing w:val="0"/>
          <w:sz w:val="21"/>
        </w:rPr>
        <w:t>11</w:t>
      </w:r>
      <w:r>
        <w:rPr>
          <w:rFonts w:ascii="SKJVQB+å®ä½" w:hAnsi="SKJVQB+å®ä½" w:cs="SKJVQB+å®ä½"/>
          <w:color w:val="222222"/>
          <w:spacing w:val="0"/>
          <w:sz w:val="21"/>
        </w:rPr>
        <w:t>日至今，任南方泰元基金经理；</w:t>
      </w:r>
      <w:r>
        <w:rPr>
          <w:rFonts w:ascii="GGHCMB+å®ä½"/>
          <w:color w:val="222222"/>
          <w:spacing w:val="0"/>
          <w:sz w:val="21"/>
        </w:rPr>
        <w:t>2020</w:t>
      </w:r>
      <w:r>
        <w:rPr>
          <w:rFonts w:ascii="SKJVQB+å®ä½" w:hAnsi="SKJVQB+å®ä½" w:cs="SKJVQB+å®ä½"/>
          <w:color w:val="222222"/>
          <w:spacing w:val="0"/>
          <w:sz w:val="21"/>
        </w:rPr>
        <w:t xml:space="preserve">年  </w:t>
      </w:r>
      <w:r>
        <w:rPr>
          <w:rFonts w:ascii="GGHCMB+å®ä½"/>
          <w:color w:val="222222"/>
          <w:spacing w:val="0"/>
          <w:sz w:val="21"/>
        </w:rPr>
        <w:t xml:space="preserve"> 1</w:t>
      </w:r>
    </w:p>
    <w:p>
      <w:pPr>
        <w:framePr w:w="9560" w:wrap="around" w:vAnchor="margin" w:hAnchor="text" w:x="1800" w:y="1107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月 </w:t>
      </w:r>
      <w:r>
        <w:rPr>
          <w:rFonts w:ascii="GGHCMB+å®ä½"/>
          <w:color w:val="222222"/>
          <w:spacing w:val="0"/>
          <w:sz w:val="21"/>
        </w:rPr>
        <w:t>15</w:t>
      </w:r>
      <w:r>
        <w:rPr>
          <w:rFonts w:ascii="SKJVQB+å®ä½" w:hAnsi="SKJVQB+å®ä½" w:cs="SKJVQB+å®ä½"/>
          <w:color w:val="222222"/>
          <w:spacing w:val="0"/>
          <w:sz w:val="21"/>
        </w:rPr>
        <w:t>日至今，任南方宁利一年债券基金经理；</w:t>
      </w:r>
      <w:r>
        <w:rPr>
          <w:rFonts w:ascii="GGHCMB+å®ä½"/>
          <w:color w:val="222222"/>
          <w:spacing w:val="0"/>
          <w:sz w:val="21"/>
        </w:rPr>
        <w:t>2020</w:t>
      </w:r>
      <w:r>
        <w:rPr>
          <w:rFonts w:ascii="SKJVQB+å®ä½" w:hAnsi="SKJVQB+å®ä½" w:cs="SKJVQB+å®ä½"/>
          <w:color w:val="222222"/>
          <w:spacing w:val="0"/>
          <w:sz w:val="21"/>
        </w:rPr>
        <w:t xml:space="preserve">年 </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18</w:t>
      </w:r>
      <w:r>
        <w:rPr>
          <w:rFonts w:ascii="SKJVQB+å®ä½" w:hAnsi="SKJVQB+å®ä½" w:cs="SKJVQB+å®ä½"/>
          <w:color w:val="222222"/>
          <w:spacing w:val="0"/>
          <w:sz w:val="21"/>
        </w:rPr>
        <w:t>日至今，任南方乐元中短利</w:t>
      </w:r>
    </w:p>
    <w:p>
      <w:pPr>
        <w:framePr w:w="9560" w:wrap="around" w:vAnchor="margin" w:hAnchor="text" w:x="1800" w:y="1107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率债基金经理；</w:t>
      </w:r>
      <w:r>
        <w:rPr>
          <w:rFonts w:ascii="GGHCMB+å®ä½"/>
          <w:color w:val="222222"/>
          <w:spacing w:val="0"/>
          <w:sz w:val="21"/>
        </w:rPr>
        <w:t>2020</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29</w:t>
      </w:r>
      <w:r>
        <w:rPr>
          <w:rFonts w:ascii="SKJVQB+å®ä½" w:hAnsi="SKJVQB+å®ä½" w:cs="SKJVQB+å®ä½"/>
          <w:color w:val="222222"/>
          <w:spacing w:val="0"/>
          <w:sz w:val="21"/>
        </w:rPr>
        <w:t>日至今，任南方双元基金经理。</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w:t>
      </w:r>
    </w:p>
    <w:p>
      <w:pPr>
        <w:spacing w:before="0" w:after="0" w:line="0" w:lineRule="exact"/>
        <w:ind w:left="0" w:right="0"/>
        <w:jc w:val="left"/>
        <w:rPr>
          <w:rFonts w:ascii="Arial"/>
          <w:color w:val="FF0000"/>
          <w:spacing w:val="0"/>
          <w:sz w:val="2"/>
        </w:rPr>
      </w:pPr>
      <w:r>
        <w:pict>
          <v:shape id="_x000026" o:spid="_x0000_s105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6" o:title=""/>
            <o:lock v:ext="edit" aspectratio="t"/>
          </v:shape>
        </w:pict>
      </w:r>
      <w:r>
        <w:pict>
          <v:shape id="_x000027" o:spid="_x0000_s1053" o:spt="75" type="#_x0000_t75" style="position:absolute;left:0pt;margin-left:88.6pt;margin-top:71.1pt;height:367.75pt;width:418.3pt;mso-position-horizontal-relative:page;mso-position-vertical-relative:page;z-index:-1024;mso-width-relative:page;mso-height-relative:page;" filled="f" coordsize="21600,21600">
            <v:path/>
            <v:fill on="f" focussize="0,0"/>
            <v:stroke/>
            <v:imagedata r:id="rId27" o:title=""/>
            <o:lock v:ext="edit" aspectratio="t"/>
          </v:shape>
        </w:pict>
      </w:r>
      <w:r>
        <w:pict>
          <v:shape id="_x000028" o:spid="_x0000_s1054" o:spt="75" type="#_x0000_t75" style="position:absolute;left:0pt;margin-left:88.6pt;margin-top:490.8pt;height:245.2pt;width:418.3pt;mso-position-horizontal-relative:page;mso-position-vertical-relative:page;z-index:-1024;mso-width-relative:page;mso-height-relative:page;" filled="f" coordsize="21600,21600">
            <v:path/>
            <v:fill on="f" focussize="0,0"/>
            <v:stroke/>
            <v:imagedata r:id="rId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328" w:wrap="around" w:vAnchor="margin" w:hAnchor="text" w:x="1800" w:y="1624"/>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3.2.5</w:t>
      </w:r>
      <w:r>
        <w:rPr>
          <w:rFonts w:ascii="SKJVQB+å®ä½" w:hAnsi="SKJVQB+å®ä½" w:cs="SKJVQB+å®ä½"/>
          <w:color w:val="222222"/>
          <w:spacing w:val="0"/>
          <w:sz w:val="24"/>
        </w:rPr>
        <w:t>投资决策委员会成员</w:t>
      </w:r>
    </w:p>
    <w:p>
      <w:pPr>
        <w:framePr w:w="9559" w:wrap="around" w:vAnchor="margin" w:hAnchor="text" w:x="1800" w:y="22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副总裁兼首席投资官（固定收益）李海鹏先生，现金投资部总经理夏晨曦先生，交易管</w:t>
      </w:r>
    </w:p>
    <w:p>
      <w:pPr>
        <w:framePr w:w="9559" w:wrap="around" w:vAnchor="margin" w:hAnchor="text" w:x="1800" w:y="22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理部总经理王珂女士，固定收益投资部总经理李璇女士，固定收益专户投资部总经理乔羽</w:t>
      </w:r>
    </w:p>
    <w:p>
      <w:pPr>
        <w:framePr w:w="9559" w:wrap="around" w:vAnchor="margin" w:hAnchor="text" w:x="1800" w:y="22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夫先生，固定收益研究部总经理陶铄先生，权益专户投资部总经理刘树坤先生。</w:t>
      </w:r>
    </w:p>
    <w:p>
      <w:pPr>
        <w:framePr w:w="4990" w:wrap="around" w:vAnchor="margin" w:hAnchor="text" w:x="1800" w:y="3889"/>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3.2.6</w:t>
      </w:r>
      <w:r>
        <w:rPr>
          <w:rFonts w:ascii="SKJVQB+å®ä½" w:hAnsi="SKJVQB+å®ä½" w:cs="SKJVQB+å®ä½"/>
          <w:color w:val="222222"/>
          <w:spacing w:val="0"/>
          <w:sz w:val="24"/>
        </w:rPr>
        <w:t>上述人员之间不存在近亲属关系。</w:t>
      </w:r>
    </w:p>
    <w:p>
      <w:pPr>
        <w:framePr w:w="4990" w:wrap="around" w:vAnchor="margin" w:hAnchor="text" w:x="1800" w:y="3889"/>
        <w:widowControl w:val="0"/>
        <w:autoSpaceDE w:val="0"/>
        <w:autoSpaceDN w:val="0"/>
        <w:spacing w:before="0" w:after="0" w:line="764" w:lineRule="exact"/>
        <w:ind w:left="0" w:right="0"/>
        <w:jc w:val="left"/>
        <w:rPr>
          <w:rFonts w:ascii="SKJVQB+å®ä½" w:hAnsi="SKJVQB+å®ä½" w:cs="SKJVQB+å®ä½"/>
          <w:color w:val="222222"/>
          <w:spacing w:val="0"/>
          <w:sz w:val="24"/>
        </w:rPr>
      </w:pPr>
      <w:r>
        <w:rPr>
          <w:rFonts w:ascii="GGHCMB+å®ä½"/>
          <w:color w:val="222222"/>
          <w:spacing w:val="0"/>
          <w:sz w:val="24"/>
        </w:rPr>
        <w:t>3.3</w:t>
      </w:r>
      <w:r>
        <w:rPr>
          <w:rFonts w:ascii="SKJVQB+å®ä½" w:hAnsi="SKJVQB+å®ä½" w:cs="SKJVQB+å®ä½"/>
          <w:color w:val="222222"/>
          <w:spacing w:val="0"/>
          <w:sz w:val="24"/>
        </w:rPr>
        <w:t>基金管理人的职责</w:t>
      </w:r>
    </w:p>
    <w:p>
      <w:pPr>
        <w:framePr w:w="9556" w:wrap="around" w:vAnchor="margin" w:hAnchor="text" w:x="1800" w:y="52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）依法募集资金，办理或者委托经中国证监会认定的其他机构代为办理基金份额的</w:t>
      </w:r>
    </w:p>
    <w:p>
      <w:pPr>
        <w:framePr w:w="9556" w:wrap="around" w:vAnchor="margin" w:hAnchor="text" w:x="1800" w:y="523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发售、申购、赎回和登记事宜；</w:t>
      </w:r>
    </w:p>
    <w:p>
      <w:pPr>
        <w:framePr w:w="2780" w:wrap="around" w:vAnchor="margin" w:hAnchor="text" w:x="2220" w:y="60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）办理基金备案手续；</w:t>
      </w:r>
    </w:p>
    <w:p>
      <w:pPr>
        <w:framePr w:w="9559" w:wrap="around" w:vAnchor="margin" w:hAnchor="text" w:x="1800" w:y="646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）自《基金合同》生效之日起，以诚实信用、谨慎勤勉的原则管理和运用基金财产；</w:t>
      </w:r>
    </w:p>
    <w:p>
      <w:pPr>
        <w:framePr w:w="9559" w:wrap="around" w:vAnchor="margin" w:hAnchor="text" w:x="1800" w:y="6463"/>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）配备足够的具有专业资格的人员进行基金投资分析、决策，以专业化的经营方式</w:t>
      </w:r>
    </w:p>
    <w:p>
      <w:pPr>
        <w:framePr w:w="9559" w:wrap="around" w:vAnchor="margin" w:hAnchor="text" w:x="1800" w:y="64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管理和运作基金财产；</w:t>
      </w:r>
    </w:p>
    <w:p>
      <w:pPr>
        <w:framePr w:w="9556" w:wrap="around" w:vAnchor="margin" w:hAnchor="text" w:x="1800" w:y="769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）建立健全内部风险控制、监察与稽核、财务管理及人事管理等制度，保证所管理</w:t>
      </w:r>
    </w:p>
    <w:p>
      <w:pPr>
        <w:framePr w:w="9556" w:wrap="around" w:vAnchor="margin" w:hAnchor="text" w:x="1800" w:y="769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的基金财产和基金管理人的财产相互独立，对所管理的不同基金分别管理，分别记账，进</w:t>
      </w:r>
    </w:p>
    <w:p>
      <w:pPr>
        <w:framePr w:w="9556" w:wrap="around" w:vAnchor="margin" w:hAnchor="text" w:x="1800" w:y="769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行证券投资；</w:t>
      </w:r>
    </w:p>
    <w:p>
      <w:pPr>
        <w:framePr w:w="9557" w:wrap="around" w:vAnchor="margin" w:hAnchor="text" w:x="1800" w:y="891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）除依据《基金法》、《基金合同》及其他有关规定外</w:t>
      </w:r>
      <w:r>
        <w:rPr>
          <w:rFonts w:ascii="GGHCMB+å®ä½"/>
          <w:color w:val="222222"/>
          <w:spacing w:val="0"/>
          <w:sz w:val="21"/>
        </w:rPr>
        <w:t>,</w:t>
      </w:r>
      <w:r>
        <w:rPr>
          <w:rFonts w:ascii="SKJVQB+å®ä½" w:hAnsi="SKJVQB+å®ä½" w:cs="SKJVQB+å®ä½"/>
          <w:color w:val="222222"/>
          <w:spacing w:val="0"/>
          <w:sz w:val="21"/>
        </w:rPr>
        <w:t>不得利用基金财产为自己及</w:t>
      </w:r>
    </w:p>
    <w:p>
      <w:pPr>
        <w:framePr w:w="9557" w:wrap="around" w:vAnchor="margin" w:hAnchor="text" w:x="1800" w:y="89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任何第三人谋取利益，不得委托第三人运作基金财产；</w:t>
      </w:r>
    </w:p>
    <w:p>
      <w:pPr>
        <w:framePr w:w="3746" w:wrap="around" w:vAnchor="margin" w:hAnchor="text" w:x="2220" w:y="97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）依法接受基金托管人的监督；</w:t>
      </w:r>
    </w:p>
    <w:p>
      <w:pPr>
        <w:framePr w:w="9559" w:wrap="around" w:vAnchor="margin" w:hAnchor="text" w:x="1800" w:y="101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）采取适当合理的措施使计算基金份额认购、申购、赎回和注销价格的方法符合《基</w:t>
      </w:r>
    </w:p>
    <w:p>
      <w:pPr>
        <w:framePr w:w="9559" w:wrap="around" w:vAnchor="margin" w:hAnchor="text" w:x="1800" w:y="101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金合同》等法律文件的规定，按有关规定计算并披露基金净值信息，确定基金份额申购、赎</w:t>
      </w:r>
    </w:p>
    <w:p>
      <w:pPr>
        <w:framePr w:w="9559" w:wrap="around" w:vAnchor="margin" w:hAnchor="text" w:x="1800" w:y="101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回的价格；</w:t>
      </w:r>
    </w:p>
    <w:p>
      <w:pPr>
        <w:framePr w:w="5438" w:wrap="around" w:vAnchor="margin" w:hAnchor="text" w:x="2220" w:y="1136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）进行基金会计核算并编制基金财务会计报告；</w:t>
      </w:r>
    </w:p>
    <w:p>
      <w:pPr>
        <w:framePr w:w="4836" w:wrap="around" w:vAnchor="margin" w:hAnchor="text" w:x="2220" w:y="1177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）编制季度报告、中期报告和年度报告；</w:t>
      </w:r>
    </w:p>
    <w:p>
      <w:pPr>
        <w:framePr w:w="9559" w:wrap="around" w:vAnchor="margin" w:hAnchor="text" w:x="1800" w:y="121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）严格按照《基金法》、《基金合同》及其他有关规定，履行信息披露及报告义务；</w:t>
      </w:r>
    </w:p>
    <w:p>
      <w:pPr>
        <w:framePr w:w="9559" w:wrap="around" w:vAnchor="margin" w:hAnchor="text" w:x="1800" w:y="1218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）保守基金商业秘密，不泄露基金投资计划、投资意向等。除《基金法》、《基金</w:t>
      </w:r>
    </w:p>
    <w:p>
      <w:pPr>
        <w:framePr w:w="9559" w:wrap="around" w:vAnchor="margin" w:hAnchor="text" w:x="1800" w:y="121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合同》及其他有关规定另有规定外，在基金信息公开披露前应予保密，不向他人泄露；</w:t>
      </w:r>
    </w:p>
    <w:p>
      <w:pPr>
        <w:framePr w:w="9559" w:wrap="around" w:vAnchor="margin" w:hAnchor="text" w:x="1800" w:y="12184"/>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）按《基金合同》的约定确定基金收益分配方案，及时向基金份额持有人分配基金</w:t>
      </w:r>
    </w:p>
    <w:p>
      <w:pPr>
        <w:framePr w:w="9559" w:wrap="around" w:vAnchor="margin" w:hAnchor="text" w:x="1800" w:y="121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收益；</w:t>
      </w:r>
    </w:p>
    <w:p>
      <w:pPr>
        <w:framePr w:w="9559" w:wrap="around" w:vAnchor="margin" w:hAnchor="text" w:x="1800" w:y="1422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）按规定受理申购与赎回申请，及时、足额支付赎回款项；</w:t>
      </w:r>
    </w:p>
    <w:p>
      <w:pPr>
        <w:framePr w:w="9559" w:wrap="around" w:vAnchor="margin" w:hAnchor="text" w:x="1800" w:y="1422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）依据《基金法》、《基金合同》及其他有关规定召集基金份额持有人大会或配合</w:t>
      </w:r>
    </w:p>
    <w:p>
      <w:pPr>
        <w:framePr w:w="9559" w:wrap="around" w:vAnchor="margin" w:hAnchor="text" w:x="1800" w:y="1422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基金托管人、基金份额持有人依法召集基金份额持有人大会；</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w:t>
      </w:r>
    </w:p>
    <w:p>
      <w:pPr>
        <w:spacing w:before="0" w:after="0" w:line="0" w:lineRule="exact"/>
        <w:ind w:left="0" w:right="0"/>
        <w:jc w:val="left"/>
        <w:rPr>
          <w:rFonts w:ascii="Arial"/>
          <w:color w:val="FF0000"/>
          <w:spacing w:val="0"/>
          <w:sz w:val="2"/>
        </w:rPr>
      </w:pPr>
      <w:r>
        <w:pict>
          <v:shape id="_x000029" o:spid="_x0000_s105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8" o:title=""/>
            <o:lock v:ext="edit" aspectratio="t"/>
          </v:shape>
        </w:pict>
      </w:r>
      <w:r>
        <w:pict>
          <v:shape id="_x000030" o:spid="_x0000_s1056" o:spt="75" type="#_x0000_t75" style="position:absolute;left:0pt;margin-left:88.6pt;margin-top:109.15pt;height:61.2pt;width:418.3pt;mso-position-horizontal-relative:page;mso-position-vertical-relative:page;z-index:-1024;mso-width-relative:page;mso-height-relative:page;" filled="f" coordsize="21600,21600">
            <v:path/>
            <v:fill on="f" focussize="0,0"/>
            <v:stroke/>
            <v:imagedata r:id="rId29" o:title=""/>
            <o:lock v:ext="edit" aspectratio="t"/>
          </v:shape>
        </w:pict>
      </w:r>
      <w:r>
        <w:pict>
          <v:shape id="_x000031" o:spid="_x0000_s1057" o:spt="75" type="#_x0000_t75" style="position:absolute;left:0pt;margin-left:88.6pt;margin-top:222.45pt;height:548.75pt;width:418.3pt;mso-position-horizontal-relative:page;mso-position-vertical-relative:page;z-index:-1024;mso-width-relative:page;mso-height-relative:page;" filled="f" coordsize="21600,21600">
            <v:path/>
            <v:fill on="f" focussize="0,0"/>
            <v:stroke/>
            <v:imagedata r:id="rId3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074" w:wrap="around" w:vAnchor="margin" w:hAnchor="text" w:x="2220" w:y="1452"/>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 xml:space="preserve">）按规定保存基金财产管理业务活动的会计账册、报表、记录和其他相关资料 </w:t>
      </w:r>
      <w:r>
        <w:rPr>
          <w:rFonts w:ascii="GGHCMB+å®ä½"/>
          <w:color w:val="222222"/>
          <w:spacing w:val="0"/>
          <w:sz w:val="21"/>
        </w:rPr>
        <w:t xml:space="preserve"> 15</w:t>
      </w:r>
    </w:p>
    <w:p>
      <w:pPr>
        <w:framePr w:w="1157" w:wrap="around" w:vAnchor="margin" w:hAnchor="text" w:x="1800" w:y="186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年以上；</w:t>
      </w:r>
    </w:p>
    <w:p>
      <w:pPr>
        <w:framePr w:w="9559"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）确保需要向基金投资人提供的各项文件或资料在规定时间发出，并且保证投资人</w:t>
      </w:r>
    </w:p>
    <w:p>
      <w:pPr>
        <w:framePr w:w="9559"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能够按照《基金合同》规定的时间和方式，随时查阅到与基金有关的公开资料，并在支付合</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理成本的条件下得到有关资料的复印件；</w:t>
      </w:r>
    </w:p>
    <w:p>
      <w:pPr>
        <w:framePr w:w="9543"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18</w:t>
      </w:r>
      <w:r>
        <w:rPr>
          <w:rFonts w:ascii="SKJVQB+å®ä½" w:hAnsi="SKJVQB+å®ä½" w:cs="SKJVQB+å®ä½"/>
          <w:color w:val="222222"/>
          <w:spacing w:val="0"/>
          <w:sz w:val="21"/>
        </w:rPr>
        <w:t>）组织并参加基金财产清算小组，参与基金财产的保管、清理、估价、变现和分</w:t>
      </w:r>
    </w:p>
    <w:p>
      <w:pPr>
        <w:framePr w:w="9543"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配；</w:t>
      </w:r>
    </w:p>
    <w:p>
      <w:pPr>
        <w:framePr w:w="9559"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19</w:t>
      </w:r>
      <w:r>
        <w:rPr>
          <w:rFonts w:ascii="SKJVQB+å®ä½" w:hAnsi="SKJVQB+å®ä½" w:cs="SKJVQB+å®ä½"/>
          <w:color w:val="222222"/>
          <w:spacing w:val="0"/>
          <w:sz w:val="21"/>
        </w:rPr>
        <w:t>）面临解散、依法被撤销或者被依法宣告破产时，及时报告中国证监会并通知基金</w:t>
      </w:r>
    </w:p>
    <w:p>
      <w:pPr>
        <w:framePr w:w="9559"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托管人；</w:t>
      </w:r>
    </w:p>
    <w:p>
      <w:pPr>
        <w:framePr w:w="9559"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20</w:t>
      </w:r>
      <w:r>
        <w:rPr>
          <w:rFonts w:ascii="SKJVQB+å®ä½" w:hAnsi="SKJVQB+å®ä½" w:cs="SKJVQB+å®ä½"/>
          <w:color w:val="222222"/>
          <w:spacing w:val="0"/>
          <w:sz w:val="21"/>
        </w:rPr>
        <w:t>）因违反《基金合同》导致基金财产的损失或损害基金份额持有人合法权益时，应</w:t>
      </w:r>
    </w:p>
    <w:p>
      <w:pPr>
        <w:framePr w:w="9559"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当承担赔偿责任，其赔偿责任不因其退任而免除；</w:t>
      </w:r>
    </w:p>
    <w:p>
      <w:pPr>
        <w:framePr w:w="9560" w:wrap="around" w:vAnchor="margin" w:hAnchor="text" w:x="1800" w:y="59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21</w:t>
      </w:r>
      <w:r>
        <w:rPr>
          <w:rFonts w:ascii="SKJVQB+å®ä½" w:hAnsi="SKJVQB+å®ä½" w:cs="SKJVQB+å®ä½"/>
          <w:color w:val="222222"/>
          <w:spacing w:val="0"/>
          <w:sz w:val="21"/>
        </w:rPr>
        <w:t>）监督基金托管人按法律法规和《基金合同》规定履行自己的义务，基金托管人违</w:t>
      </w:r>
    </w:p>
    <w:p>
      <w:pPr>
        <w:framePr w:w="9560"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反《基金合同》造成基金财产损失时，基金管理人应为基金份额持有人利益向基金托管人追</w:t>
      </w:r>
    </w:p>
    <w:p>
      <w:pPr>
        <w:framePr w:w="9560"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偿；</w:t>
      </w:r>
    </w:p>
    <w:p>
      <w:pPr>
        <w:framePr w:w="9559"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22</w:t>
      </w:r>
      <w:r>
        <w:rPr>
          <w:rFonts w:ascii="SKJVQB+å®ä½" w:hAnsi="SKJVQB+å®ä½" w:cs="SKJVQB+å®ä½"/>
          <w:color w:val="222222"/>
          <w:spacing w:val="0"/>
          <w:sz w:val="21"/>
        </w:rPr>
        <w:t>）当基金管理人将其义务委托第三方处理时，应当对第三方处理有关基金事务的行</w:t>
      </w:r>
    </w:p>
    <w:p>
      <w:pPr>
        <w:framePr w:w="9559"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为承担责任；</w:t>
      </w:r>
    </w:p>
    <w:p>
      <w:pPr>
        <w:framePr w:w="9799"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23</w:t>
      </w:r>
      <w:r>
        <w:rPr>
          <w:rFonts w:ascii="SKJVQB+å®ä½" w:hAnsi="SKJVQB+å®ä½" w:cs="SKJVQB+å®ä½"/>
          <w:color w:val="222222"/>
          <w:spacing w:val="0"/>
          <w:sz w:val="21"/>
        </w:rPr>
        <w:t>）以基金管理人名义，代表基金份额持有人利益行使诉讼权利或实施其他法律行为；</w:t>
      </w:r>
    </w:p>
    <w:p>
      <w:pPr>
        <w:framePr w:w="9799" w:wrap="around" w:vAnchor="margin" w:hAnchor="text" w:x="1800" w:y="7988"/>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24</w:t>
      </w:r>
      <w:r>
        <w:rPr>
          <w:rFonts w:ascii="SKJVQB+å®ä½" w:hAnsi="SKJVQB+å®ä½" w:cs="SKJVQB+å®ä½"/>
          <w:color w:val="222222"/>
          <w:spacing w:val="0"/>
          <w:sz w:val="21"/>
        </w:rPr>
        <w:t>）基金管理人在募集期间未能达到基金的备案条件，《基金合同》不能生效，基金</w:t>
      </w:r>
    </w:p>
    <w:p>
      <w:pPr>
        <w:framePr w:w="9799" w:wrap="around" w:vAnchor="margin" w:hAnchor="text" w:x="1800" w:y="7988"/>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 xml:space="preserve">管理人承担全部募集费用，将已募集资金并加计银行同期存款利息在基金募集期结束后 </w:t>
      </w:r>
      <w:r>
        <w:rPr>
          <w:rFonts w:ascii="GGHCMB+å®ä½"/>
          <w:color w:val="222222"/>
          <w:spacing w:val="0"/>
          <w:sz w:val="21"/>
        </w:rPr>
        <w:t xml:space="preserve"> 30</w:t>
      </w:r>
    </w:p>
    <w:p>
      <w:pPr>
        <w:framePr w:w="9799"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日内退还基金认购人；</w:t>
      </w:r>
    </w:p>
    <w:p>
      <w:pPr>
        <w:framePr w:w="5076" w:wrap="around" w:vAnchor="margin" w:hAnchor="text" w:x="2220" w:y="96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25</w:t>
      </w:r>
      <w:r>
        <w:rPr>
          <w:rFonts w:ascii="SKJVQB+å®ä½" w:hAnsi="SKJVQB+å®ä½" w:cs="SKJVQB+å®ä½"/>
          <w:color w:val="222222"/>
          <w:spacing w:val="0"/>
          <w:sz w:val="21"/>
        </w:rPr>
        <w:t>）执行生效的基金份额持有人大会的决议；</w:t>
      </w:r>
    </w:p>
    <w:p>
      <w:pPr>
        <w:framePr w:w="4353"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26</w:t>
      </w:r>
      <w:r>
        <w:rPr>
          <w:rFonts w:ascii="SKJVQB+å®ä½" w:hAnsi="SKJVQB+å®ä½" w:cs="SKJVQB+å®ä½"/>
          <w:color w:val="222222"/>
          <w:spacing w:val="0"/>
          <w:sz w:val="21"/>
        </w:rPr>
        <w:t>）建立并保存基金份额持有人名册；</w:t>
      </w:r>
    </w:p>
    <w:p>
      <w:pPr>
        <w:framePr w:w="7495"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27</w:t>
      </w:r>
      <w:r>
        <w:rPr>
          <w:rFonts w:ascii="SKJVQB+å®ä½" w:hAnsi="SKJVQB+å®ä½" w:cs="SKJVQB+å®ä½"/>
          <w:color w:val="222222"/>
          <w:spacing w:val="0"/>
          <w:sz w:val="21"/>
        </w:rPr>
        <w:t>）法律法规及中国证监会规定的和《基金合同》约定的其他义务。</w:t>
      </w:r>
    </w:p>
    <w:p>
      <w:pPr>
        <w:framePr w:w="4988" w:wrap="around" w:vAnchor="margin" w:hAnchor="text" w:x="1800" w:y="11302"/>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3.4</w:t>
      </w:r>
      <w:r>
        <w:rPr>
          <w:rFonts w:ascii="SKJVQB+å®ä½" w:hAnsi="SKJVQB+å®ä½" w:cs="SKJVQB+å®ä½"/>
          <w:color w:val="222222"/>
          <w:spacing w:val="0"/>
          <w:sz w:val="24"/>
        </w:rPr>
        <w:t>基金管理人关于遵守法律法规的承诺</w:t>
      </w:r>
    </w:p>
    <w:p>
      <w:pPr>
        <w:framePr w:w="9556" w:wrap="around" w:vAnchor="margin" w:hAnchor="text" w:x="1800" w:y="118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、基金管理人承诺不从事违反《中华人民共和国证券法》的行为，并承诺建立健全的</w:t>
      </w:r>
    </w:p>
    <w:p>
      <w:pPr>
        <w:framePr w:w="955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内部控制制度，采取有效措施，防止违反《中华人民共和国证券法》行为的发生；</w:t>
      </w:r>
    </w:p>
    <w:p>
      <w:pPr>
        <w:framePr w:w="9556" w:wrap="around" w:vAnchor="margin" w:hAnchor="text" w:x="1800" w:y="11888"/>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、基金管理人承诺不从事以下违反《基金法》的行为，并承诺建立健全的内部风险控</w:t>
      </w:r>
    </w:p>
    <w:p>
      <w:pPr>
        <w:framePr w:w="955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制制度，采取有效措施，防止下列行为的发生：</w:t>
      </w:r>
    </w:p>
    <w:p>
      <w:pPr>
        <w:framePr w:w="7854" w:wrap="around" w:vAnchor="margin" w:hAnchor="text" w:x="2643" w:y="1352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）将基金管理人固有财产或者他人财产混同于基金财产从事证券投资；</w:t>
      </w:r>
    </w:p>
    <w:p>
      <w:pPr>
        <w:framePr w:w="7854" w:wrap="around" w:vAnchor="margin" w:hAnchor="text" w:x="2643" w:y="135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）不公平地对待管理的不同基金财产；</w:t>
      </w:r>
    </w:p>
    <w:p>
      <w:pPr>
        <w:framePr w:w="8579" w:wrap="around" w:vAnchor="margin" w:hAnchor="text" w:x="2220" w:y="14342"/>
        <w:widowControl w:val="0"/>
        <w:autoSpaceDE w:val="0"/>
        <w:autoSpaceDN w:val="0"/>
        <w:spacing w:before="0" w:after="0" w:line="211" w:lineRule="exact"/>
        <w:ind w:left="422"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）利用基金财产或者职务之便为基金份额持有人以外的第三人牟取利益；</w:t>
      </w:r>
    </w:p>
    <w:p>
      <w:pPr>
        <w:framePr w:w="8579" w:wrap="around" w:vAnchor="margin" w:hAnchor="text" w:x="2220" w:y="1434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）向基金份额持有人违规承诺收益或者承担损失；</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w:t>
      </w:r>
    </w:p>
    <w:p>
      <w:pPr>
        <w:spacing w:before="0" w:after="0" w:line="0" w:lineRule="exact"/>
        <w:ind w:left="0" w:right="0"/>
        <w:jc w:val="left"/>
        <w:rPr>
          <w:rFonts w:ascii="Arial"/>
          <w:color w:val="FF0000"/>
          <w:spacing w:val="0"/>
          <w:sz w:val="2"/>
        </w:rPr>
      </w:pPr>
      <w:r>
        <w:pict>
          <v:shape id="_x000032" o:spid="_x0000_s1058"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31" o:title=""/>
            <o:lock v:ext="edit" aspectratio="t"/>
          </v:shape>
        </w:pict>
      </w:r>
      <w:r>
        <w:pict>
          <v:shape id="_x000033" o:spid="_x0000_s1059" o:spt="75" type="#_x0000_t75" style="position:absolute;left:0pt;margin-left:88.6pt;margin-top:71.1pt;height:685.3pt;width:418.3pt;mso-position-horizontal-relative:page;mso-position-vertical-relative:page;z-index:-1024;mso-width-relative:page;mso-height-relative:page;" filled="f" coordsize="21600,21600">
            <v:path/>
            <v:fill on="f" focussize="0,0"/>
            <v:stroke/>
            <v:imagedata r:id="rId3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073"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）侵占、挪用基金财产；</w:t>
      </w:r>
    </w:p>
    <w:p>
      <w:pPr>
        <w:framePr w:w="9073" w:wrap="around" w:vAnchor="margin" w:hAnchor="text" w:x="222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）泄露因职务便利获取的未公开信息、利用该信息从事或者明示、暗示他人从事相</w:t>
      </w:r>
    </w:p>
    <w:p>
      <w:pPr>
        <w:framePr w:w="1789" w:wrap="around" w:vAnchor="margin" w:hAnchor="text" w:x="1800" w:y="226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关的交易活动；</w:t>
      </w:r>
    </w:p>
    <w:p>
      <w:pPr>
        <w:framePr w:w="4229" w:wrap="around" w:vAnchor="margin" w:hAnchor="text" w:x="222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）玩忽职守，不按照规定履行职责；</w:t>
      </w:r>
    </w:p>
    <w:p>
      <w:pPr>
        <w:framePr w:w="9800" w:wrap="around" w:vAnchor="margin" w:hAnchor="text" w:x="1800" w:y="3086"/>
        <w:widowControl w:val="0"/>
        <w:autoSpaceDE w:val="0"/>
        <w:autoSpaceDN w:val="0"/>
        <w:spacing w:before="0" w:after="0" w:line="211" w:lineRule="exact"/>
        <w:ind w:left="842"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）法律、行政法规和中国证监会规定禁止的其他行为。</w:t>
      </w:r>
    </w:p>
    <w:p>
      <w:pPr>
        <w:framePr w:w="9800" w:wrap="around" w:vAnchor="margin" w:hAnchor="text" w:x="1800" w:y="308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、基金管理人承诺加强人员管理，强化职业操守，督促和约束员工遵守国家有关法律、</w:t>
      </w:r>
    </w:p>
    <w:p>
      <w:pPr>
        <w:framePr w:w="9800"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法规及行业规范，诚实信用、勤勉尽责，不从事以下活动：</w:t>
      </w:r>
    </w:p>
    <w:p>
      <w:pPr>
        <w:framePr w:w="9800" w:wrap="around" w:vAnchor="margin" w:hAnchor="text" w:x="1800" w:y="3086"/>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）越权或违规经营；</w:t>
      </w:r>
    </w:p>
    <w:p>
      <w:pPr>
        <w:framePr w:w="3506" w:wrap="around" w:vAnchor="margin" w:hAnchor="text" w:x="2220" w:y="47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）违反基金合同或托管协议；</w:t>
      </w:r>
    </w:p>
    <w:p>
      <w:pPr>
        <w:framePr w:w="6887"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）故意损害基金份额持有人或其他基金相关机构的合法权益；</w:t>
      </w:r>
    </w:p>
    <w:p>
      <w:pPr>
        <w:framePr w:w="6887" w:wrap="around" w:vAnchor="margin" w:hAnchor="text" w:x="222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）在向中国证监会报送的资料中弄虚作假；</w:t>
      </w:r>
    </w:p>
    <w:p>
      <w:pPr>
        <w:framePr w:w="9556" w:wrap="around" w:vAnchor="margin" w:hAnchor="text" w:x="1800" w:y="59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）拒绝、干扰、阻挠或严重影响中国证监会依法监管；</w:t>
      </w:r>
    </w:p>
    <w:p>
      <w:pPr>
        <w:framePr w:w="9556" w:wrap="around" w:vAnchor="margin" w:hAnchor="text" w:x="1800" w:y="5945"/>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）玩忽职守、滥用职权，不按照规定履行职责；</w:t>
      </w:r>
    </w:p>
    <w:p>
      <w:pPr>
        <w:framePr w:w="9556" w:wrap="around" w:vAnchor="margin" w:hAnchor="text" w:x="1800" w:y="594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）泄露在任职期间知悉的有关证券、基金的商业秘密、尚未依法公开的基金投资内</w:t>
      </w:r>
    </w:p>
    <w:p>
      <w:pPr>
        <w:framePr w:w="9556"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容、基金投资计划等信息或利用该信息从事或者明示、暗示他人从事相关的交易活动；</w:t>
      </w:r>
    </w:p>
    <w:p>
      <w:pPr>
        <w:framePr w:w="9556" w:wrap="around" w:vAnchor="margin" w:hAnchor="text" w:x="1800" w:y="594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）协助、接受委托或以其他任何形式为其他组织或个人进行证券交易；</w:t>
      </w:r>
    </w:p>
    <w:p>
      <w:pPr>
        <w:framePr w:w="9556" w:wrap="around" w:vAnchor="margin" w:hAnchor="text" w:x="1800" w:y="594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）违反证券交易场所业务规则，利用对敲、倒仓等手段操纵市场价格，扰乱市场秩</w:t>
      </w:r>
    </w:p>
    <w:p>
      <w:pPr>
        <w:framePr w:w="9556"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序；</w:t>
      </w:r>
    </w:p>
    <w:p>
      <w:pPr>
        <w:framePr w:w="3387" w:wrap="around" w:vAnchor="margin" w:hAnchor="text" w:x="2220" w:y="880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）贬损同行，以提高自己；</w:t>
      </w:r>
    </w:p>
    <w:p>
      <w:pPr>
        <w:framePr w:w="7011" w:wrap="around" w:vAnchor="margin" w:hAnchor="text" w:x="2220" w:y="921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）在公开信息披露和广告中故意含有虚假、误导、欺诈成分；</w:t>
      </w:r>
    </w:p>
    <w:p>
      <w:pPr>
        <w:framePr w:w="7011" w:wrap="around" w:vAnchor="margin" w:hAnchor="text" w:x="222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）以不正当手段谋求业务发展；</w:t>
      </w:r>
    </w:p>
    <w:p>
      <w:pPr>
        <w:framePr w:w="5560"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）有悖社会公德，损害证券投资基金人员形象；</w:t>
      </w:r>
    </w:p>
    <w:p>
      <w:pPr>
        <w:framePr w:w="5560" w:wrap="around" w:vAnchor="margin" w:hAnchor="text" w:x="222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）其他法律、行政法规禁止的行为。</w:t>
      </w:r>
    </w:p>
    <w:p>
      <w:pPr>
        <w:framePr w:w="4712" w:wrap="around" w:vAnchor="margin" w:hAnchor="text" w:x="1800" w:y="11302"/>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3.5</w:t>
      </w:r>
      <w:r>
        <w:rPr>
          <w:rFonts w:ascii="SKJVQB+å®ä½" w:hAnsi="SKJVQB+å®ä½" w:cs="SKJVQB+å®ä½"/>
          <w:color w:val="222222"/>
          <w:spacing w:val="0"/>
          <w:sz w:val="24"/>
        </w:rPr>
        <w:t>基金管理人关于禁止性行为的承诺</w:t>
      </w:r>
    </w:p>
    <w:p>
      <w:pPr>
        <w:framePr w:w="6769" w:wrap="around" w:vAnchor="margin" w:hAnchor="text" w:x="2220" w:y="118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为维护基金份额持有人的合法权益，本基金禁止从事下列行为：</w:t>
      </w:r>
    </w:p>
    <w:p>
      <w:pPr>
        <w:framePr w:w="6769" w:wrap="around" w:vAnchor="margin" w:hAnchor="text" w:x="2220" w:y="11888"/>
        <w:widowControl w:val="0"/>
        <w:autoSpaceDE w:val="0"/>
        <w:autoSpaceDN w:val="0"/>
        <w:spacing w:before="0" w:after="0" w:line="408" w:lineRule="exact"/>
        <w:ind w:left="422"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、承销证券；</w:t>
      </w:r>
    </w:p>
    <w:p>
      <w:pPr>
        <w:framePr w:w="4229" w:wrap="around" w:vAnchor="margin" w:hAnchor="text" w:x="2643" w:y="1270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、违反规定向他人贷款或者提供担保；</w:t>
      </w:r>
    </w:p>
    <w:p>
      <w:pPr>
        <w:framePr w:w="3263" w:wrap="around" w:vAnchor="margin" w:hAnchor="text" w:x="2643" w:y="1311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、从事承担无限责任的投资；</w:t>
      </w:r>
    </w:p>
    <w:p>
      <w:pPr>
        <w:framePr w:w="7130" w:wrap="around" w:vAnchor="margin" w:hAnchor="text" w:x="2643" w:y="1352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、买卖其他基金份额，但法律法规或中国证监会另有规定的除外；</w:t>
      </w:r>
    </w:p>
    <w:p>
      <w:pPr>
        <w:framePr w:w="7130" w:wrap="around" w:vAnchor="margin" w:hAnchor="text" w:x="2643" w:y="135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、向基金管理人、基金托管人出资；</w:t>
      </w:r>
    </w:p>
    <w:p>
      <w:pPr>
        <w:framePr w:w="7853" w:wrap="around" w:vAnchor="margin" w:hAnchor="text" w:x="2220" w:y="14342"/>
        <w:widowControl w:val="0"/>
        <w:autoSpaceDE w:val="0"/>
        <w:autoSpaceDN w:val="0"/>
        <w:spacing w:before="0" w:after="0" w:line="211" w:lineRule="exact"/>
        <w:ind w:left="422"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、从事内幕交易、操纵证券交易价格及其他不正当的证券交易活动；</w:t>
      </w:r>
    </w:p>
    <w:p>
      <w:pPr>
        <w:framePr w:w="7853" w:wrap="around" w:vAnchor="margin" w:hAnchor="text" w:x="2220" w:y="1434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、依照法律、行政法规和中国证监会规定禁止的其他活动。</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w:t>
      </w:r>
    </w:p>
    <w:p>
      <w:pPr>
        <w:spacing w:before="0" w:after="0" w:line="0" w:lineRule="exact"/>
        <w:ind w:left="0" w:right="0"/>
        <w:jc w:val="left"/>
        <w:rPr>
          <w:rFonts w:ascii="Arial"/>
          <w:color w:val="FF0000"/>
          <w:spacing w:val="0"/>
          <w:sz w:val="2"/>
        </w:rPr>
      </w:pPr>
      <w:r>
        <w:pict>
          <v:shape id="_x000034" o:spid="_x0000_s106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31" o:title=""/>
            <o:lock v:ext="edit" aspectratio="t"/>
          </v:shape>
        </w:pict>
      </w:r>
      <w:r>
        <w:pict>
          <v:shape id="_x000035" o:spid="_x0000_s1061" o:spt="75" type="#_x0000_t75" style="position:absolute;left:0pt;margin-left:88.6pt;margin-top:71.1pt;height:685.3pt;width:418.3pt;mso-position-horizontal-relative:page;mso-position-vertical-relative:page;z-index:-1024;mso-width-relative:page;mso-height-relative:page;" filled="f" coordsize="21600,21600">
            <v:path/>
            <v:fill on="f" focussize="0,0"/>
            <v:stroke/>
            <v:imagedata r:id="rId3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如法律、行政法规或监管部门取消上述限制，如适用于本基金，则本基金投资不再受</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相关限制。运用基金财产买卖基金管理人、基金托管人及其控股股东、实际控制人或者与</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其有其他重大利害关系的公司发行的证券或者承销期内承销的证券，或者从事其他重大关</w:t>
      </w:r>
    </w:p>
    <w:p>
      <w:pPr>
        <w:framePr w:w="9553"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联交易的，应当遵循基金份额持有人利益优先的原则，防范利益冲突，符合中国证监会的</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规定，并履行信息披露义务。</w:t>
      </w:r>
    </w:p>
    <w:p>
      <w:pPr>
        <w:framePr w:w="2289" w:wrap="around" w:vAnchor="margin" w:hAnchor="text" w:x="1800" w:y="3947"/>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3.6</w:t>
      </w:r>
      <w:r>
        <w:rPr>
          <w:rFonts w:ascii="SKJVQB+å®ä½" w:hAnsi="SKJVQB+å®ä½" w:cs="SKJVQB+å®ä½"/>
          <w:color w:val="222222"/>
          <w:spacing w:val="0"/>
          <w:sz w:val="24"/>
        </w:rPr>
        <w:t>基金经理承诺</w:t>
      </w:r>
    </w:p>
    <w:p>
      <w:pPr>
        <w:framePr w:w="9556" w:wrap="around" w:vAnchor="margin" w:hAnchor="text" w:x="1800" w:y="453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、依照有关法律、法规和基金合同的规定，本着谨慎的原则为基金份额持有人谋取最</w:t>
      </w:r>
    </w:p>
    <w:p>
      <w:pPr>
        <w:framePr w:w="9556" w:wrap="around" w:vAnchor="margin" w:hAnchor="text" w:x="1800" w:y="453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大利益；</w:t>
      </w:r>
    </w:p>
    <w:p>
      <w:pPr>
        <w:framePr w:w="9556" w:wrap="around" w:vAnchor="margin" w:hAnchor="text" w:x="1800" w:y="53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、不能利用职务之便为自己、受雇人或任何第三者谋取利益；</w:t>
      </w:r>
    </w:p>
    <w:p>
      <w:pPr>
        <w:framePr w:w="9556" w:wrap="around" w:vAnchor="margin" w:hAnchor="text" w:x="1800" w:y="53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、不泄露在任职期间知悉的有关证券、基金的商业秘密，尚未依法公开的基金投资内</w:t>
      </w:r>
    </w:p>
    <w:p>
      <w:pPr>
        <w:framePr w:w="9556" w:wrap="around" w:vAnchor="margin" w:hAnchor="text" w:x="1800" w:y="53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容、基金投资计划等信息，或利用该信息从事或者明示、暗示他人从事相关的交易活动；</w:t>
      </w:r>
    </w:p>
    <w:p>
      <w:pPr>
        <w:framePr w:w="9556" w:wrap="around" w:vAnchor="margin" w:hAnchor="text" w:x="1800" w:y="53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、不以任何形式为其他组织或个人进行证券交易。</w:t>
      </w:r>
    </w:p>
    <w:p>
      <w:pPr>
        <w:framePr w:w="3882" w:wrap="around" w:vAnchor="margin" w:hAnchor="text" w:x="1800" w:y="7440"/>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3.7</w:t>
      </w:r>
      <w:r>
        <w:rPr>
          <w:rFonts w:ascii="SKJVQB+å®ä½" w:hAnsi="SKJVQB+å®ä½" w:cs="SKJVQB+å®ä½"/>
          <w:color w:val="222222"/>
          <w:spacing w:val="0"/>
          <w:sz w:val="24"/>
        </w:rPr>
        <w:t>基金管理人的内部控制制度</w:t>
      </w:r>
    </w:p>
    <w:p>
      <w:pPr>
        <w:framePr w:w="2312" w:wrap="around" w:vAnchor="margin" w:hAnchor="text" w:x="2220" w:y="802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、内部控制制度概述</w:t>
      </w:r>
    </w:p>
    <w:p>
      <w:pPr>
        <w:framePr w:w="9553" w:wrap="around" w:vAnchor="margin" w:hAnchor="text" w:x="1800" w:y="843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为了保证公司规范运作，有效地防范和化解管理风险、经营风险以及操作风险，确保</w:t>
      </w:r>
    </w:p>
    <w:p>
      <w:pPr>
        <w:framePr w:w="9553" w:wrap="around" w:vAnchor="margin" w:hAnchor="text" w:x="1800" w:y="84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基金财务和公司财务以及其他信息真实、准确、完整，从而最大程度地保护基金份额持有</w:t>
      </w:r>
    </w:p>
    <w:p>
      <w:pPr>
        <w:framePr w:w="9553" w:wrap="around" w:vAnchor="margin" w:hAnchor="text" w:x="1800" w:y="843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人的利益，本基金管理人建立了科学合理、控制严密、运行高效的内部控制制度。</w:t>
      </w:r>
    </w:p>
    <w:p>
      <w:pPr>
        <w:framePr w:w="9553" w:wrap="around" w:vAnchor="margin" w:hAnchor="text" w:x="1800" w:y="843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内部控制制度是指公司为实现内部控制目标而建立的一系列组织机制、管理方法、操</w:t>
      </w:r>
    </w:p>
    <w:p>
      <w:pPr>
        <w:framePr w:w="9553" w:wrap="around" w:vAnchor="margin" w:hAnchor="text" w:x="1800" w:y="84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作程序与控制措施的总称。内部控制制度由内部控制大纲、基本管理制度、部门业务规章</w:t>
      </w:r>
    </w:p>
    <w:p>
      <w:pPr>
        <w:framePr w:w="9553" w:wrap="around" w:vAnchor="margin" w:hAnchor="text" w:x="1800" w:y="843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等组成。</w:t>
      </w:r>
    </w:p>
    <w:p>
      <w:pPr>
        <w:framePr w:w="9553" w:wrap="around" w:vAnchor="margin" w:hAnchor="text" w:x="1800" w:y="108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公司内部控制大纲是对公司章程规定的内控原则的细化和展开，是对各项基本管理制</w:t>
      </w:r>
    </w:p>
    <w:p>
      <w:pPr>
        <w:framePr w:w="9553" w:wrap="around" w:vAnchor="margin" w:hAnchor="text" w:x="1800" w:y="10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度的总揽和指导，内部控制大纲明确了内控目标、内控原则、控制环境、内控措施等内</w:t>
      </w:r>
    </w:p>
    <w:p>
      <w:pPr>
        <w:framePr w:w="9553" w:wrap="around" w:vAnchor="margin" w:hAnchor="text" w:x="1800" w:y="10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容。</w:t>
      </w:r>
    </w:p>
    <w:p>
      <w:pPr>
        <w:framePr w:w="9798" w:wrap="around" w:vAnchor="margin" w:hAnchor="text" w:x="1800" w:y="1211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基本管理制度包括内部会计控制制度、风险控制制度、投资管理制度、监察稽核制度、</w:t>
      </w:r>
    </w:p>
    <w:p>
      <w:pPr>
        <w:framePr w:w="9798" w:wrap="around" w:vAnchor="margin" w:hAnchor="text" w:x="1800" w:y="1211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基金会计制度、信息披露制度、信息技术管理制度、资料档案管理制度、业绩评估考核制</w:t>
      </w:r>
    </w:p>
    <w:p>
      <w:pPr>
        <w:framePr w:w="9798" w:wrap="around" w:vAnchor="margin" w:hAnchor="text" w:x="1800" w:y="1211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度和紧急应变制度等。</w:t>
      </w:r>
    </w:p>
    <w:p>
      <w:pPr>
        <w:framePr w:w="9552" w:wrap="around" w:vAnchor="margin" w:hAnchor="text" w:x="1800" w:y="1333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部门业务规章是在基本管理制度的基础上，对各部门的主要职责、岗位设置、岗位责</w:t>
      </w:r>
    </w:p>
    <w:p>
      <w:pPr>
        <w:framePr w:w="9552" w:wrap="around" w:vAnchor="margin" w:hAnchor="text" w:x="1800" w:y="1333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任、操作守则等的具体说明。</w:t>
      </w:r>
    </w:p>
    <w:p>
      <w:pPr>
        <w:framePr w:w="1892" w:wrap="around" w:vAnchor="margin" w:hAnchor="text" w:x="2220" w:y="1415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、内部控制原则</w:t>
      </w:r>
    </w:p>
    <w:p>
      <w:pPr>
        <w:framePr w:w="9543" w:wrap="around" w:vAnchor="margin" w:hAnchor="text" w:x="1800" w:y="14562"/>
        <w:widowControl w:val="0"/>
        <w:autoSpaceDE w:val="0"/>
        <w:autoSpaceDN w:val="0"/>
        <w:spacing w:before="0" w:after="0" w:line="211" w:lineRule="exact"/>
        <w:ind w:left="847" w:right="0"/>
        <w:jc w:val="left"/>
        <w:rPr>
          <w:rFonts w:ascii="SKJVQB+å®ä½" w:hAnsi="SKJVQB+å®ä½" w:cs="SKJVQB+å®ä½"/>
          <w:color w:val="222222"/>
          <w:spacing w:val="0"/>
          <w:sz w:val="21"/>
        </w:rPr>
      </w:pPr>
      <w:r>
        <w:rPr>
          <w:rFonts w:ascii="SKJVQB+å®ä½" w:hAnsi="SKJVQB+å®ä½" w:cs="SKJVQB+å®ä½"/>
          <w:color w:val="222222"/>
          <w:spacing w:val="0"/>
          <w:sz w:val="21"/>
        </w:rPr>
        <w:t>健全性原则。内部控制机制必须覆盖公司的各项业务、各个部门或机构和各级人</w:t>
      </w:r>
    </w:p>
    <w:p>
      <w:pPr>
        <w:framePr w:w="9543" w:wrap="around" w:vAnchor="margin" w:hAnchor="text" w:x="1800" w:y="1456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员，并涵盖到决策、执行、监督、反馈等各个运作环节。</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w:t>
      </w:r>
    </w:p>
    <w:p>
      <w:pPr>
        <w:spacing w:before="0" w:after="0" w:line="0" w:lineRule="exact"/>
        <w:ind w:left="0" w:right="0"/>
        <w:jc w:val="left"/>
        <w:rPr>
          <w:rFonts w:ascii="Arial"/>
          <w:color w:val="FF0000"/>
          <w:spacing w:val="0"/>
          <w:sz w:val="2"/>
        </w:rPr>
      </w:pPr>
      <w:r>
        <w:pict>
          <v:shape id="_x000036" o:spid="_x0000_s106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 o:title=""/>
            <o:lock v:ext="edit" aspectratio="t"/>
          </v:shape>
        </w:pict>
      </w:r>
      <w:r>
        <w:pict>
          <v:shape id="_x000037" o:spid="_x0000_s1063" o:spt="75" type="#_x0000_t75" style="position:absolute;left:0pt;margin-left:88.6pt;margin-top:71.1pt;height:696.5pt;width:418.3pt;mso-position-horizontal-relative:page;mso-position-vertical-relative:page;z-index:-1024;mso-width-relative:page;mso-height-relative:page;" filled="f" coordsize="21600,21600">
            <v:path/>
            <v:fill on="f" focussize="0,0"/>
            <v:stroke/>
            <v:imagedata r:id="rId3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070"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有效性原则。通过科学的内控手段和方法，建立合理的内控程序，维护内控制度的有</w:t>
      </w:r>
    </w:p>
    <w:p>
      <w:pPr>
        <w:framePr w:w="1157" w:wrap="around" w:vAnchor="margin" w:hAnchor="text" w:x="1800" w:y="186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效执行。</w:t>
      </w:r>
    </w:p>
    <w:p>
      <w:pPr>
        <w:framePr w:w="9553"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独立性原则。公司各机构、部门和岗位在职能上应当保持相对独立，公司基金资产、</w:t>
      </w:r>
    </w:p>
    <w:p>
      <w:pPr>
        <w:framePr w:w="9553"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自有资产、其他资产的运作应当分离。</w:t>
      </w:r>
    </w:p>
    <w:p>
      <w:pPr>
        <w:framePr w:w="9553"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相互制约原则。公司内部部门和岗位的设置必须权责分明、相互制衡，并通过切实可</w:t>
      </w:r>
    </w:p>
    <w:p>
      <w:pPr>
        <w:framePr w:w="9553"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行的措施来实行。</w:t>
      </w:r>
    </w:p>
    <w:p>
      <w:pPr>
        <w:framePr w:w="9548"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成本效益原则。公司应充分发挥各机构、各部门及各级员工的工作积极性，运用科学</w:t>
      </w:r>
    </w:p>
    <w:p>
      <w:pPr>
        <w:framePr w:w="9548"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化的方法尽量降低经营运作成本，提高经济效益，以合理的控制成本达到最佳的内部控制</w:t>
      </w:r>
    </w:p>
    <w:p>
      <w:pPr>
        <w:framePr w:w="9548" w:wrap="around" w:vAnchor="margin" w:hAnchor="text" w:x="1800" w:y="390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效果。</w:t>
      </w:r>
    </w:p>
    <w:p>
      <w:pPr>
        <w:framePr w:w="2312" w:wrap="around" w:vAnchor="margin" w:hAnchor="text" w:x="2643"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、主要内部控制制度</w:t>
      </w:r>
    </w:p>
    <w:p>
      <w:pPr>
        <w:framePr w:w="2540" w:wrap="around" w:vAnchor="margin" w:hAnchor="text" w:x="2220" w:y="553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）内部会计控制制度</w:t>
      </w:r>
    </w:p>
    <w:p>
      <w:pPr>
        <w:framePr w:w="9559" w:wrap="around" w:vAnchor="margin" w:hAnchor="text" w:x="1800" w:y="5945"/>
        <w:widowControl w:val="0"/>
        <w:autoSpaceDE w:val="0"/>
        <w:autoSpaceDN w:val="0"/>
        <w:spacing w:before="0" w:after="0" w:line="211" w:lineRule="exact"/>
        <w:ind w:left="842" w:right="0"/>
        <w:jc w:val="left"/>
        <w:rPr>
          <w:rFonts w:ascii="SKJVQB+å®ä½" w:hAnsi="SKJVQB+å®ä½" w:cs="SKJVQB+å®ä½"/>
          <w:color w:val="222222"/>
          <w:spacing w:val="0"/>
          <w:sz w:val="21"/>
        </w:rPr>
      </w:pPr>
      <w:r>
        <w:rPr>
          <w:rFonts w:ascii="SKJVQB+å®ä½" w:hAnsi="SKJVQB+å®ä½" w:cs="SKJVQB+å®ä½"/>
          <w:color w:val="222222"/>
          <w:spacing w:val="0"/>
          <w:sz w:val="21"/>
        </w:rPr>
        <w:t>公司依据《中华人民共和国会计法》等国家有关法律、法规制订了基金会计制度、</w:t>
      </w:r>
    </w:p>
    <w:p>
      <w:pPr>
        <w:framePr w:w="9559"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公司财务会计制度、会计工作操作流程和会计岗位职责，并针对各个风险控制点建立严密</w:t>
      </w:r>
    </w:p>
    <w:p>
      <w:pPr>
        <w:framePr w:w="955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的会计系统控制。</w:t>
      </w:r>
    </w:p>
    <w:p>
      <w:pPr>
        <w:framePr w:w="9553"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内部会计控制制度包括凭证制度、复核制度、账务处理程序、基金估值制度和程序、</w:t>
      </w:r>
    </w:p>
    <w:p>
      <w:pPr>
        <w:framePr w:w="9553"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基金财务清算制度和程序、成本控制制度、财务收支审批制度和费用报销管理办法、财产</w:t>
      </w:r>
    </w:p>
    <w:p>
      <w:pPr>
        <w:framePr w:w="9553"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登记保管和实物资产盘点制度、会计档案保管和财务交接制度等。</w:t>
      </w:r>
    </w:p>
    <w:p>
      <w:pPr>
        <w:framePr w:w="9553" w:wrap="around" w:vAnchor="margin" w:hAnchor="text" w:x="1800" w:y="7171"/>
        <w:widowControl w:val="0"/>
        <w:autoSpaceDE w:val="0"/>
        <w:autoSpaceDN w:val="0"/>
        <w:spacing w:before="0" w:after="0" w:line="410" w:lineRule="exact"/>
        <w:ind w:left="842"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）风险管理控制制度</w:t>
      </w:r>
    </w:p>
    <w:p>
      <w:pPr>
        <w:framePr w:w="9552" w:wrap="around" w:vAnchor="margin" w:hAnchor="text" w:x="1800" w:y="8806"/>
        <w:widowControl w:val="0"/>
        <w:autoSpaceDE w:val="0"/>
        <w:autoSpaceDN w:val="0"/>
        <w:spacing w:before="0" w:after="0" w:line="211" w:lineRule="exact"/>
        <w:ind w:left="847" w:right="0"/>
        <w:jc w:val="left"/>
        <w:rPr>
          <w:rFonts w:ascii="SKJVQB+å®ä½" w:hAnsi="SKJVQB+å®ä½" w:cs="SKJVQB+å®ä½"/>
          <w:color w:val="222222"/>
          <w:spacing w:val="0"/>
          <w:sz w:val="21"/>
        </w:rPr>
      </w:pPr>
      <w:r>
        <w:rPr>
          <w:rFonts w:ascii="SKJVQB+å®ä½" w:hAnsi="SKJVQB+å®ä½" w:cs="SKJVQB+å®ä½"/>
          <w:color w:val="222222"/>
          <w:spacing w:val="0"/>
          <w:sz w:val="21"/>
        </w:rPr>
        <w:t>风险控制制度由风险控制委员会组织各部门制定，风险控制制度由风险控制的目</w:t>
      </w:r>
    </w:p>
    <w:p>
      <w:pPr>
        <w:framePr w:w="9552"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标和原则、风险控制的机构设置、风险控制的程序、风险类型的界定、风险控制的主要措</w:t>
      </w:r>
    </w:p>
    <w:p>
      <w:pPr>
        <w:framePr w:w="9552"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施、风险控制的具体制度、风险控制制度的监督与评价等部分组成。</w:t>
      </w:r>
    </w:p>
    <w:p>
      <w:pPr>
        <w:framePr w:w="9552" w:wrap="around" w:vAnchor="margin" w:hAnchor="text" w:x="1800" w:y="8806"/>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风险控制的具体制度主要包括投资风险管理制度、交易风险管理制度、财务风险控制</w:t>
      </w:r>
    </w:p>
    <w:p>
      <w:pPr>
        <w:framePr w:w="9552"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制度以及岗位分离制度、防火墙制度、岗位职责、反馈制度、保密制度、员工行为准则等</w:t>
      </w:r>
    </w:p>
    <w:p>
      <w:pPr>
        <w:framePr w:w="9552" w:wrap="around" w:vAnchor="margin" w:hAnchor="text" w:x="1800" w:y="8806"/>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程序性风险管理制度。</w:t>
      </w:r>
    </w:p>
    <w:p>
      <w:pPr>
        <w:framePr w:w="2103" w:wrap="around" w:vAnchor="margin" w:hAnchor="text" w:x="2220" w:y="112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）监察稽核制度</w:t>
      </w:r>
    </w:p>
    <w:p>
      <w:pPr>
        <w:framePr w:w="9549" w:wrap="around" w:vAnchor="margin" w:hAnchor="text" w:x="1800" w:y="11665"/>
        <w:widowControl w:val="0"/>
        <w:autoSpaceDE w:val="0"/>
        <w:autoSpaceDN w:val="0"/>
        <w:spacing w:before="0" w:after="0" w:line="211" w:lineRule="exact"/>
        <w:ind w:left="847" w:right="0"/>
        <w:jc w:val="left"/>
        <w:rPr>
          <w:rFonts w:ascii="SKJVQB+å®ä½" w:hAnsi="SKJVQB+å®ä½" w:cs="SKJVQB+å®ä½"/>
          <w:color w:val="222222"/>
          <w:spacing w:val="0"/>
          <w:sz w:val="21"/>
        </w:rPr>
      </w:pPr>
      <w:r>
        <w:rPr>
          <w:rFonts w:ascii="SKJVQB+å®ä½" w:hAnsi="SKJVQB+å®ä½" w:cs="SKJVQB+å®ä½"/>
          <w:color w:val="222222"/>
          <w:spacing w:val="0"/>
          <w:sz w:val="21"/>
        </w:rPr>
        <w:t>公司设立督察长，负责监督检查基金和公司运作的合法合规情况及公司内部风险</w:t>
      </w:r>
    </w:p>
    <w:p>
      <w:pPr>
        <w:framePr w:w="9549"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控制情况。督察长由总经理提名，董事会聘任，并经全体独立董事同意。</w:t>
      </w:r>
    </w:p>
    <w:p>
      <w:pPr>
        <w:framePr w:w="9549" w:wrap="around" w:vAnchor="margin" w:hAnchor="text" w:x="1800" w:y="11665"/>
        <w:widowControl w:val="0"/>
        <w:autoSpaceDE w:val="0"/>
        <w:autoSpaceDN w:val="0"/>
        <w:spacing w:before="0" w:after="0" w:line="408" w:lineRule="exact"/>
        <w:ind w:left="847" w:right="0"/>
        <w:jc w:val="left"/>
        <w:rPr>
          <w:rFonts w:ascii="SKJVQB+å®ä½" w:hAnsi="SKJVQB+å®ä½" w:cs="SKJVQB+å®ä½"/>
          <w:color w:val="222222"/>
          <w:spacing w:val="0"/>
          <w:sz w:val="21"/>
        </w:rPr>
      </w:pPr>
      <w:r>
        <w:rPr>
          <w:rFonts w:ascii="SKJVQB+å®ä½" w:hAnsi="SKJVQB+å®ä½" w:cs="SKJVQB+å®ä½"/>
          <w:color w:val="222222"/>
          <w:spacing w:val="0"/>
          <w:sz w:val="21"/>
        </w:rPr>
        <w:t>督察长负责组织指导公司监察稽核工作。除应当回避的情况外，督察长享有充分</w:t>
      </w:r>
    </w:p>
    <w:p>
      <w:pPr>
        <w:framePr w:w="9549"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的知情权和独立的调查权。督察长根据履行职责的需要，有权参加或者列席公司董事会以</w:t>
      </w:r>
    </w:p>
    <w:p>
      <w:pPr>
        <w:framePr w:w="9549"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及公司业务、投资决策、风险管理等相关会议，有权调阅公司相关文件、档案。督察长应</w:t>
      </w:r>
    </w:p>
    <w:p>
      <w:pPr>
        <w:framePr w:w="9549"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当定期或者不定期向全体董事报送工作报告，并在董事会及董事会下设的相关专门委员会</w:t>
      </w:r>
    </w:p>
    <w:p>
      <w:pPr>
        <w:framePr w:w="9549"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定期会议上报告基金及公司运作的合法合规情况及公司内部风险控制情况。</w:t>
      </w:r>
    </w:p>
    <w:p>
      <w:pPr>
        <w:framePr w:w="9549" w:wrap="around" w:vAnchor="margin" w:hAnchor="text" w:x="1800" w:y="11665"/>
        <w:widowControl w:val="0"/>
        <w:autoSpaceDE w:val="0"/>
        <w:autoSpaceDN w:val="0"/>
        <w:spacing w:before="0" w:after="0" w:line="408" w:lineRule="exact"/>
        <w:ind w:left="847" w:right="0"/>
        <w:jc w:val="left"/>
        <w:rPr>
          <w:rFonts w:ascii="SKJVQB+å®ä½" w:hAnsi="SKJVQB+å®ä½" w:cs="SKJVQB+å®ä½"/>
          <w:color w:val="222222"/>
          <w:spacing w:val="0"/>
          <w:sz w:val="21"/>
        </w:rPr>
      </w:pPr>
      <w:r>
        <w:rPr>
          <w:rFonts w:ascii="SKJVQB+å®ä½" w:hAnsi="SKJVQB+å®ä½" w:cs="SKJVQB+å®ä½"/>
          <w:color w:val="222222"/>
          <w:spacing w:val="0"/>
          <w:sz w:val="21"/>
        </w:rPr>
        <w:t>公司设立监察稽核部门，具体执行监察稽核工作。公司配备了充足合格的监察稽</w:t>
      </w:r>
    </w:p>
    <w:p>
      <w:pPr>
        <w:framePr w:w="9549"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核人员，明确规定了监察稽核部门及内部各岗位的职责和工作流程。</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w:t>
      </w:r>
    </w:p>
    <w:p>
      <w:pPr>
        <w:spacing w:before="0" w:after="0" w:line="0" w:lineRule="exact"/>
        <w:ind w:left="0" w:right="0"/>
        <w:jc w:val="left"/>
        <w:rPr>
          <w:rFonts w:ascii="Arial"/>
          <w:color w:val="FF0000"/>
          <w:spacing w:val="0"/>
          <w:sz w:val="2"/>
        </w:rPr>
      </w:pPr>
      <w:r>
        <w:pict>
          <v:shape id="_x000038" o:spid="_x0000_s1064"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 o:title=""/>
            <o:lock v:ext="edit" aspectratio="t"/>
          </v:shape>
        </w:pict>
      </w:r>
      <w:r>
        <w:pict>
          <v:shape id="_x000039" o:spid="_x0000_s1065" o:spt="75" type="#_x0000_t75" style="position:absolute;left:0pt;margin-left:88.6pt;margin-top:71.1pt;height:694.55pt;width:418.3pt;mso-position-horizontal-relative:page;mso-position-vertical-relative:page;z-index:-1024;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监察稽核制度包括内部稽核管理办法、内部稽核工作准则等。通过这些制度的建立，</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检查公司各业务部门和人员遵守有关法律、法规和规章的情况；检查公司各业务部门和人</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员执行公司内部控制制度、各项管理制度和业务规章的情况。</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19</w:t>
      </w:r>
    </w:p>
    <w:p>
      <w:pPr>
        <w:spacing w:before="0" w:after="0" w:line="0" w:lineRule="exact"/>
        <w:ind w:left="0" w:right="0"/>
        <w:jc w:val="left"/>
        <w:rPr>
          <w:rFonts w:ascii="Arial"/>
          <w:color w:val="FF0000"/>
          <w:spacing w:val="0"/>
          <w:sz w:val="2"/>
        </w:rPr>
      </w:pPr>
      <w:r>
        <w:pict>
          <v:shape id="_x000040" o:spid="_x0000_s1066"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8" o:title=""/>
            <o:lock v:ext="edit" aspectratio="t"/>
          </v:shape>
        </w:pict>
      </w:r>
      <w:r>
        <w:pict>
          <v:shape id="_x000041" o:spid="_x0000_s1067" o:spt="75" type="#_x0000_t75" style="position:absolute;left:0pt;margin-left:88.6pt;margin-top:71.1pt;height:61.35pt;width:418.3pt;mso-position-horizontal-relative:page;mso-position-vertical-relative:page;z-index:-1024;mso-width-relative:page;mso-height-relative:page;" filled="f" coordsize="21600,21600">
            <v:path/>
            <v:fill on="f" focussize="0,0"/>
            <v:stroke/>
            <v:imagedata r:id="rId3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388" w:wrap="around" w:vAnchor="margin" w:hAnchor="text" w:x="4969"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4</w:t>
      </w:r>
      <w:r>
        <w:rPr>
          <w:rFonts w:ascii="SKJVQB+å®ä½" w:hAnsi="SKJVQB+å®ä½" w:cs="SKJVQB+å®ä½"/>
          <w:color w:val="222222"/>
          <w:spacing w:val="0"/>
          <w:sz w:val="28"/>
        </w:rPr>
        <w:t>基金托管人</w:t>
      </w:r>
    </w:p>
    <w:p>
      <w:pPr>
        <w:framePr w:w="2661"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一、基金托管人基本情况</w:t>
      </w:r>
    </w:p>
    <w:p>
      <w:pPr>
        <w:framePr w:w="2661" w:wrap="around" w:vAnchor="margin" w:hAnchor="text" w:x="222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（一）基金托管人概况</w:t>
      </w:r>
    </w:p>
    <w:p>
      <w:pPr>
        <w:framePr w:w="6769" w:wrap="around" w:vAnchor="margin" w:hAnchor="text" w:x="2220" w:y="317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公司法定中文名称：交通银行股份有限公司（简称：交通银行）</w:t>
      </w:r>
    </w:p>
    <w:p>
      <w:pPr>
        <w:framePr w:w="6769" w:wrap="around" w:vAnchor="margin" w:hAnchor="text" w:x="2220" w:y="3173"/>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公司法定英文名称：</w:t>
      </w:r>
      <w:r>
        <w:rPr>
          <w:rFonts w:ascii="GGHCMB+å®ä½"/>
          <w:color w:val="222222"/>
          <w:spacing w:val="0"/>
          <w:sz w:val="21"/>
        </w:rPr>
        <w:t>BANK OF COMMUNICATIONS CO.,LTD</w:t>
      </w:r>
    </w:p>
    <w:p>
      <w:pPr>
        <w:framePr w:w="6769" w:wrap="around" w:vAnchor="margin" w:hAnchor="text" w:x="2220" w:y="317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法定代表人</w:t>
      </w:r>
      <w:r>
        <w:rPr>
          <w:rFonts w:ascii="GGHCMB+å®ä½"/>
          <w:color w:val="222222"/>
          <w:spacing w:val="0"/>
          <w:sz w:val="21"/>
        </w:rPr>
        <w:t>/</w:t>
      </w:r>
      <w:r>
        <w:rPr>
          <w:rFonts w:ascii="SKJVQB+å®ä½" w:hAnsi="SKJVQB+å®ä½" w:cs="SKJVQB+å®ä½"/>
          <w:color w:val="222222"/>
          <w:spacing w:val="0"/>
          <w:sz w:val="21"/>
        </w:rPr>
        <w:t>负责人：任德奇</w:t>
      </w:r>
    </w:p>
    <w:p>
      <w:pPr>
        <w:framePr w:w="526" w:wrap="around" w:vAnchor="margin" w:hAnchor="text" w:x="2220" w:y="439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住</w:t>
      </w:r>
    </w:p>
    <w:p>
      <w:pPr>
        <w:framePr w:w="5320" w:wrap="around" w:vAnchor="margin" w:hAnchor="text" w:x="2640" w:y="439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所：中国（上海）自由贸易试验区银城中路</w:t>
      </w:r>
      <w:r>
        <w:rPr>
          <w:rFonts w:ascii="GGHCMB+å®ä½"/>
          <w:color w:val="222222"/>
          <w:spacing w:val="0"/>
          <w:sz w:val="21"/>
        </w:rPr>
        <w:t>188</w:t>
      </w:r>
      <w:r>
        <w:rPr>
          <w:rFonts w:ascii="SKJVQB+å®ä½" w:hAnsi="SKJVQB+å®ä½" w:cs="SKJVQB+å®ä½"/>
          <w:color w:val="222222"/>
          <w:spacing w:val="0"/>
          <w:sz w:val="21"/>
        </w:rPr>
        <w:t>号</w:t>
      </w:r>
    </w:p>
    <w:p>
      <w:pPr>
        <w:framePr w:w="3989" w:wrap="around" w:vAnchor="margin" w:hAnchor="text" w:x="2220" w:y="48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办公地址：上海市长宁区仙霞路</w:t>
      </w:r>
      <w:r>
        <w:rPr>
          <w:rFonts w:ascii="GGHCMB+å®ä½"/>
          <w:color w:val="222222"/>
          <w:spacing w:val="0"/>
          <w:sz w:val="21"/>
        </w:rPr>
        <w:t>18</w:t>
      </w:r>
      <w:r>
        <w:rPr>
          <w:rFonts w:ascii="SKJVQB+å®ä½" w:hAnsi="SKJVQB+å®ä½" w:cs="SKJVQB+å®ä½"/>
          <w:color w:val="222222"/>
          <w:spacing w:val="0"/>
          <w:sz w:val="21"/>
        </w:rPr>
        <w:t>号</w:t>
      </w:r>
    </w:p>
    <w:p>
      <w:pPr>
        <w:framePr w:w="3989" w:wrap="around" w:vAnchor="margin" w:hAnchor="text" w:x="2220" w:y="4808"/>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邮政编码：</w:t>
      </w:r>
      <w:r>
        <w:rPr>
          <w:rFonts w:ascii="GGHCMB+å®ä½"/>
          <w:color w:val="222222"/>
          <w:spacing w:val="0"/>
          <w:sz w:val="21"/>
        </w:rPr>
        <w:t>200336</w:t>
      </w:r>
    </w:p>
    <w:p>
      <w:pPr>
        <w:framePr w:w="3084" w:wrap="around" w:vAnchor="margin" w:hAnchor="text" w:x="2220" w:y="562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注册时间：</w:t>
      </w:r>
      <w:r>
        <w:rPr>
          <w:rFonts w:ascii="GGHCMB+å®ä½"/>
          <w:color w:val="222222"/>
          <w:spacing w:val="0"/>
          <w:sz w:val="21"/>
        </w:rPr>
        <w:t>1987</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30</w:t>
      </w:r>
      <w:r>
        <w:rPr>
          <w:rFonts w:ascii="SKJVQB+å®ä½" w:hAnsi="SKJVQB+å®ä½" w:cs="SKJVQB+å®ä½"/>
          <w:color w:val="222222"/>
          <w:spacing w:val="0"/>
          <w:sz w:val="21"/>
        </w:rPr>
        <w:t>日</w:t>
      </w:r>
    </w:p>
    <w:p>
      <w:pPr>
        <w:framePr w:w="3084" w:wrap="around" w:vAnchor="margin" w:hAnchor="text" w:x="2220" w:y="562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注册资本：</w:t>
      </w:r>
      <w:r>
        <w:rPr>
          <w:rFonts w:ascii="GGHCMB+å®ä½"/>
          <w:color w:val="222222"/>
          <w:spacing w:val="0"/>
          <w:sz w:val="21"/>
        </w:rPr>
        <w:t>742.63</w:t>
      </w:r>
      <w:r>
        <w:rPr>
          <w:rFonts w:ascii="SKJVQB+å®ä½" w:hAnsi="SKJVQB+å®ä½" w:cs="SKJVQB+å®ä½"/>
          <w:color w:val="222222"/>
          <w:spacing w:val="0"/>
          <w:sz w:val="21"/>
        </w:rPr>
        <w:t>亿元</w:t>
      </w:r>
    </w:p>
    <w:p>
      <w:pPr>
        <w:framePr w:w="6344" w:wrap="around" w:vAnchor="margin" w:hAnchor="text" w:x="2220" w:y="644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基金托管资格批文及文号：中国证监会证监基字</w:t>
      </w:r>
      <w:r>
        <w:rPr>
          <w:rFonts w:ascii="GGHCMB+å®ä½"/>
          <w:color w:val="222222"/>
          <w:spacing w:val="0"/>
          <w:sz w:val="21"/>
        </w:rPr>
        <w:t>[1998]25</w:t>
      </w:r>
      <w:r>
        <w:rPr>
          <w:rFonts w:ascii="SKJVQB+å®ä½" w:hAnsi="SKJVQB+å®ä½" w:cs="SKJVQB+å®ä½"/>
          <w:color w:val="222222"/>
          <w:spacing w:val="0"/>
          <w:sz w:val="21"/>
        </w:rPr>
        <w:t>号</w:t>
      </w:r>
    </w:p>
    <w:p>
      <w:pPr>
        <w:framePr w:w="6344" w:wrap="around" w:vAnchor="margin" w:hAnchor="text" w:x="2220" w:y="644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联系人：陆志俊</w:t>
      </w:r>
    </w:p>
    <w:p>
      <w:pPr>
        <w:framePr w:w="526" w:wrap="around" w:vAnchor="margin" w:hAnchor="text" w:x="2220" w:y="725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电</w:t>
      </w:r>
    </w:p>
    <w:p>
      <w:pPr>
        <w:framePr w:w="1261" w:wrap="around" w:vAnchor="margin" w:hAnchor="text" w:x="2643" w:y="7258"/>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话：</w:t>
      </w:r>
      <w:r>
        <w:rPr>
          <w:rFonts w:ascii="GGHCMB+å®ä½"/>
          <w:color w:val="222222"/>
          <w:spacing w:val="0"/>
          <w:sz w:val="21"/>
        </w:rPr>
        <w:t>95559</w:t>
      </w:r>
    </w:p>
    <w:p>
      <w:pPr>
        <w:framePr w:w="9800" w:wrap="around" w:vAnchor="margin" w:hAnchor="text" w:x="1800" w:y="766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交通银行始建于</w:t>
      </w:r>
      <w:r>
        <w:rPr>
          <w:rFonts w:ascii="GGHCMB+å®ä½"/>
          <w:color w:val="222222"/>
          <w:spacing w:val="0"/>
          <w:sz w:val="21"/>
        </w:rPr>
        <w:t>1908</w:t>
      </w:r>
      <w:r>
        <w:rPr>
          <w:rFonts w:ascii="SKJVQB+å®ä½" w:hAnsi="SKJVQB+å®ä½" w:cs="SKJVQB+å®ä½"/>
          <w:color w:val="222222"/>
          <w:spacing w:val="0"/>
          <w:sz w:val="21"/>
        </w:rPr>
        <w:t>年，是中国历史最悠久的银行之一，也是近代中国的发钞行之一。</w:t>
      </w:r>
    </w:p>
    <w:p>
      <w:pPr>
        <w:framePr w:w="9800" w:wrap="around" w:vAnchor="margin" w:hAnchor="text" w:x="1800" w:y="766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GGHCMB+å®ä½"/>
          <w:color w:val="222222"/>
          <w:spacing w:val="0"/>
          <w:sz w:val="21"/>
        </w:rPr>
        <w:t>1987</w:t>
      </w:r>
      <w:r>
        <w:rPr>
          <w:rFonts w:ascii="SKJVQB+å®ä½" w:hAnsi="SKJVQB+å®ä½" w:cs="SKJVQB+å®ä½"/>
          <w:color w:val="222222"/>
          <w:spacing w:val="0"/>
          <w:sz w:val="21"/>
        </w:rPr>
        <w:t>年重新组建后的交通银行正式对外营业，成为中国第一家全国性的国有股份制商业银</w:t>
      </w:r>
    </w:p>
    <w:p>
      <w:pPr>
        <w:framePr w:w="9800" w:wrap="around" w:vAnchor="margin" w:hAnchor="text" w:x="1800" w:y="766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行，总部设在上海。</w:t>
      </w:r>
      <w:r>
        <w:rPr>
          <w:rFonts w:ascii="GGHCMB+å®ä½"/>
          <w:color w:val="222222"/>
          <w:spacing w:val="0"/>
          <w:sz w:val="21"/>
        </w:rPr>
        <w:t>2005</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月交通银行在香港联合交易所挂牌上市，</w:t>
      </w:r>
      <w:r>
        <w:rPr>
          <w:rFonts w:ascii="GGHCMB+å®ä½"/>
          <w:color w:val="222222"/>
          <w:spacing w:val="0"/>
          <w:sz w:val="21"/>
        </w:rPr>
        <w:t>2007</w:t>
      </w:r>
      <w:r>
        <w:rPr>
          <w:rFonts w:ascii="SKJVQB+å®ä½" w:hAnsi="SKJVQB+å®ä½" w:cs="SKJVQB+å®ä½"/>
          <w:color w:val="222222"/>
          <w:spacing w:val="0"/>
          <w:sz w:val="21"/>
        </w:rPr>
        <w:t>年</w:t>
      </w:r>
      <w:r>
        <w:rPr>
          <w:rFonts w:ascii="GGHCMB+å®ä½"/>
          <w:color w:val="222222"/>
          <w:spacing w:val="0"/>
          <w:sz w:val="21"/>
        </w:rPr>
        <w:t>5</w:t>
      </w:r>
      <w:r>
        <w:rPr>
          <w:rFonts w:ascii="SKJVQB+å®ä½" w:hAnsi="SKJVQB+å®ä½" w:cs="SKJVQB+å®ä½"/>
          <w:color w:val="222222"/>
          <w:spacing w:val="0"/>
          <w:sz w:val="21"/>
        </w:rPr>
        <w:t>月在上海</w:t>
      </w:r>
    </w:p>
    <w:p>
      <w:pPr>
        <w:framePr w:w="9800" w:wrap="around" w:vAnchor="margin" w:hAnchor="text" w:x="1800" w:y="766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证券交易所挂牌上市。根据</w:t>
      </w:r>
      <w:r>
        <w:rPr>
          <w:rFonts w:ascii="GGHCMB+å®ä½"/>
          <w:color w:val="222222"/>
          <w:spacing w:val="0"/>
          <w:sz w:val="21"/>
        </w:rPr>
        <w:t>2019</w:t>
      </w:r>
      <w:r>
        <w:rPr>
          <w:rFonts w:ascii="SKJVQB+å®ä½" w:hAnsi="SKJVQB+å®ä½" w:cs="SKJVQB+å®ä½"/>
          <w:color w:val="222222"/>
          <w:spacing w:val="0"/>
          <w:sz w:val="21"/>
        </w:rPr>
        <w:t>年英国《银行家》杂志发布的全球千家大银行报告，交通</w:t>
      </w:r>
    </w:p>
    <w:p>
      <w:pPr>
        <w:framePr w:w="9800" w:wrap="around" w:vAnchor="margin" w:hAnchor="text" w:x="1800" w:y="766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银行一级资本位列第</w:t>
      </w:r>
      <w:r>
        <w:rPr>
          <w:rFonts w:ascii="GGHCMB+å®ä½"/>
          <w:color w:val="222222"/>
          <w:spacing w:val="0"/>
          <w:sz w:val="21"/>
        </w:rPr>
        <w:t>11</w:t>
      </w:r>
      <w:r>
        <w:rPr>
          <w:rFonts w:ascii="SKJVQB+å®ä½" w:hAnsi="SKJVQB+å®ä½" w:cs="SKJVQB+å®ä½"/>
          <w:color w:val="222222"/>
          <w:spacing w:val="0"/>
          <w:sz w:val="21"/>
        </w:rPr>
        <w:t>位，连续五年跻身全球银行</w:t>
      </w:r>
      <w:r>
        <w:rPr>
          <w:rFonts w:ascii="GGHCMB+å®ä½"/>
          <w:color w:val="222222"/>
          <w:spacing w:val="0"/>
          <w:sz w:val="21"/>
        </w:rPr>
        <w:t>20</w:t>
      </w:r>
      <w:r>
        <w:rPr>
          <w:rFonts w:ascii="SKJVQB+å®ä½" w:hAnsi="SKJVQB+å®ä½" w:cs="SKJVQB+å®ä½"/>
          <w:color w:val="222222"/>
          <w:spacing w:val="0"/>
          <w:sz w:val="21"/>
        </w:rPr>
        <w:t>强；根据</w:t>
      </w:r>
      <w:r>
        <w:rPr>
          <w:rFonts w:ascii="GGHCMB+å®ä½"/>
          <w:color w:val="222222"/>
          <w:spacing w:val="0"/>
          <w:sz w:val="21"/>
        </w:rPr>
        <w:t>2019</w:t>
      </w:r>
      <w:r>
        <w:rPr>
          <w:rFonts w:ascii="SKJVQB+å®ä½" w:hAnsi="SKJVQB+å®ä½" w:cs="SKJVQB+å®ä½"/>
          <w:color w:val="222222"/>
          <w:spacing w:val="0"/>
          <w:sz w:val="21"/>
        </w:rPr>
        <w:t>年美国《财富》杂志</w:t>
      </w:r>
    </w:p>
    <w:p>
      <w:pPr>
        <w:framePr w:w="9800" w:wrap="around" w:vAnchor="margin" w:hAnchor="text" w:x="1800" w:y="766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发布的世界</w:t>
      </w:r>
      <w:r>
        <w:rPr>
          <w:rFonts w:ascii="GGHCMB+å®ä½"/>
          <w:color w:val="222222"/>
          <w:spacing w:val="0"/>
          <w:sz w:val="21"/>
        </w:rPr>
        <w:t>500</w:t>
      </w:r>
      <w:r>
        <w:rPr>
          <w:rFonts w:ascii="SKJVQB+å®ä½" w:hAnsi="SKJVQB+å®ä½" w:cs="SKJVQB+å®ä½"/>
          <w:color w:val="222222"/>
          <w:spacing w:val="0"/>
          <w:sz w:val="21"/>
        </w:rPr>
        <w:t>强公司排行榜，交通银行营业收入位列第</w:t>
      </w:r>
      <w:r>
        <w:rPr>
          <w:rFonts w:ascii="GGHCMB+å®ä½"/>
          <w:color w:val="222222"/>
          <w:spacing w:val="0"/>
          <w:sz w:val="21"/>
        </w:rPr>
        <w:t>150</w:t>
      </w:r>
      <w:r>
        <w:rPr>
          <w:rFonts w:ascii="SKJVQB+å®ä½" w:hAnsi="SKJVQB+å®ä½" w:cs="SKJVQB+å®ä½"/>
          <w:color w:val="222222"/>
          <w:spacing w:val="0"/>
          <w:sz w:val="21"/>
        </w:rPr>
        <w:t>位，较上年提升</w:t>
      </w:r>
      <w:r>
        <w:rPr>
          <w:rFonts w:ascii="GGHCMB+å®ä½"/>
          <w:color w:val="222222"/>
          <w:spacing w:val="0"/>
          <w:sz w:val="21"/>
        </w:rPr>
        <w:t>18</w:t>
      </w:r>
      <w:r>
        <w:rPr>
          <w:rFonts w:ascii="SKJVQB+å®ä½" w:hAnsi="SKJVQB+å®ä½" w:cs="SKJVQB+å®ä½"/>
          <w:color w:val="222222"/>
          <w:spacing w:val="0"/>
          <w:sz w:val="21"/>
        </w:rPr>
        <w:t>位。</w:t>
      </w:r>
    </w:p>
    <w:p>
      <w:pPr>
        <w:framePr w:w="9800" w:wrap="around" w:vAnchor="margin" w:hAnchor="text" w:x="1800" w:y="766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截至</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9</w:t>
      </w:r>
      <w:r>
        <w:rPr>
          <w:rFonts w:ascii="SKJVQB+å®ä½" w:hAnsi="SKJVQB+å®ä½" w:cs="SKJVQB+å®ä½"/>
          <w:color w:val="222222"/>
          <w:spacing w:val="0"/>
          <w:sz w:val="21"/>
        </w:rPr>
        <w:t>月</w:t>
      </w:r>
      <w:r>
        <w:rPr>
          <w:rFonts w:ascii="GGHCMB+å®ä½"/>
          <w:color w:val="222222"/>
          <w:spacing w:val="0"/>
          <w:sz w:val="21"/>
        </w:rPr>
        <w:t>30</w:t>
      </w:r>
      <w:r>
        <w:rPr>
          <w:rFonts w:ascii="SKJVQB+å®ä½" w:hAnsi="SKJVQB+å®ä½" w:cs="SKJVQB+å®ä½"/>
          <w:color w:val="222222"/>
          <w:spacing w:val="0"/>
          <w:sz w:val="21"/>
        </w:rPr>
        <w:t>日，交通银行资产总额为人民币</w:t>
      </w:r>
      <w:r>
        <w:rPr>
          <w:rFonts w:ascii="GGHCMB+å®ä½"/>
          <w:color w:val="222222"/>
          <w:spacing w:val="0"/>
          <w:sz w:val="21"/>
        </w:rPr>
        <w:t>99,328.79</w:t>
      </w:r>
      <w:r>
        <w:rPr>
          <w:rFonts w:ascii="SKJVQB+å®ä½" w:hAnsi="SKJVQB+å®ä½" w:cs="SKJVQB+å®ä½"/>
          <w:color w:val="222222"/>
          <w:spacing w:val="0"/>
          <w:sz w:val="21"/>
        </w:rPr>
        <w:t>亿元。</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1-9</w:t>
      </w:r>
      <w:r>
        <w:rPr>
          <w:rFonts w:ascii="SKJVQB+å®ä½" w:hAnsi="SKJVQB+å®ä½" w:cs="SKJVQB+å®ä½"/>
          <w:color w:val="222222"/>
          <w:spacing w:val="0"/>
          <w:sz w:val="21"/>
        </w:rPr>
        <w:t>月，</w:t>
      </w:r>
    </w:p>
    <w:p>
      <w:pPr>
        <w:framePr w:w="9800" w:wrap="around" w:vAnchor="margin" w:hAnchor="text" w:x="1800" w:y="7666"/>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交通银行实现净利润</w:t>
      </w:r>
      <w:r>
        <w:rPr>
          <w:rFonts w:ascii="GGHCMB+å®ä½"/>
          <w:color w:val="222222"/>
          <w:spacing w:val="0"/>
          <w:sz w:val="21"/>
        </w:rPr>
        <w:t>(</w:t>
      </w:r>
      <w:r>
        <w:rPr>
          <w:rFonts w:ascii="SKJVQB+å®ä½" w:hAnsi="SKJVQB+å®ä½" w:cs="SKJVQB+å®ä½"/>
          <w:color w:val="222222"/>
          <w:spacing w:val="0"/>
          <w:sz w:val="21"/>
        </w:rPr>
        <w:t>归属于母公司股东</w:t>
      </w:r>
      <w:r>
        <w:rPr>
          <w:rFonts w:ascii="GGHCMB+å®ä½"/>
          <w:color w:val="222222"/>
          <w:spacing w:val="0"/>
          <w:sz w:val="21"/>
        </w:rPr>
        <w:t>)</w:t>
      </w:r>
      <w:r>
        <w:rPr>
          <w:rFonts w:ascii="SKJVQB+å®ä½" w:hAnsi="SKJVQB+å®ä½" w:cs="SKJVQB+å®ä½"/>
          <w:color w:val="222222"/>
          <w:spacing w:val="0"/>
          <w:sz w:val="21"/>
        </w:rPr>
        <w:t>人民币</w:t>
      </w:r>
      <w:r>
        <w:rPr>
          <w:rFonts w:ascii="GGHCMB+å®ä½"/>
          <w:color w:val="222222"/>
          <w:spacing w:val="0"/>
          <w:sz w:val="21"/>
        </w:rPr>
        <w:t>601.47</w:t>
      </w:r>
      <w:r>
        <w:rPr>
          <w:rFonts w:ascii="SKJVQB+å®ä½" w:hAnsi="SKJVQB+å®ä½" w:cs="SKJVQB+å®ä½"/>
          <w:color w:val="222222"/>
          <w:spacing w:val="0"/>
          <w:sz w:val="21"/>
        </w:rPr>
        <w:t>亿元。</w:t>
      </w:r>
    </w:p>
    <w:p>
      <w:pPr>
        <w:framePr w:w="9799" w:wrap="around" w:vAnchor="margin" w:hAnchor="text" w:x="1800" w:y="1093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交通银行总行设资产托管业务中心（下文简称“托管中心”）。现有员工具有多年基金、</w:t>
      </w:r>
    </w:p>
    <w:p>
      <w:pPr>
        <w:framePr w:w="9799"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证券和银行的从业经验，具备基金从业资格，以及经济师、会计师、工程师和律师等中高</w:t>
      </w:r>
    </w:p>
    <w:p>
      <w:pPr>
        <w:framePr w:w="9799" w:wrap="around" w:vAnchor="margin" w:hAnchor="text" w:x="1800" w:y="1093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级专业技术职称，员工的学历层次较高，专业分布合理，职业技能优良，职业道德素质过</w:t>
      </w:r>
    </w:p>
    <w:p>
      <w:pPr>
        <w:framePr w:w="9799"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硬，是一支诚实勤勉、积极进取、开拓创新、奋发向上的资产托管从业人员队伍。</w:t>
      </w:r>
    </w:p>
    <w:p>
      <w:pPr>
        <w:framePr w:w="9799" w:wrap="around" w:vAnchor="margin" w:hAnchor="text" w:x="1800" w:y="1093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（二）主要人员情况</w:t>
      </w:r>
    </w:p>
    <w:p>
      <w:pPr>
        <w:framePr w:w="6045" w:wrap="around" w:vAnchor="margin" w:hAnchor="text" w:x="2220" w:y="129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任德奇先生，副董事长、执行董事、行长，高级经济师。</w:t>
      </w:r>
    </w:p>
    <w:p>
      <w:pPr>
        <w:framePr w:w="9560" w:wrap="around" w:vAnchor="margin" w:hAnchor="text" w:x="1800" w:y="133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任先生</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月起任本行副董事长、执行董事、行长；</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月至</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w:t>
      </w:r>
    </w:p>
    <w:p>
      <w:pPr>
        <w:framePr w:w="9560" w:wrap="around" w:vAnchor="margin" w:hAnchor="text" w:x="1800" w:y="13386"/>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任中国银行执行董事、副行长，其中：</w:t>
      </w:r>
      <w:r>
        <w:rPr>
          <w:rFonts w:ascii="GGHCMB+å®ä½"/>
          <w:color w:val="222222"/>
          <w:spacing w:val="0"/>
          <w:sz w:val="21"/>
        </w:rPr>
        <w:t>2015</w:t>
      </w:r>
      <w:r>
        <w:rPr>
          <w:rFonts w:ascii="SKJVQB+å®ä½" w:hAnsi="SKJVQB+å®ä½" w:cs="SKJVQB+å®ä½"/>
          <w:color w:val="222222"/>
          <w:spacing w:val="0"/>
          <w:sz w:val="21"/>
        </w:rPr>
        <w:t xml:space="preserve">年 </w:t>
      </w:r>
      <w:r>
        <w:rPr>
          <w:rFonts w:ascii="GGHCMB+å®ä½"/>
          <w:color w:val="222222"/>
          <w:spacing w:val="0"/>
          <w:sz w:val="21"/>
        </w:rPr>
        <w:t>10</w:t>
      </w:r>
      <w:r>
        <w:rPr>
          <w:rFonts w:ascii="SKJVQB+å®ä½" w:hAnsi="SKJVQB+å®ä½" w:cs="SKJVQB+å®ä½"/>
          <w:color w:val="222222"/>
          <w:spacing w:val="0"/>
          <w:sz w:val="21"/>
        </w:rPr>
        <w:t>月至</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月兼任中银香港（控股）</w:t>
      </w:r>
    </w:p>
    <w:p>
      <w:pPr>
        <w:framePr w:w="9560" w:wrap="around" w:vAnchor="margin" w:hAnchor="text" w:x="1800" w:y="133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有限公司非执行董事，</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9</w:t>
      </w:r>
      <w:r>
        <w:rPr>
          <w:rFonts w:ascii="SKJVQB+å®ä½" w:hAnsi="SKJVQB+å®ä½" w:cs="SKJVQB+å®ä½"/>
          <w:color w:val="222222"/>
          <w:spacing w:val="0"/>
          <w:sz w:val="21"/>
        </w:rPr>
        <w:t>月至</w:t>
      </w:r>
      <w:r>
        <w:rPr>
          <w:rFonts w:ascii="GGHCMB+å®ä½"/>
          <w:color w:val="222222"/>
          <w:spacing w:val="0"/>
          <w:sz w:val="21"/>
        </w:rPr>
        <w:t>2018</w:t>
      </w:r>
      <w:r>
        <w:rPr>
          <w:rFonts w:ascii="SKJVQB+å®ä½" w:hAnsi="SKJVQB+å®ä½" w:cs="SKJVQB+å®ä½"/>
          <w:color w:val="222222"/>
          <w:spacing w:val="0"/>
          <w:sz w:val="21"/>
        </w:rPr>
        <w:t>年</w:t>
      </w:r>
      <w:r>
        <w:rPr>
          <w:rFonts w:ascii="GGHCMB+å®ä½"/>
          <w:color w:val="222222"/>
          <w:spacing w:val="0"/>
          <w:sz w:val="21"/>
        </w:rPr>
        <w:t>6</w:t>
      </w:r>
      <w:r>
        <w:rPr>
          <w:rFonts w:ascii="SKJVQB+å®ä½" w:hAnsi="SKJVQB+å®ä½" w:cs="SKJVQB+å®ä½"/>
          <w:color w:val="222222"/>
          <w:spacing w:val="0"/>
          <w:sz w:val="21"/>
        </w:rPr>
        <w:t>月兼任中国银行上海人民币交易业务总部总</w:t>
      </w:r>
    </w:p>
    <w:p>
      <w:pPr>
        <w:framePr w:w="9560" w:wrap="around" w:vAnchor="margin" w:hAnchor="text" w:x="1800" w:y="133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裁；</w:t>
      </w:r>
      <w:r>
        <w:rPr>
          <w:rFonts w:ascii="GGHCMB+å®ä½"/>
          <w:color w:val="222222"/>
          <w:spacing w:val="0"/>
          <w:sz w:val="21"/>
        </w:rPr>
        <w:t>2014</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月至</w:t>
      </w:r>
      <w:r>
        <w:rPr>
          <w:rFonts w:ascii="GGHCMB+å®ä½"/>
          <w:color w:val="222222"/>
          <w:spacing w:val="0"/>
          <w:sz w:val="21"/>
        </w:rPr>
        <w:t>2016</w:t>
      </w:r>
      <w:r>
        <w:rPr>
          <w:rFonts w:ascii="SKJVQB+å®ä½" w:hAnsi="SKJVQB+å®ä½" w:cs="SKJVQB+å®ä½"/>
          <w:color w:val="222222"/>
          <w:spacing w:val="0"/>
          <w:sz w:val="21"/>
        </w:rPr>
        <w:t>年</w:t>
      </w:r>
      <w:r>
        <w:rPr>
          <w:rFonts w:ascii="GGHCMB+å®ä½"/>
          <w:color w:val="222222"/>
          <w:spacing w:val="0"/>
          <w:sz w:val="21"/>
        </w:rPr>
        <w:t>11</w:t>
      </w:r>
      <w:r>
        <w:rPr>
          <w:rFonts w:ascii="SKJVQB+å®ä½" w:hAnsi="SKJVQB+å®ä½" w:cs="SKJVQB+å®ä½"/>
          <w:color w:val="222222"/>
          <w:spacing w:val="0"/>
          <w:sz w:val="21"/>
        </w:rPr>
        <w:t>月任中国银行副行长，</w:t>
      </w:r>
      <w:r>
        <w:rPr>
          <w:rFonts w:ascii="GGHCMB+å®ä½"/>
          <w:color w:val="222222"/>
          <w:spacing w:val="0"/>
          <w:sz w:val="21"/>
        </w:rPr>
        <w:t>2003</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月至</w:t>
      </w:r>
      <w:r>
        <w:rPr>
          <w:rFonts w:ascii="GGHCMB+å®ä½"/>
          <w:color w:val="222222"/>
          <w:spacing w:val="0"/>
          <w:sz w:val="21"/>
        </w:rPr>
        <w:t>2014</w:t>
      </w:r>
      <w:r>
        <w:rPr>
          <w:rFonts w:ascii="SKJVQB+å®ä½" w:hAnsi="SKJVQB+å®ä½" w:cs="SKJVQB+å®ä½"/>
          <w:color w:val="222222"/>
          <w:spacing w:val="0"/>
          <w:sz w:val="21"/>
        </w:rPr>
        <w:t>年</w:t>
      </w:r>
      <w:r>
        <w:rPr>
          <w:rFonts w:ascii="GGHCMB+å®ä½"/>
          <w:color w:val="222222"/>
          <w:spacing w:val="0"/>
          <w:sz w:val="21"/>
        </w:rPr>
        <w:t>5</w:t>
      </w:r>
      <w:r>
        <w:rPr>
          <w:rFonts w:ascii="SKJVQB+å®ä½" w:hAnsi="SKJVQB+å®ä½" w:cs="SKJVQB+å®ä½"/>
          <w:color w:val="222222"/>
          <w:spacing w:val="0"/>
          <w:sz w:val="21"/>
        </w:rPr>
        <w:t>月历任中国建</w:t>
      </w:r>
    </w:p>
    <w:p>
      <w:pPr>
        <w:framePr w:w="9560" w:wrap="around" w:vAnchor="margin" w:hAnchor="text" w:x="1800" w:y="133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设银行信贷审批部副总经理、风险监控部总经理、授信管理部总经理、湖北省分行行长、</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20</w:t>
      </w:r>
    </w:p>
    <w:p>
      <w:pPr>
        <w:spacing w:before="0" w:after="0" w:line="0" w:lineRule="exact"/>
        <w:ind w:left="0" w:right="0"/>
        <w:jc w:val="left"/>
        <w:rPr>
          <w:rFonts w:ascii="Arial"/>
          <w:color w:val="FF0000"/>
          <w:spacing w:val="0"/>
          <w:sz w:val="2"/>
        </w:rPr>
      </w:pPr>
      <w:r>
        <w:pict>
          <v:shape id="_x000042" o:spid="_x0000_s1068"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 o:title=""/>
            <o:lock v:ext="edit" aspectratio="t"/>
          </v:shape>
        </w:pict>
      </w:r>
      <w:r>
        <w:pict>
          <v:shape id="_x000043" o:spid="_x0000_s1069" o:spt="75" type="#_x0000_t75" style="position:absolute;left:0pt;margin-left:88.6pt;margin-top:71.1pt;height:699pt;width:418.3pt;mso-position-horizontal-relative:page;mso-position-vertical-relative:page;z-index:-1024;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60"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风险管理部总经理；</w:t>
      </w:r>
      <w:r>
        <w:rPr>
          <w:rFonts w:ascii="GGHCMB+å®ä½"/>
          <w:color w:val="222222"/>
          <w:spacing w:val="0"/>
          <w:sz w:val="21"/>
        </w:rPr>
        <w:t>1988</w:t>
      </w:r>
      <w:r>
        <w:rPr>
          <w:rFonts w:ascii="SKJVQB+å®ä½" w:hAnsi="SKJVQB+å®ä½" w:cs="SKJVQB+å®ä½"/>
          <w:color w:val="222222"/>
          <w:spacing w:val="0"/>
          <w:sz w:val="21"/>
        </w:rPr>
        <w:t>年</w:t>
      </w:r>
      <w:r>
        <w:rPr>
          <w:rFonts w:ascii="GGHCMB+å®ä½"/>
          <w:color w:val="222222"/>
          <w:spacing w:val="0"/>
          <w:sz w:val="21"/>
        </w:rPr>
        <w:t>7</w:t>
      </w:r>
      <w:r>
        <w:rPr>
          <w:rFonts w:ascii="SKJVQB+å®ä½" w:hAnsi="SKJVQB+å®ä½" w:cs="SKJVQB+å®ä½"/>
          <w:color w:val="222222"/>
          <w:spacing w:val="0"/>
          <w:sz w:val="21"/>
        </w:rPr>
        <w:t>月至</w:t>
      </w:r>
      <w:r>
        <w:rPr>
          <w:rFonts w:ascii="GGHCMB+å®ä½"/>
          <w:color w:val="222222"/>
          <w:spacing w:val="0"/>
          <w:sz w:val="21"/>
        </w:rPr>
        <w:t>2003</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月先后在中国建设银行岳阳长岭支行、岳阳市</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中心支行、岳阳分行，中国建设银行信贷管理委员会办公室、信贷风险管理部工作。任先</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生</w:t>
      </w:r>
      <w:r>
        <w:rPr>
          <w:rFonts w:ascii="GGHCMB+å®ä½"/>
          <w:color w:val="222222"/>
          <w:spacing w:val="0"/>
          <w:sz w:val="21"/>
        </w:rPr>
        <w:t>1988</w:t>
      </w:r>
      <w:r>
        <w:rPr>
          <w:rFonts w:ascii="SKJVQB+å®ä½" w:hAnsi="SKJVQB+å®ä½" w:cs="SKJVQB+å®ä½"/>
          <w:color w:val="222222"/>
          <w:spacing w:val="0"/>
          <w:sz w:val="21"/>
        </w:rPr>
        <w:t>年于清华大学获工学硕士学位。</w:t>
      </w:r>
    </w:p>
    <w:p>
      <w:pPr>
        <w:framePr w:w="5560" w:wrap="around" w:vAnchor="margin" w:hAnchor="text" w:x="222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袁庆伟女士，资产托管业务中心总裁，高级经济师。</w:t>
      </w:r>
    </w:p>
    <w:p>
      <w:pPr>
        <w:framePr w:w="9560"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袁女士</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月起任本行资产托管业务中心总裁；</w:t>
      </w:r>
      <w:r>
        <w:rPr>
          <w:rFonts w:ascii="GGHCMB+å®ä½"/>
          <w:color w:val="222222"/>
          <w:spacing w:val="0"/>
          <w:sz w:val="21"/>
        </w:rPr>
        <w:t>2007</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月至</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8</w:t>
      </w:r>
      <w:r>
        <w:rPr>
          <w:rFonts w:ascii="SKJVQB+å®ä½" w:hAnsi="SKJVQB+å®ä½" w:cs="SKJVQB+å®ä½"/>
          <w:color w:val="222222"/>
          <w:spacing w:val="0"/>
          <w:sz w:val="21"/>
        </w:rPr>
        <w:t>月，历</w:t>
      </w:r>
    </w:p>
    <w:p>
      <w:pPr>
        <w:framePr w:w="9560"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任本行资产托管部总经理助理、副总经理，本行资产托管业务中心副总裁；</w:t>
      </w:r>
      <w:r>
        <w:rPr>
          <w:rFonts w:ascii="GGHCMB+å®ä½"/>
          <w:color w:val="222222"/>
          <w:spacing w:val="0"/>
          <w:sz w:val="21"/>
        </w:rPr>
        <w:t>1999</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月至</w:t>
      </w:r>
    </w:p>
    <w:p>
      <w:pPr>
        <w:framePr w:w="9560"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2007</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月，历任本行乌鲁木齐分行财务会计部副科长、科长、处长助理、副处长，会计</w:t>
      </w:r>
    </w:p>
    <w:p>
      <w:pPr>
        <w:framePr w:w="9560" w:wrap="around" w:vAnchor="margin" w:hAnchor="text" w:x="1800" w:y="3086"/>
        <w:widowControl w:val="0"/>
        <w:autoSpaceDE w:val="0"/>
        <w:autoSpaceDN w:val="0"/>
        <w:spacing w:before="0" w:after="0" w:line="410" w:lineRule="exact"/>
        <w:ind w:left="0" w:right="0"/>
        <w:jc w:val="left"/>
        <w:rPr>
          <w:rFonts w:ascii="GGHCMB+å®ä½"/>
          <w:color w:val="222222"/>
          <w:spacing w:val="0"/>
          <w:sz w:val="21"/>
        </w:rPr>
      </w:pPr>
      <w:r>
        <w:rPr>
          <w:rFonts w:ascii="SKJVQB+å®ä½" w:hAnsi="SKJVQB+å®ä½" w:cs="SKJVQB+å®ä½"/>
          <w:color w:val="222222"/>
          <w:spacing w:val="0"/>
          <w:sz w:val="21"/>
        </w:rPr>
        <w:t>结算部高级经理。袁女士</w:t>
      </w:r>
      <w:r>
        <w:rPr>
          <w:rFonts w:ascii="GGHCMB+å®ä½"/>
          <w:color w:val="222222"/>
          <w:spacing w:val="0"/>
          <w:sz w:val="21"/>
        </w:rPr>
        <w:t>1992</w:t>
      </w:r>
      <w:r>
        <w:rPr>
          <w:rFonts w:ascii="SKJVQB+å®ä½" w:hAnsi="SKJVQB+å®ä½" w:cs="SKJVQB+å®ä½"/>
          <w:color w:val="222222"/>
          <w:spacing w:val="0"/>
          <w:sz w:val="21"/>
        </w:rPr>
        <w:t>年毕业于中国石油大学计算机科学系，获得学士学位，</w:t>
      </w:r>
      <w:r>
        <w:rPr>
          <w:rFonts w:ascii="GGHCMB+å®ä½"/>
          <w:color w:val="222222"/>
          <w:spacing w:val="0"/>
          <w:sz w:val="21"/>
        </w:rPr>
        <w:t>2005</w:t>
      </w:r>
    </w:p>
    <w:p>
      <w:pPr>
        <w:framePr w:w="9560" w:wrap="around" w:vAnchor="margin" w:hAnchor="text" w:x="1800" w:y="3086"/>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年于新疆财经学院获硕士学位。</w:t>
      </w:r>
    </w:p>
    <w:p>
      <w:pPr>
        <w:framePr w:w="3144"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（三）基金托管业务经营情况</w:t>
      </w:r>
    </w:p>
    <w:p>
      <w:pPr>
        <w:framePr w:w="9799"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截至</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9</w:t>
      </w:r>
      <w:r>
        <w:rPr>
          <w:rFonts w:ascii="SKJVQB+å®ä½" w:hAnsi="SKJVQB+å®ä½" w:cs="SKJVQB+å®ä½"/>
          <w:color w:val="222222"/>
          <w:spacing w:val="0"/>
          <w:sz w:val="21"/>
        </w:rPr>
        <w:t>月</w:t>
      </w:r>
      <w:r>
        <w:rPr>
          <w:rFonts w:ascii="GGHCMB+å®ä½"/>
          <w:color w:val="222222"/>
          <w:spacing w:val="0"/>
          <w:sz w:val="21"/>
        </w:rPr>
        <w:t>30</w:t>
      </w:r>
      <w:r>
        <w:rPr>
          <w:rFonts w:ascii="SKJVQB+å®ä½" w:hAnsi="SKJVQB+å®ä½" w:cs="SKJVQB+å®ä½"/>
          <w:color w:val="222222"/>
          <w:spacing w:val="0"/>
          <w:sz w:val="21"/>
        </w:rPr>
        <w:t>日，交通银行托管证券投资基金</w:t>
      </w:r>
      <w:r>
        <w:rPr>
          <w:rFonts w:ascii="GGHCMB+å®ä½"/>
          <w:color w:val="222222"/>
          <w:spacing w:val="0"/>
          <w:sz w:val="21"/>
        </w:rPr>
        <w:t>436</w:t>
      </w:r>
      <w:r>
        <w:rPr>
          <w:rFonts w:ascii="SKJVQB+å®ä½" w:hAnsi="SKJVQB+å®ä½" w:cs="SKJVQB+å®ä½"/>
          <w:color w:val="222222"/>
          <w:spacing w:val="0"/>
          <w:sz w:val="21"/>
        </w:rPr>
        <w:t>只。此外，交通银行还托管了</w:t>
      </w:r>
    </w:p>
    <w:p>
      <w:pPr>
        <w:framePr w:w="9799"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基金公司特定客户资产管理计划、证券公司客户资产管理计划、银行理财产品、信托计划、</w:t>
      </w:r>
    </w:p>
    <w:p>
      <w:pPr>
        <w:framePr w:w="9799" w:wrap="around" w:vAnchor="margin" w:hAnchor="text" w:x="1800" w:y="553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私募投资基金、保险资金、</w:t>
      </w:r>
      <w:r>
        <w:rPr>
          <w:rFonts w:ascii="GGHCMB+å®ä½"/>
          <w:color w:val="222222"/>
          <w:spacing w:val="0"/>
          <w:sz w:val="21"/>
        </w:rPr>
        <w:t>QDIE</w:t>
      </w:r>
      <w:r>
        <w:rPr>
          <w:rFonts w:ascii="SKJVQB+å®ä½" w:hAnsi="SKJVQB+å®ä½" w:cs="SKJVQB+å®ä½"/>
          <w:color w:val="222222"/>
          <w:spacing w:val="0"/>
          <w:sz w:val="21"/>
        </w:rPr>
        <w:t>资金、全国社保基金、养老保障管理基金、企业年金基金、</w:t>
      </w:r>
    </w:p>
    <w:p>
      <w:pPr>
        <w:framePr w:w="9799"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职业年金基金、</w:t>
      </w:r>
      <w:r>
        <w:rPr>
          <w:rFonts w:ascii="GGHCMB+å®ä½"/>
          <w:color w:val="222222"/>
          <w:spacing w:val="0"/>
          <w:sz w:val="21"/>
        </w:rPr>
        <w:t>QFII</w:t>
      </w:r>
      <w:r>
        <w:rPr>
          <w:rFonts w:ascii="SKJVQB+å®ä½" w:hAnsi="SKJVQB+å®ä½" w:cs="SKJVQB+å®ä½"/>
          <w:color w:val="222222"/>
          <w:spacing w:val="0"/>
          <w:sz w:val="21"/>
        </w:rPr>
        <w:t>证券投资资产、</w:t>
      </w:r>
      <w:r>
        <w:rPr>
          <w:rFonts w:ascii="GGHCMB+å®ä½"/>
          <w:color w:val="222222"/>
          <w:spacing w:val="0"/>
          <w:sz w:val="21"/>
        </w:rPr>
        <w:t>RQFII</w:t>
      </w:r>
      <w:r>
        <w:rPr>
          <w:rFonts w:ascii="SKJVQB+å®ä½" w:hAnsi="SKJVQB+å®ä½" w:cs="SKJVQB+å®ä½"/>
          <w:color w:val="222222"/>
          <w:spacing w:val="0"/>
          <w:sz w:val="21"/>
        </w:rPr>
        <w:t>证券投资资产、</w:t>
      </w:r>
      <w:r>
        <w:rPr>
          <w:rFonts w:ascii="GGHCMB+å®ä½"/>
          <w:color w:val="222222"/>
          <w:spacing w:val="0"/>
          <w:sz w:val="21"/>
        </w:rPr>
        <w:t>QDII</w:t>
      </w:r>
      <w:r>
        <w:rPr>
          <w:rFonts w:ascii="SKJVQB+å®ä½" w:hAnsi="SKJVQB+å®ä½" w:cs="SKJVQB+å®ä½"/>
          <w:color w:val="222222"/>
          <w:spacing w:val="0"/>
          <w:sz w:val="21"/>
        </w:rPr>
        <w:t>证券投资资产、</w:t>
      </w:r>
      <w:r>
        <w:rPr>
          <w:rFonts w:ascii="GGHCMB+å®ä½"/>
          <w:color w:val="222222"/>
          <w:spacing w:val="0"/>
          <w:sz w:val="21"/>
        </w:rPr>
        <w:t>RQDII</w:t>
      </w:r>
      <w:r>
        <w:rPr>
          <w:rFonts w:ascii="SKJVQB+å®ä½" w:hAnsi="SKJVQB+å®ä½" w:cs="SKJVQB+å®ä½"/>
          <w:color w:val="222222"/>
          <w:spacing w:val="0"/>
          <w:sz w:val="21"/>
        </w:rPr>
        <w:t>证券</w:t>
      </w:r>
    </w:p>
    <w:p>
      <w:pPr>
        <w:framePr w:w="9799"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投资资产和</w:t>
      </w:r>
      <w:r>
        <w:rPr>
          <w:rFonts w:ascii="GGHCMB+å®ä½"/>
          <w:color w:val="222222"/>
          <w:spacing w:val="0"/>
          <w:sz w:val="21"/>
        </w:rPr>
        <w:t>QDLP</w:t>
      </w:r>
      <w:r>
        <w:rPr>
          <w:rFonts w:ascii="SKJVQB+å®ä½" w:hAnsi="SKJVQB+å®ä½" w:cs="SKJVQB+å®ä½"/>
          <w:color w:val="222222"/>
          <w:spacing w:val="0"/>
          <w:sz w:val="21"/>
        </w:rPr>
        <w:t>资金等产品。</w:t>
      </w:r>
    </w:p>
    <w:p>
      <w:pPr>
        <w:framePr w:w="3387"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二、基金托管人的内部控制制度</w:t>
      </w:r>
    </w:p>
    <w:p>
      <w:pPr>
        <w:framePr w:w="2209"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（一）内部控制目标</w:t>
      </w:r>
    </w:p>
    <w:p>
      <w:pPr>
        <w:framePr w:w="9553"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交通银行严格遵守国家法律法规、行业规章及行内相关管理规定，加强内部管理，托</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管中心业务制度健全并确保贯彻执行各项规章，通过对各种风险的识别、评估、控制及缓</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释，有效地实现对各项业务的风险管控，确保业务稳健运行，保护基金持有人的合法权</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益。</w:t>
      </w:r>
    </w:p>
    <w:p>
      <w:pPr>
        <w:framePr w:w="2209"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（二）内部控制原则</w:t>
      </w:r>
    </w:p>
    <w:p>
      <w:pPr>
        <w:framePr w:w="9556"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、合法性原则：托管中心制定的各项制度符合国家法律法规及监管机构的监管要求，</w:t>
      </w:r>
    </w:p>
    <w:p>
      <w:pPr>
        <w:framePr w:w="9556" w:wrap="around" w:vAnchor="margin" w:hAnchor="text" w:x="1800" w:y="104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并贯穿于托管业务经营管理活动始终。</w:t>
      </w:r>
    </w:p>
    <w:p>
      <w:pPr>
        <w:framePr w:w="9556"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、全面性原则：托管中心建立各二级部自我监控和风险合规部风险管控的内部控制机</w:t>
      </w:r>
    </w:p>
    <w:p>
      <w:pPr>
        <w:framePr w:w="9556"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制，覆盖各项业务、各个部门和各级人员，并渗透到决策、执行、监督、反馈等各个经营</w:t>
      </w:r>
    </w:p>
    <w:p>
      <w:pPr>
        <w:framePr w:w="9556"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环节，建立全面的风险管理监督机制。</w:t>
      </w:r>
    </w:p>
    <w:p>
      <w:pPr>
        <w:framePr w:w="9556" w:wrap="around" w:vAnchor="margin" w:hAnchor="text" w:x="1800" w:y="124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、独立性原则：托管中心独立负责受托基金资产的保管，保证基金资产与交通银行的</w:t>
      </w:r>
    </w:p>
    <w:p>
      <w:pPr>
        <w:framePr w:w="9556"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自有资产相互独立，对不同的受托基金资产分别设置账户，独立核算，分账管理。</w:t>
      </w:r>
    </w:p>
    <w:p>
      <w:pPr>
        <w:framePr w:w="9556" w:wrap="around" w:vAnchor="margin" w:hAnchor="text" w:x="1800" w:y="1248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、制衡性原则：托管中心贯彻适当授权、相互制约的原则，从组织架构的设置上确保</w:t>
      </w:r>
    </w:p>
    <w:p>
      <w:pPr>
        <w:framePr w:w="9556"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各二级部和各岗位权责分明、相互制约，并通过有效的相互制衡措施消除内部控制中的盲</w:t>
      </w:r>
    </w:p>
    <w:p>
      <w:pPr>
        <w:framePr w:w="9556" w:wrap="around" w:vAnchor="margin" w:hAnchor="text" w:x="1800" w:y="1248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点。</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21</w:t>
      </w:r>
    </w:p>
    <w:p>
      <w:pPr>
        <w:spacing w:before="0" w:after="0" w:line="0" w:lineRule="exact"/>
        <w:ind w:left="0" w:right="0"/>
        <w:jc w:val="left"/>
        <w:rPr>
          <w:rFonts w:ascii="Arial"/>
          <w:color w:val="FF0000"/>
          <w:spacing w:val="0"/>
          <w:sz w:val="2"/>
        </w:rPr>
      </w:pPr>
      <w:r>
        <w:pict>
          <v:shape id="_x000044" o:spid="_x0000_s107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35" o:title=""/>
            <o:lock v:ext="edit" aspectratio="t"/>
          </v:shape>
        </w:pict>
      </w:r>
      <w:r>
        <w:pict>
          <v:shape id="_x000045" o:spid="_x0000_s1071" o:spt="75" type="#_x0000_t75" style="position:absolute;left:0pt;margin-left:88.6pt;margin-top:71.1pt;height:653.75pt;width:418.3pt;mso-position-horizontal-relative:page;mso-position-vertical-relative:page;z-index:-1024;mso-width-relative:page;mso-height-relative:page;" filled="f" coordsize="21600,21600">
            <v:path/>
            <v:fill on="f" focussize="0,0"/>
            <v:stroke/>
            <v:imagedata r:id="rId3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795"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、有效性原则：托管中心在岗位、业务二级部和风险合规部三级内控管理模式的基础</w:t>
      </w:r>
    </w:p>
    <w:p>
      <w:pPr>
        <w:framePr w:w="9795"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上，形成科学合理的内部控制决策机制、执行机制和监督机制，通过行之有效的控制流程、</w:t>
      </w:r>
    </w:p>
    <w:p>
      <w:pPr>
        <w:framePr w:w="9795"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控制措施，建立合理的内控程序，保障各项内控管理目标被有效执行。</w:t>
      </w:r>
    </w:p>
    <w:p>
      <w:pPr>
        <w:framePr w:w="9795" w:wrap="around" w:vAnchor="margin" w:hAnchor="text" w:x="1800" w:y="145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、效益性原则：托管中心内部控制与基金托管规模、业务范围和业务运作环节的风险</w:t>
      </w:r>
    </w:p>
    <w:p>
      <w:pPr>
        <w:framePr w:w="9795"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控制要求相适应，尽量降低经营运作成本，以合理的控制成本实现最佳的内部控制目标。</w:t>
      </w:r>
    </w:p>
    <w:p>
      <w:pPr>
        <w:framePr w:w="9795"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（三）内部控制制度及措施</w:t>
      </w:r>
    </w:p>
    <w:p>
      <w:pPr>
        <w:framePr w:w="9560"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根据《证券投资基金法》、《中华人民共和国商业银行法》、《商业银行资产托管业务</w:t>
      </w:r>
    </w:p>
    <w:p>
      <w:pPr>
        <w:framePr w:w="9560"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指引》等法律法规，托管中心制定了一整套严密、完整的证券投资基金托管管理规章制度，</w:t>
      </w:r>
    </w:p>
    <w:p>
      <w:pPr>
        <w:framePr w:w="9560" w:wrap="around" w:vAnchor="margin" w:hAnchor="text" w:x="1800" w:y="390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确保基金托管业务运行的规范、安全、高效，包括《交通银行资产托管业务管理办法》、《交</w:t>
      </w:r>
    </w:p>
    <w:p>
      <w:pPr>
        <w:framePr w:w="9560" w:wrap="around" w:vAnchor="margin" w:hAnchor="text" w:x="1800" w:y="390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通银行资产托管业务风险管理办法》、《交通银行资产托管业务系统建设管理办法》、《交</w:t>
      </w:r>
    </w:p>
    <w:p>
      <w:pPr>
        <w:framePr w:w="9560" w:wrap="around" w:vAnchor="margin" w:hAnchor="text" w:x="1800" w:y="390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通银行资产托管部信息披露制度》、《交通银行资产托管业务商业秘密管理规定》、《交通</w:t>
      </w:r>
    </w:p>
    <w:p>
      <w:pPr>
        <w:framePr w:w="9560" w:wrap="around" w:vAnchor="margin" w:hAnchor="text" w:x="1800" w:y="390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银行资产托管业务从业人员行为规范》、《交通银行资产托管业务档案管理暂行办法》等，</w:t>
      </w:r>
    </w:p>
    <w:p>
      <w:pPr>
        <w:framePr w:w="9560"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并根据市场变化和基金业务的发展不断加以完善。做到业务分工科学合理，技术系统管理</w:t>
      </w:r>
    </w:p>
    <w:p>
      <w:pPr>
        <w:framePr w:w="9560" w:wrap="around" w:vAnchor="margin" w:hAnchor="text" w:x="1800" w:y="390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规范，业务管理制度健全，核心作业区实行封闭管理，落实各项安全隔离措施，相关信息</w:t>
      </w:r>
    </w:p>
    <w:p>
      <w:pPr>
        <w:framePr w:w="9560" w:wrap="around" w:vAnchor="margin" w:hAnchor="text" w:x="1800" w:y="390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披露由专人负责。</w:t>
      </w:r>
    </w:p>
    <w:p>
      <w:pPr>
        <w:framePr w:w="9553" w:wrap="around" w:vAnchor="margin" w:hAnchor="text" w:x="1800" w:y="75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托管中心通过对基金托管业务各环节的事前揭示、事中控制和事后检查措施实现全流</w:t>
      </w:r>
    </w:p>
    <w:p>
      <w:pPr>
        <w:framePr w:w="9553"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程、全链条的风险管理，聘请国际著名会计师事务所对基金托管业务运行进行国际标准的</w:t>
      </w:r>
    </w:p>
    <w:p>
      <w:pPr>
        <w:framePr w:w="9553" w:wrap="around" w:vAnchor="margin" w:hAnchor="text" w:x="1800" w:y="7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内部控制评审。</w:t>
      </w:r>
    </w:p>
    <w:p>
      <w:pPr>
        <w:framePr w:w="6528" w:wrap="around" w:vAnchor="margin" w:hAnchor="text" w:x="2220" w:y="880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三、基金托管人对基金管理人运作基金进行监督的方法和程序</w:t>
      </w:r>
    </w:p>
    <w:p>
      <w:pPr>
        <w:framePr w:w="9559" w:wrap="around" w:vAnchor="margin" w:hAnchor="text" w:x="1800" w:y="921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交通银行作为基金托管人，根据《证券投资基金法》、《公开募集证券投资基金运作管</w:t>
      </w:r>
    </w:p>
    <w:p>
      <w:pPr>
        <w:framePr w:w="9559"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理办法》和有关证券法规的规定，对基金的投资对象、基金资产的投资组合比例、基金资产</w:t>
      </w:r>
    </w:p>
    <w:p>
      <w:pPr>
        <w:framePr w:w="9559" w:wrap="around" w:vAnchor="margin" w:hAnchor="text" w:x="1800" w:y="921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的核算、基金资产净值的计算、基金管理人报酬的计提和支付、基金托管人报酬的计提和</w:t>
      </w:r>
    </w:p>
    <w:p>
      <w:pPr>
        <w:framePr w:w="9559"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支付、基金的申购资金的到账与赎回资金的划付、基金收益分配等行为的合法性、合规性</w:t>
      </w:r>
    </w:p>
    <w:p>
      <w:pPr>
        <w:framePr w:w="9559" w:wrap="around" w:vAnchor="margin" w:hAnchor="text" w:x="1800" w:y="921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进行监督和核查。</w:t>
      </w:r>
    </w:p>
    <w:p>
      <w:pPr>
        <w:framePr w:w="9560"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交通银行作为基金托管人，发现基金管理人有违反《证券投资基金法》、《公开募集证</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券投资基金运作管理办法》等有关证券法规和《基金合同》的行为，及时通知基金管理人予</w:t>
      </w:r>
    </w:p>
    <w:p>
      <w:pPr>
        <w:framePr w:w="9560"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以纠正，基金管理人收到通知后及时核对确认并进行调整。交通银行有权对通知事项进行</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复查，督促基金管理人改正。基金管理人对交通银行通知的违规事项未能及时纠正的，交</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通银行有权报告中国证监会。</w:t>
      </w:r>
    </w:p>
    <w:p>
      <w:pPr>
        <w:framePr w:w="9553"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交通银行作为基金托管人，发现基金管理人有重大违规行为，有权立即报告中国证监</w:t>
      </w:r>
    </w:p>
    <w:p>
      <w:pPr>
        <w:framePr w:w="9553"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会，同时通知基金管理人限期纠正。</w:t>
      </w:r>
    </w:p>
    <w:p>
      <w:pPr>
        <w:framePr w:w="1578" w:wrap="around" w:vAnchor="margin" w:hAnchor="text" w:x="2220" w:y="1411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四、其他事项</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22</w:t>
      </w:r>
    </w:p>
    <w:p>
      <w:pPr>
        <w:spacing w:before="0" w:after="0" w:line="0" w:lineRule="exact"/>
        <w:ind w:left="0" w:right="0"/>
        <w:jc w:val="left"/>
        <w:rPr>
          <w:rFonts w:ascii="Arial"/>
          <w:color w:val="FF0000"/>
          <w:spacing w:val="0"/>
          <w:sz w:val="2"/>
        </w:rPr>
      </w:pPr>
      <w:r>
        <w:pict>
          <v:shape id="_x000046" o:spid="_x0000_s107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35" o:title=""/>
            <o:lock v:ext="edit" aspectratio="t"/>
          </v:shape>
        </w:pict>
      </w:r>
      <w:r>
        <w:pict>
          <v:shape id="_x000047" o:spid="_x0000_s1073" o:spt="75" type="#_x0000_t75" style="position:absolute;left:0pt;margin-left:88.6pt;margin-top:71.1pt;height:653.75pt;width:418.3pt;mso-position-horizontal-relative:page;mso-position-vertical-relative:page;z-index:-1024;mso-width-relative:page;mso-height-relative:page;" filled="f" coordsize="21600,21600">
            <v:path/>
            <v:fill on="f" focussize="0,0"/>
            <v:stroke/>
            <v:imagedata r:id="rId3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5"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最近一年内交通银行及其负责资产托管业务的高级管理人员无重大违法违规行为，未</w:t>
      </w:r>
    </w:p>
    <w:p>
      <w:pPr>
        <w:framePr w:w="9555"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受到中国人民银行、中国证监会、中国银保监会及其他有关机关的处罚。负责基金托管业</w:t>
      </w:r>
    </w:p>
    <w:p>
      <w:pPr>
        <w:framePr w:w="9555"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务的高级管理人员在基金管理公司无兼职的情况。</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23</w:t>
      </w:r>
    </w:p>
    <w:p>
      <w:pPr>
        <w:spacing w:before="0" w:after="0" w:line="0" w:lineRule="exact"/>
        <w:ind w:left="0" w:right="0"/>
        <w:jc w:val="left"/>
        <w:rPr>
          <w:rFonts w:ascii="Arial"/>
          <w:color w:val="FF0000"/>
          <w:spacing w:val="0"/>
          <w:sz w:val="2"/>
        </w:rPr>
      </w:pPr>
      <w:r>
        <w:pict>
          <v:shape id="_x000048" o:spid="_x0000_s1074"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8" o:title=""/>
            <o:lock v:ext="edit" aspectratio="t"/>
          </v:shape>
        </w:pict>
      </w:r>
      <w:r>
        <w:pict>
          <v:shape id="_x000049" o:spid="_x0000_s1075" o:spt="75" type="#_x0000_t75" style="position:absolute;left:0pt;margin-left:88.6pt;margin-top:71.1pt;height:61.35pt;width:418.3pt;mso-position-horizontal-relative:page;mso-position-vertical-relative:page;z-index:-1024;mso-width-relative:page;mso-height-relative:page;" filled="f" coordsize="21600,21600">
            <v:path/>
            <v:fill on="f" focussize="0,0"/>
            <v:stroke/>
            <v:imagedata r:id="rId3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669" w:wrap="around" w:vAnchor="margin" w:hAnchor="text" w:x="4830"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5</w:t>
      </w:r>
      <w:r>
        <w:rPr>
          <w:rFonts w:ascii="SKJVQB+å®ä½" w:hAnsi="SKJVQB+å®ä½" w:cs="SKJVQB+å®ä½"/>
          <w:color w:val="222222"/>
          <w:spacing w:val="0"/>
          <w:sz w:val="28"/>
        </w:rPr>
        <w:t>相关服务机构</w:t>
      </w:r>
    </w:p>
    <w:p>
      <w:pPr>
        <w:framePr w:w="1807" w:wrap="around" w:vAnchor="margin" w:hAnchor="text" w:x="1800" w:y="253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5.1</w:t>
      </w:r>
      <w:r>
        <w:rPr>
          <w:rFonts w:ascii="SKJVQB+å®ä½" w:hAnsi="SKJVQB+å®ä½" w:cs="SKJVQB+å®ä½"/>
          <w:color w:val="222222"/>
          <w:spacing w:val="0"/>
          <w:sz w:val="24"/>
        </w:rPr>
        <w:t>销售机构</w:t>
      </w:r>
    </w:p>
    <w:p>
      <w:pPr>
        <w:framePr w:w="2049" w:wrap="around" w:vAnchor="margin" w:hAnchor="text" w:x="1800" w:y="3289"/>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5.1.1</w:t>
      </w:r>
      <w:r>
        <w:rPr>
          <w:rFonts w:ascii="SKJVQB+å®ä½" w:hAnsi="SKJVQB+å®ä½" w:cs="SKJVQB+å®ä½"/>
          <w:color w:val="222222"/>
          <w:spacing w:val="0"/>
          <w:sz w:val="24"/>
        </w:rPr>
        <w:t>直销机构</w:t>
      </w:r>
    </w:p>
    <w:p>
      <w:pPr>
        <w:framePr w:w="2901" w:wrap="around" w:vAnchor="margin" w:hAnchor="text" w:x="2220" w:y="387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南方基金管理股份有限公司</w:t>
      </w:r>
    </w:p>
    <w:p>
      <w:pPr>
        <w:framePr w:w="7854" w:wrap="around" w:vAnchor="margin" w:hAnchor="text" w:x="2220" w:y="428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住所及办公地址：深圳市福田区莲花街道益田路</w:t>
      </w:r>
      <w:r>
        <w:rPr>
          <w:rFonts w:ascii="GGHCMB+å®ä½"/>
          <w:color w:val="222222"/>
          <w:spacing w:val="0"/>
          <w:sz w:val="21"/>
        </w:rPr>
        <w:t>5999</w:t>
      </w:r>
      <w:r>
        <w:rPr>
          <w:rFonts w:ascii="SKJVQB+å®ä½" w:hAnsi="SKJVQB+å®ä½" w:cs="SKJVQB+å®ä½"/>
          <w:color w:val="222222"/>
          <w:spacing w:val="0"/>
          <w:sz w:val="21"/>
        </w:rPr>
        <w:t>号基金大厦</w:t>
      </w:r>
      <w:r>
        <w:rPr>
          <w:rFonts w:ascii="GGHCMB+å®ä½"/>
          <w:color w:val="222222"/>
          <w:spacing w:val="0"/>
          <w:sz w:val="21"/>
        </w:rPr>
        <w:t>32-42</w:t>
      </w:r>
      <w:r>
        <w:rPr>
          <w:rFonts w:ascii="SKJVQB+å®ä½" w:hAnsi="SKJVQB+å®ä½" w:cs="SKJVQB+å®ä½"/>
          <w:color w:val="222222"/>
          <w:spacing w:val="0"/>
          <w:sz w:val="21"/>
        </w:rPr>
        <w:t>楼</w:t>
      </w:r>
    </w:p>
    <w:p>
      <w:pPr>
        <w:framePr w:w="7854" w:wrap="around" w:vAnchor="margin" w:hAnchor="text" w:x="2220" w:y="428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法定代表人：张海波</w:t>
      </w:r>
    </w:p>
    <w:p>
      <w:pPr>
        <w:framePr w:w="3509" w:wrap="around" w:vAnchor="margin" w:hAnchor="text" w:x="2220" w:y="5103"/>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电话：</w:t>
      </w:r>
      <w:r>
        <w:rPr>
          <w:rFonts w:ascii="GGHCMB+å®ä½"/>
          <w:color w:val="222222"/>
          <w:spacing w:val="0"/>
          <w:sz w:val="21"/>
        </w:rPr>
        <w:t>0755-82763905</w:t>
      </w:r>
      <w:r>
        <w:rPr>
          <w:rFonts w:ascii="SKJVQB+å®ä½" w:hAnsi="SKJVQB+å®ä½" w:cs="SKJVQB+å®ä½"/>
          <w:color w:val="222222"/>
          <w:spacing w:val="0"/>
          <w:sz w:val="21"/>
        </w:rPr>
        <w:t>、</w:t>
      </w:r>
      <w:r>
        <w:rPr>
          <w:rFonts w:ascii="GGHCMB+å®ä½"/>
          <w:color w:val="222222"/>
          <w:spacing w:val="0"/>
          <w:sz w:val="21"/>
        </w:rPr>
        <w:t>82763906</w:t>
      </w:r>
    </w:p>
    <w:p>
      <w:pPr>
        <w:framePr w:w="3509" w:wrap="around" w:vAnchor="margin" w:hAnchor="text" w:x="2220" w:y="5103"/>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0755-82763900</w:t>
      </w:r>
    </w:p>
    <w:p>
      <w:pPr>
        <w:framePr w:w="1789" w:wrap="around" w:vAnchor="margin" w:hAnchor="text" w:x="2220" w:y="591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联系人：张锐珊</w:t>
      </w:r>
    </w:p>
    <w:p>
      <w:pPr>
        <w:framePr w:w="2049" w:wrap="around" w:vAnchor="margin" w:hAnchor="text" w:x="1800" w:y="6780"/>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5.1.2</w:t>
      </w:r>
      <w:r>
        <w:rPr>
          <w:rFonts w:ascii="SKJVQB+å®ä½" w:hAnsi="SKJVQB+å®ä½" w:cs="SKJVQB+å®ä½"/>
          <w:color w:val="222222"/>
          <w:spacing w:val="0"/>
          <w:sz w:val="24"/>
        </w:rPr>
        <w:t>代销机构</w:t>
      </w:r>
    </w:p>
    <w:p>
      <w:pPr>
        <w:framePr w:w="2771" w:wrap="around" w:vAnchor="margin" w:hAnchor="text" w:x="1800" w:y="7543"/>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SKJVQB+å®ä½" w:hAnsi="SKJVQB+å®ä½" w:cs="SKJVQB+å®ä½"/>
          <w:color w:val="222222"/>
          <w:spacing w:val="0"/>
          <w:sz w:val="24"/>
        </w:rPr>
        <w:t>南方双元</w:t>
      </w:r>
      <w:r>
        <w:rPr>
          <w:rFonts w:ascii="GGHCMB+å®ä½"/>
          <w:color w:val="222222"/>
          <w:spacing w:val="0"/>
          <w:sz w:val="24"/>
        </w:rPr>
        <w:t>A</w:t>
      </w:r>
      <w:r>
        <w:rPr>
          <w:rFonts w:ascii="SKJVQB+å®ä½" w:hAnsi="SKJVQB+å®ä½" w:cs="SKJVQB+å®ä½"/>
          <w:color w:val="222222"/>
          <w:spacing w:val="0"/>
          <w:sz w:val="24"/>
        </w:rPr>
        <w:t>代销银行：</w:t>
      </w:r>
    </w:p>
    <w:p>
      <w:pPr>
        <w:framePr w:w="737" w:wrap="around" w:vAnchor="margin" w:hAnchor="text" w:x="2902" w:y="81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framePr w:w="1578" w:wrap="around" w:vAnchor="margin" w:hAnchor="text" w:x="5322" w:y="81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代销机构名称</w:t>
      </w:r>
    </w:p>
    <w:p>
      <w:pPr>
        <w:framePr w:w="3020" w:wrap="around" w:vAnchor="margin" w:hAnchor="text" w:x="7482" w:y="8161"/>
        <w:widowControl w:val="0"/>
        <w:autoSpaceDE w:val="0"/>
        <w:autoSpaceDN w:val="0"/>
        <w:spacing w:before="0" w:after="0" w:line="211" w:lineRule="exact"/>
        <w:ind w:left="682" w:right="0"/>
        <w:jc w:val="left"/>
        <w:rPr>
          <w:rFonts w:ascii="SKJVQB+å®ä½" w:hAnsi="SKJVQB+å®ä½" w:cs="SKJVQB+å®ä½"/>
          <w:color w:val="000000"/>
          <w:spacing w:val="0"/>
          <w:sz w:val="21"/>
        </w:rPr>
      </w:pPr>
      <w:r>
        <w:rPr>
          <w:rFonts w:ascii="SKJVQB+å®ä½" w:hAnsi="SKJVQB+å®ä½" w:cs="SKJVQB+å®ä½"/>
          <w:color w:val="000000"/>
          <w:spacing w:val="0"/>
          <w:sz w:val="21"/>
        </w:rPr>
        <w:t>代销机构信息</w:t>
      </w:r>
    </w:p>
    <w:p>
      <w:pPr>
        <w:framePr w:w="3020" w:wrap="around" w:vAnchor="margin" w:hAnchor="text" w:x="7482" w:y="816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020" w:wrap="around" w:vAnchor="margin" w:hAnchor="text" w:x="7482" w:y="81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贸易试验区银城中路 </w:t>
      </w:r>
      <w:r>
        <w:rPr>
          <w:rFonts w:ascii="Times New Roman"/>
          <w:color w:val="000000"/>
          <w:spacing w:val="0"/>
          <w:sz w:val="21"/>
        </w:rPr>
        <w:t>188</w:t>
      </w:r>
      <w:r>
        <w:rPr>
          <w:rFonts w:ascii="SKJVQB+å®ä½" w:hAnsi="SKJVQB+å®ä½" w:cs="SKJVQB+å®ä½"/>
          <w:color w:val="000000"/>
          <w:spacing w:val="0"/>
          <w:sz w:val="21"/>
        </w:rPr>
        <w:t>号</w:t>
      </w:r>
    </w:p>
    <w:p>
      <w:pPr>
        <w:framePr w:w="3020" w:wrap="around" w:vAnchor="margin" w:hAnchor="text" w:x="7482" w:y="81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办公地址：上海市银城中路</w:t>
      </w:r>
    </w:p>
    <w:p>
      <w:pPr>
        <w:framePr w:w="3020" w:wrap="around" w:vAnchor="margin" w:hAnchor="text" w:x="7482" w:y="81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188</w:t>
      </w:r>
      <w:r>
        <w:rPr>
          <w:rFonts w:ascii="SKJVQB+å®ä½" w:hAnsi="SKJVQB+å®ä½" w:cs="SKJVQB+å®ä½"/>
          <w:color w:val="000000"/>
          <w:spacing w:val="0"/>
          <w:sz w:val="21"/>
        </w:rPr>
        <w:t>号</w:t>
      </w:r>
    </w:p>
    <w:p>
      <w:pPr>
        <w:framePr w:w="421" w:wrap="around" w:vAnchor="margin" w:hAnchor="text" w:x="3058" w:y="8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w:t>
      </w:r>
    </w:p>
    <w:p>
      <w:pPr>
        <w:framePr w:w="2418" w:wrap="around" w:vAnchor="margin" w:hAnchor="text" w:x="4640" w:y="8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交通银行股份有限公司</w:t>
      </w:r>
    </w:p>
    <w:p>
      <w:pPr>
        <w:framePr w:w="1578" w:wrap="around" w:vAnchor="margin" w:hAnchor="text" w:x="7482" w:y="97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联系人：王菁</w:t>
      </w:r>
    </w:p>
    <w:p>
      <w:pPr>
        <w:framePr w:w="2626" w:wrap="around" w:vAnchor="margin" w:hAnchor="text" w:x="7482" w:y="10038"/>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021-58781234</w:t>
      </w:r>
    </w:p>
    <w:p>
      <w:pPr>
        <w:framePr w:w="2626" w:wrap="around" w:vAnchor="margin" w:hAnchor="text" w:x="7482" w:y="1003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95559</w:t>
      </w:r>
    </w:p>
    <w:p>
      <w:pPr>
        <w:framePr w:w="3020" w:wrap="around" w:vAnchor="margin" w:hAnchor="text" w:x="7482" w:y="106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www.bankcomm.com</w:t>
      </w:r>
    </w:p>
    <w:p>
      <w:pPr>
        <w:framePr w:w="3020" w:wrap="around" w:vAnchor="margin" w:hAnchor="text" w:x="7482" w:y="1066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framePr w:w="3020" w:wrap="around" w:vAnchor="margin" w:hAnchor="text" w:x="7482" w:y="106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55</w:t>
      </w:r>
      <w:r>
        <w:rPr>
          <w:rFonts w:ascii="SKJVQB+å®ä½" w:hAnsi="SKJVQB+å®ä½" w:cs="SKJVQB+å®ä½"/>
          <w:color w:val="000000"/>
          <w:spacing w:val="0"/>
          <w:sz w:val="21"/>
        </w:rPr>
        <w:t>号</w:t>
      </w:r>
    </w:p>
    <w:p>
      <w:pPr>
        <w:framePr w:w="421" w:wrap="around" w:vAnchor="margin" w:hAnchor="text" w:x="3058" w:y="1098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w:t>
      </w:r>
    </w:p>
    <w:p>
      <w:pPr>
        <w:framePr w:w="421" w:wrap="around" w:vAnchor="margin" w:hAnchor="text" w:x="3058" w:y="10982"/>
        <w:widowControl w:val="0"/>
        <w:autoSpaceDE w:val="0"/>
        <w:autoSpaceDN w:val="0"/>
        <w:spacing w:before="0" w:after="0" w:line="1882" w:lineRule="exact"/>
        <w:ind w:left="0" w:right="0"/>
        <w:jc w:val="left"/>
        <w:rPr>
          <w:rFonts w:ascii="Times New Roman"/>
          <w:color w:val="000000"/>
          <w:spacing w:val="0"/>
          <w:sz w:val="21"/>
        </w:rPr>
      </w:pPr>
      <w:r>
        <w:rPr>
          <w:rFonts w:ascii="Times New Roman"/>
          <w:color w:val="000000"/>
          <w:spacing w:val="0"/>
          <w:sz w:val="21"/>
        </w:rPr>
        <w:t>3</w:t>
      </w:r>
    </w:p>
    <w:p>
      <w:pPr>
        <w:framePr w:w="2901" w:wrap="around" w:vAnchor="margin" w:hAnchor="text" w:x="4640" w:y="10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中国工商银行股份有限公司</w:t>
      </w:r>
    </w:p>
    <w:p>
      <w:pPr>
        <w:framePr w:w="2209" w:wrap="around" w:vAnchor="margin" w:hAnchor="text" w:x="7482" w:y="11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法定代表人：陈四清</w:t>
      </w:r>
    </w:p>
    <w:p>
      <w:pPr>
        <w:framePr w:w="2209" w:wrap="around" w:vAnchor="margin" w:hAnchor="text" w:x="7482" w:y="11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联系人：谢宇晨</w:t>
      </w:r>
    </w:p>
    <w:p>
      <w:pPr>
        <w:framePr w:w="1894" w:wrap="around" w:vAnchor="margin" w:hAnchor="text" w:x="7482" w:y="1223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95588</w:t>
      </w:r>
    </w:p>
    <w:p>
      <w:pPr>
        <w:framePr w:w="3020" w:wrap="around" w:vAnchor="margin" w:hAnchor="text" w:x="7482" w:y="1254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www.icbc.com.cn</w:t>
      </w:r>
    </w:p>
    <w:p>
      <w:pPr>
        <w:framePr w:w="3020" w:wrap="around" w:vAnchor="margin" w:hAnchor="text" w:x="7482" w:y="12544"/>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framePr w:w="3020" w:wrap="around" w:vAnchor="margin" w:hAnchor="text" w:x="7482" w:y="1254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1</w:t>
      </w:r>
      <w:r>
        <w:rPr>
          <w:rFonts w:ascii="SKJVQB+å®ä½" w:hAnsi="SKJVQB+å®ä½" w:cs="SKJVQB+å®ä½"/>
          <w:color w:val="000000"/>
          <w:spacing w:val="0"/>
          <w:sz w:val="21"/>
        </w:rPr>
        <w:t>号</w:t>
      </w:r>
    </w:p>
    <w:p>
      <w:pPr>
        <w:framePr w:w="2418" w:wrap="around" w:vAnchor="margin" w:hAnchor="text" w:x="4640" w:y="128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中国银行股份有限公司</w:t>
      </w:r>
    </w:p>
    <w:p>
      <w:pPr>
        <w:framePr w:w="3020" w:wrap="around" w:vAnchor="margin" w:hAnchor="text" w:x="7482" w:y="13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办公地址：北京市西城区复兴</w:t>
      </w:r>
    </w:p>
    <w:p>
      <w:pPr>
        <w:framePr w:w="3020" w:wrap="around" w:vAnchor="margin" w:hAnchor="text" w:x="7482" w:y="13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1</w:t>
      </w:r>
      <w:r>
        <w:rPr>
          <w:rFonts w:ascii="SKJVQB+å®ä½" w:hAnsi="SKJVQB+å®ä½" w:cs="SKJVQB+å®ä½"/>
          <w:color w:val="000000"/>
          <w:spacing w:val="0"/>
          <w:sz w:val="21"/>
        </w:rPr>
        <w:t>号</w:t>
      </w:r>
    </w:p>
    <w:p>
      <w:pPr>
        <w:framePr w:w="2209" w:wrap="around" w:vAnchor="margin" w:hAnchor="text" w:x="7482" w:y="14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法定代表人：刘连舸</w:t>
      </w:r>
    </w:p>
    <w:p>
      <w:pPr>
        <w:framePr w:w="2209" w:wrap="around" w:vAnchor="margin" w:hAnchor="text" w:x="7482" w:y="141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95566</w:t>
      </w:r>
    </w:p>
    <w:p>
      <w:pPr>
        <w:framePr w:w="1996" w:wrap="around" w:vAnchor="margin" w:hAnchor="text" w:x="7482" w:y="14738"/>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www.boc.cn</w:t>
      </w:r>
    </w:p>
    <w:p>
      <w:pPr>
        <w:framePr w:w="421" w:wrap="around" w:vAnchor="margin" w:hAnchor="text" w:x="3058" w:y="150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w:t>
      </w:r>
    </w:p>
    <w:p>
      <w:pPr>
        <w:framePr w:w="2418" w:wrap="around" w:vAnchor="margin" w:hAnchor="text" w:x="4640" w:y="150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招商银行股份有限公司</w:t>
      </w:r>
    </w:p>
    <w:p>
      <w:pPr>
        <w:framePr w:w="2901" w:wrap="around" w:vAnchor="margin" w:hAnchor="text" w:x="7482" w:y="150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注册地址：深圳市深南大道</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24</w:t>
      </w:r>
    </w:p>
    <w:p>
      <w:pPr>
        <w:spacing w:before="0" w:after="0" w:line="0" w:lineRule="exact"/>
        <w:ind w:left="0" w:right="0"/>
        <w:jc w:val="left"/>
        <w:rPr>
          <w:rFonts w:ascii="Arial"/>
          <w:color w:val="FF0000"/>
          <w:spacing w:val="0"/>
          <w:sz w:val="2"/>
        </w:rPr>
      </w:pPr>
      <w:r>
        <w:pict>
          <v:shape id="_x000050" o:spid="_x0000_s1076"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37" o:title=""/>
            <o:lock v:ext="edit" aspectratio="t"/>
          </v:shape>
        </w:pict>
      </w:r>
      <w:r>
        <w:pict>
          <v:shape id="_x000051" o:spid="_x0000_s1077" o:spt="75" type="#_x0000_t75" style="position:absolute;left:0pt;margin-left:88.6pt;margin-top:71.1pt;height:69.15pt;width:418.3pt;mso-position-horizontal-relative:page;mso-position-vertical-relative:page;z-index:-1024;mso-width-relative:page;mso-height-relative:page;" filled="f" coordsize="21600,21600">
            <v:path/>
            <v:fill on="f" focussize="0,0"/>
            <v:stroke/>
            <v:imagedata r:id="rId38" o:title=""/>
            <o:lock v:ext="edit" aspectratio="t"/>
          </v:shape>
        </w:pict>
      </w:r>
      <w:r>
        <w:pict>
          <v:shape id="_x000052" o:spid="_x0000_s1078" o:spt="75" type="#_x0000_t75" style="position:absolute;left:0pt;margin-left:88.6pt;margin-top:192.3pt;height:122.55pt;width:418.3pt;mso-position-horizontal-relative:page;mso-position-vertical-relative:page;z-index:-1024;mso-width-relative:page;mso-height-relative:page;" filled="f" coordsize="21600,21600">
            <v:path/>
            <v:fill on="f" focussize="0,0"/>
            <v:stroke/>
            <v:imagedata r:id="rId39" o:title=""/>
            <o:lock v:ext="edit" aspectratio="t"/>
          </v:shape>
        </w:pict>
      </w:r>
      <w:r>
        <w:pict>
          <v:shape id="_x000053" o:spid="_x0000_s1079" o:spt="75" type="#_x0000_t75" style="position:absolute;left:0pt;margin-left:84.4pt;margin-top:404.85pt;height:361.85pt;width:426.7pt;mso-position-horizontal-relative:page;mso-position-vertical-relative:page;z-index:-1024;mso-width-relative:page;mso-height-relative:page;" filled="f" coordsize="21600,21600">
            <v:path/>
            <v:fill on="f" focussize="0,0"/>
            <v:stroke/>
            <v:imagedata r:id="rId4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60"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Times New Roman"/>
          <w:color w:val="000000"/>
          <w:spacing w:val="0"/>
          <w:sz w:val="21"/>
        </w:rPr>
        <w:t>7088</w:t>
      </w:r>
      <w:r>
        <w:rPr>
          <w:rFonts w:ascii="SKJVQB+å®ä½" w:hAnsi="SKJVQB+å®ä½" w:cs="SKJVQB+å®ä½"/>
          <w:color w:val="000000"/>
          <w:spacing w:val="0"/>
          <w:sz w:val="21"/>
        </w:rPr>
        <w:t>号招商银行大厦</w:t>
      </w:r>
    </w:p>
    <w:p>
      <w:pPr>
        <w:framePr w:w="226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法定代表人：李建红</w:t>
      </w:r>
    </w:p>
    <w:p>
      <w:pPr>
        <w:framePr w:w="226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联系人：季平伟</w:t>
      </w:r>
    </w:p>
    <w:p>
      <w:pPr>
        <w:framePr w:w="1894" w:wrap="around" w:vAnchor="margin" w:hAnchor="text" w:x="7482" w:y="241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95555</w:t>
      </w:r>
    </w:p>
    <w:p>
      <w:pPr>
        <w:framePr w:w="2713"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www.cmbchina.com</w:t>
      </w:r>
    </w:p>
    <w:p>
      <w:pPr>
        <w:framePr w:w="421" w:wrap="around" w:vAnchor="margin" w:hAnchor="text" w:x="3058"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w:t>
      </w:r>
    </w:p>
    <w:p>
      <w:pPr>
        <w:framePr w:w="421" w:wrap="around" w:vAnchor="margin" w:hAnchor="text" w:x="3058" w:y="3046"/>
        <w:widowControl w:val="0"/>
        <w:autoSpaceDE w:val="0"/>
        <w:autoSpaceDN w:val="0"/>
        <w:spacing w:before="0" w:after="0" w:line="2818" w:lineRule="exact"/>
        <w:ind w:left="0" w:right="0"/>
        <w:jc w:val="left"/>
        <w:rPr>
          <w:rFonts w:ascii="Times New Roman"/>
          <w:color w:val="000000"/>
          <w:spacing w:val="0"/>
          <w:sz w:val="21"/>
        </w:rPr>
      </w:pPr>
      <w:r>
        <w:rPr>
          <w:rFonts w:ascii="Times New Roman"/>
          <w:color w:val="000000"/>
          <w:spacing w:val="0"/>
          <w:sz w:val="21"/>
        </w:rPr>
        <w:t>6</w:t>
      </w:r>
    </w:p>
    <w:p>
      <w:pPr>
        <w:framePr w:w="421" w:wrap="around" w:vAnchor="margin" w:hAnchor="text" w:x="3058" w:y="3046"/>
        <w:widowControl w:val="0"/>
        <w:autoSpaceDE w:val="0"/>
        <w:autoSpaceDN w:val="0"/>
        <w:spacing w:before="0" w:after="0" w:line="2820" w:lineRule="exact"/>
        <w:ind w:left="0" w:right="0"/>
        <w:jc w:val="left"/>
        <w:rPr>
          <w:rFonts w:ascii="Times New Roman"/>
          <w:color w:val="000000"/>
          <w:spacing w:val="0"/>
          <w:sz w:val="21"/>
        </w:rPr>
      </w:pPr>
      <w:r>
        <w:rPr>
          <w:rFonts w:ascii="Times New Roman"/>
          <w:color w:val="000000"/>
          <w:spacing w:val="0"/>
          <w:sz w:val="21"/>
        </w:rPr>
        <w:t>7</w:t>
      </w:r>
    </w:p>
    <w:p>
      <w:pPr>
        <w:framePr w:w="2901"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中国邮政储蓄银行股份有限</w:t>
      </w:r>
    </w:p>
    <w:p>
      <w:pPr>
        <w:framePr w:w="2901" w:wrap="around" w:vAnchor="margin" w:hAnchor="text" w:x="4640"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w:t>
      </w:r>
      <w:r>
        <w:rPr>
          <w:rFonts w:ascii="SKJVQB+å®ä½" w:hAnsi="SKJVQB+å®ä½" w:cs="SKJVQB+å®ä½"/>
          <w:color w:val="000000"/>
          <w:spacing w:val="0"/>
          <w:sz w:val="21"/>
        </w:rPr>
        <w:t>号</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w:t>
      </w:r>
      <w:r>
        <w:rPr>
          <w:rFonts w:ascii="SKJVQB+å®ä½" w:hAnsi="SKJVQB+å®ä½" w:cs="SKJVQB+å®ä½"/>
          <w:color w:val="000000"/>
          <w:spacing w:val="0"/>
          <w:sz w:val="21"/>
        </w:rPr>
        <w:t>号</w:t>
      </w:r>
    </w:p>
    <w:p>
      <w:pPr>
        <w:framePr w:w="2209"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法定代表人：张金良</w:t>
      </w:r>
    </w:p>
    <w:p>
      <w:pPr>
        <w:framePr w:w="2209"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联系人：王硕</w:t>
      </w:r>
    </w:p>
    <w:p>
      <w:pPr>
        <w:framePr w:w="2421"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SKJVQB+å®ä½" w:hAnsi="SKJVQB+å®ä½" w:cs="SKJVQB+å®ä½"/>
          <w:color w:val="000000"/>
          <w:spacing w:val="0"/>
          <w:sz w:val="21"/>
        </w:rPr>
        <w:t>）</w:t>
      </w:r>
      <w:r>
        <w:rPr>
          <w:rFonts w:ascii="Times New Roman"/>
          <w:color w:val="000000"/>
          <w:spacing w:val="0"/>
          <w:sz w:val="21"/>
        </w:rPr>
        <w:t>68858057</w:t>
      </w:r>
    </w:p>
    <w:p>
      <w:pPr>
        <w:framePr w:w="2421"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95580</w:t>
      </w:r>
    </w:p>
    <w:p>
      <w:pPr>
        <w:framePr w:w="3020"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www.psbc.com</w:t>
      </w:r>
    </w:p>
    <w:p>
      <w:pPr>
        <w:framePr w:w="3020"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注册地址：上海市浦东新区浦</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东南路 </w:t>
      </w:r>
      <w:r>
        <w:rPr>
          <w:rFonts w:ascii="Times New Roman"/>
          <w:color w:val="000000"/>
          <w:spacing w:val="0"/>
          <w:sz w:val="21"/>
        </w:rPr>
        <w:t>500</w:t>
      </w:r>
      <w:r>
        <w:rPr>
          <w:rFonts w:ascii="SKJVQB+å®ä½" w:hAnsi="SKJVQB+å®ä½" w:cs="SKJVQB+å®ä½"/>
          <w:color w:val="000000"/>
          <w:spacing w:val="0"/>
          <w:sz w:val="21"/>
        </w:rPr>
        <w:t>号</w:t>
      </w:r>
    </w:p>
    <w:p>
      <w:pPr>
        <w:framePr w:w="2901" w:wrap="around" w:vAnchor="margin" w:hAnchor="text" w:x="4640"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上海浦东发展银行股份有限</w:t>
      </w:r>
    </w:p>
    <w:p>
      <w:pPr>
        <w:framePr w:w="2901" w:wrap="around" w:vAnchor="margin" w:hAnchor="text" w:x="4640" w:y="587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办公地址：上海市中山东一路</w:t>
      </w:r>
    </w:p>
    <w:p>
      <w:pPr>
        <w:framePr w:w="3020" w:wrap="around" w:vAnchor="margin" w:hAnchor="text" w:x="7482" w:y="6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号</w:t>
      </w:r>
    </w:p>
    <w:p>
      <w:pPr>
        <w:framePr w:w="2209"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法定代表人：高国富</w:t>
      </w:r>
    </w:p>
    <w:p>
      <w:pPr>
        <w:framePr w:w="2209"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联系人：吴斌</w:t>
      </w:r>
    </w:p>
    <w:p>
      <w:pPr>
        <w:framePr w:w="2626"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021-61618888</w:t>
      </w:r>
    </w:p>
    <w:p>
      <w:pPr>
        <w:framePr w:w="2626"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95528</w:t>
      </w:r>
    </w:p>
    <w:p>
      <w:pPr>
        <w:framePr w:w="3020"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www.spdb.com.cn</w:t>
      </w:r>
    </w:p>
    <w:p>
      <w:pPr>
        <w:framePr w:w="3020" w:wrap="around" w:vAnchor="margin" w:hAnchor="text" w:x="7482" w:y="836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注册地址：北京市东城区朝阳</w:t>
      </w:r>
    </w:p>
    <w:p>
      <w:pPr>
        <w:framePr w:w="3020"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门北大街 </w:t>
      </w:r>
      <w:r>
        <w:rPr>
          <w:rFonts w:ascii="Times New Roman"/>
          <w:color w:val="000000"/>
          <w:spacing w:val="0"/>
          <w:sz w:val="21"/>
        </w:rPr>
        <w:t>9</w:t>
      </w:r>
      <w:r>
        <w:rPr>
          <w:rFonts w:ascii="SKJVQB+å®ä½" w:hAnsi="SKJVQB+å®ä½" w:cs="SKJVQB+å®ä½"/>
          <w:color w:val="000000"/>
          <w:spacing w:val="0"/>
          <w:sz w:val="21"/>
        </w:rPr>
        <w:t>号</w:t>
      </w:r>
    </w:p>
    <w:p>
      <w:pPr>
        <w:framePr w:w="2418" w:wrap="around" w:vAnchor="margin" w:hAnchor="text" w:x="4640" w:y="86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中信银行股份有限公司</w:t>
      </w:r>
    </w:p>
    <w:p>
      <w:pPr>
        <w:framePr w:w="3020" w:wrap="around" w:vAnchor="margin" w:hAnchor="text" w:x="7482"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办公地址：北京东城区朝阳门</w:t>
      </w:r>
    </w:p>
    <w:p>
      <w:pPr>
        <w:framePr w:w="3020" w:wrap="around" w:vAnchor="margin" w:hAnchor="text" w:x="7482" w:y="93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北大街 </w:t>
      </w:r>
      <w:r>
        <w:rPr>
          <w:rFonts w:ascii="Times New Roman"/>
          <w:color w:val="000000"/>
          <w:spacing w:val="0"/>
          <w:sz w:val="21"/>
        </w:rPr>
        <w:t>9</w:t>
      </w:r>
      <w:r>
        <w:rPr>
          <w:rFonts w:ascii="SKJVQB+å®ä½" w:hAnsi="SKJVQB+å®ä½" w:cs="SKJVQB+å®ä½"/>
          <w:color w:val="000000"/>
          <w:spacing w:val="0"/>
          <w:sz w:val="21"/>
        </w:rPr>
        <w:t>号东方文化大厦</w:t>
      </w:r>
    </w:p>
    <w:p>
      <w:pPr>
        <w:framePr w:w="3020" w:wrap="around" w:vAnchor="margin" w:hAnchor="text" w:x="7482" w:y="93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法定代表人：李庆萍</w:t>
      </w:r>
    </w:p>
    <w:p>
      <w:pPr>
        <w:framePr w:w="3020" w:wrap="around" w:vAnchor="margin" w:hAnchor="text" w:x="7482" w:y="93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联系人：丰靖</w:t>
      </w:r>
    </w:p>
    <w:p>
      <w:pPr>
        <w:framePr w:w="2178" w:wrap="around" w:vAnchor="margin" w:hAnchor="text" w:x="7482" w:y="1055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010-89937330</w:t>
      </w:r>
    </w:p>
    <w:p>
      <w:pPr>
        <w:framePr w:w="2178"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95558</w:t>
      </w:r>
    </w:p>
    <w:p>
      <w:pPr>
        <w:framePr w:w="3020"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http://bank.ecitic.com/</w:t>
      </w:r>
    </w:p>
    <w:p>
      <w:pPr>
        <w:framePr w:w="3020" w:wrap="around" w:vAnchor="margin" w:hAnchor="text" w:x="7482" w:y="1118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注册地址：广州市越秀区东风</w:t>
      </w:r>
    </w:p>
    <w:p>
      <w:pPr>
        <w:framePr w:w="3020"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713</w:t>
      </w:r>
      <w:r>
        <w:rPr>
          <w:rFonts w:ascii="SKJVQB+å®ä½" w:hAnsi="SKJVQB+å®ä½" w:cs="SKJVQB+å®ä½"/>
          <w:color w:val="000000"/>
          <w:spacing w:val="0"/>
          <w:sz w:val="21"/>
        </w:rPr>
        <w:t>号</w:t>
      </w:r>
    </w:p>
    <w:p>
      <w:pPr>
        <w:framePr w:w="421" w:wrap="around" w:vAnchor="margin" w:hAnchor="text" w:x="3058" w:y="1150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w:t>
      </w:r>
    </w:p>
    <w:p>
      <w:pPr>
        <w:framePr w:w="2418" w:wrap="around" w:vAnchor="margin" w:hAnchor="text" w:x="4640" w:y="1151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广发银行股份有限公司</w:t>
      </w:r>
    </w:p>
    <w:p>
      <w:pPr>
        <w:framePr w:w="1998" w:wrap="around" w:vAnchor="margin" w:hAnchor="text" w:x="7482"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法定代表人：王滨</w:t>
      </w:r>
    </w:p>
    <w:p>
      <w:pPr>
        <w:framePr w:w="2990" w:wrap="around" w:vAnchor="margin" w:hAnchor="text" w:x="7482" w:y="12441"/>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0571-96000888</w:t>
      </w:r>
      <w:r>
        <w:rPr>
          <w:rFonts w:ascii="SKJVQB+å®ä½" w:hAnsi="SKJVQB+å®ä½" w:cs="SKJVQB+å®ä½"/>
          <w:color w:val="000000"/>
          <w:spacing w:val="0"/>
          <w:sz w:val="21"/>
        </w:rPr>
        <w:t>，</w:t>
      </w:r>
    </w:p>
    <w:p>
      <w:pPr>
        <w:framePr w:w="2990" w:wrap="around" w:vAnchor="margin" w:hAnchor="text" w:x="7482" w:y="12441"/>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020-38322222</w:t>
      </w:r>
    </w:p>
    <w:p>
      <w:pPr>
        <w:framePr w:w="3020" w:wrap="around" w:vAnchor="margin" w:hAnchor="text" w:x="7482" w:y="1306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400-830-8003</w:t>
      </w:r>
    </w:p>
    <w:p>
      <w:pPr>
        <w:framePr w:w="3020" w:wrap="around" w:vAnchor="margin" w:hAnchor="text" w:x="7482" w:y="1306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www.cgbchina.com.cn</w:t>
      </w:r>
    </w:p>
    <w:p>
      <w:pPr>
        <w:framePr w:w="3020" w:wrap="around" w:vAnchor="margin" w:hAnchor="text" w:x="7482" w:y="1306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framePr w:w="3020" w:wrap="around" w:vAnchor="margin" w:hAnchor="text" w:x="7482" w:y="1306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2</w:t>
      </w:r>
      <w:r>
        <w:rPr>
          <w:rFonts w:ascii="SKJVQB+å®ä½" w:hAnsi="SKJVQB+å®ä½" w:cs="SKJVQB+å®ä½"/>
          <w:color w:val="000000"/>
          <w:spacing w:val="0"/>
          <w:sz w:val="21"/>
        </w:rPr>
        <w:t>号</w:t>
      </w:r>
    </w:p>
    <w:p>
      <w:pPr>
        <w:framePr w:w="421" w:wrap="around" w:vAnchor="margin" w:hAnchor="text" w:x="3058" w:y="1369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w:t>
      </w:r>
    </w:p>
    <w:p>
      <w:pPr>
        <w:framePr w:w="2901" w:wrap="around" w:vAnchor="margin" w:hAnchor="text" w:x="4640" w:y="1370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中国民生银行股份有限公司</w:t>
      </w:r>
    </w:p>
    <w:p>
      <w:pPr>
        <w:framePr w:w="3020" w:wrap="around" w:vAnchor="margin" w:hAnchor="text" w:x="7482" w:y="1433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办公地址：北京市西城区复兴</w:t>
      </w:r>
    </w:p>
    <w:p>
      <w:pPr>
        <w:framePr w:w="3020" w:wrap="around" w:vAnchor="margin" w:hAnchor="text" w:x="7482" w:y="1433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2</w:t>
      </w:r>
      <w:r>
        <w:rPr>
          <w:rFonts w:ascii="SKJVQB+å®ä½" w:hAnsi="SKJVQB+å®ä½" w:cs="SKJVQB+å®ä½"/>
          <w:color w:val="000000"/>
          <w:spacing w:val="0"/>
          <w:sz w:val="21"/>
        </w:rPr>
        <w:t>号</w:t>
      </w:r>
    </w:p>
    <w:p>
      <w:pPr>
        <w:framePr w:w="1998" w:wrap="around" w:vAnchor="margin" w:hAnchor="text" w:x="7482" w:y="1495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法定代表人：洪崎</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25</w:t>
      </w:r>
    </w:p>
    <w:p>
      <w:pPr>
        <w:spacing w:before="0" w:after="0" w:line="0" w:lineRule="exact"/>
        <w:ind w:left="0" w:right="0"/>
        <w:jc w:val="left"/>
        <w:rPr>
          <w:rFonts w:ascii="Arial"/>
          <w:color w:val="FF0000"/>
          <w:spacing w:val="0"/>
          <w:sz w:val="2"/>
        </w:rPr>
      </w:pPr>
      <w:r>
        <w:pict>
          <v:shape id="_x000054" o:spid="_x0000_s108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41" o:title=""/>
            <o:lock v:ext="edit" aspectratio="t"/>
          </v:shape>
        </w:pict>
      </w:r>
      <w:r>
        <w:pict>
          <v:shape id="_x000055" o:spid="_x0000_s1081"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4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578"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联系人：穆婷</w:t>
      </w:r>
    </w:p>
    <w:p>
      <w:pPr>
        <w:framePr w:w="2178"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010-58560666</w:t>
      </w:r>
    </w:p>
    <w:p>
      <w:pPr>
        <w:framePr w:w="2178"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010-57092611</w:t>
      </w:r>
    </w:p>
    <w:p>
      <w:pPr>
        <w:framePr w:w="2178"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95568</w:t>
      </w:r>
    </w:p>
    <w:p>
      <w:pPr>
        <w:framePr w:w="2582"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www.cmbc.com.cn</w:t>
      </w:r>
    </w:p>
    <w:p>
      <w:pPr>
        <w:framePr w:w="526" w:wrap="around" w:vAnchor="margin" w:hAnchor="text" w:x="3005"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w:t>
      </w:r>
    </w:p>
    <w:p>
      <w:pPr>
        <w:framePr w:w="2418"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平安银行股份有限公司</w:t>
      </w:r>
    </w:p>
    <w:p>
      <w:pPr>
        <w:framePr w:w="2960" w:wrap="around" w:vAnchor="margin" w:hAnchor="text" w:x="7482" w:y="3048"/>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地址：深圳市深南东路 </w:t>
      </w:r>
      <w:r>
        <w:rPr>
          <w:rFonts w:ascii="Times New Roman"/>
          <w:color w:val="000000"/>
          <w:spacing w:val="0"/>
          <w:sz w:val="21"/>
        </w:rPr>
        <w:t xml:space="preserve"> 5047</w:t>
      </w:r>
    </w:p>
    <w:p>
      <w:pPr>
        <w:framePr w:w="2960" w:wrap="around" w:vAnchor="margin" w:hAnchor="text" w:x="7482" w:y="30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2209"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法定代表人：谢永林</w:t>
      </w:r>
    </w:p>
    <w:p>
      <w:pPr>
        <w:framePr w:w="2209"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联系人：施艺帆</w:t>
      </w:r>
    </w:p>
    <w:p>
      <w:pPr>
        <w:framePr w:w="3020"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021-50979384</w:t>
      </w:r>
    </w:p>
    <w:p>
      <w:pPr>
        <w:framePr w:w="3020" w:wrap="around" w:vAnchor="margin" w:hAnchor="text" w:x="7482" w:y="4296"/>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95511-3</w:t>
      </w:r>
    </w:p>
    <w:p>
      <w:pPr>
        <w:framePr w:w="3020" w:wrap="around" w:vAnchor="margin" w:hAnchor="text" w:x="7482" w:y="42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:bank.pingan.com</w:t>
      </w:r>
    </w:p>
    <w:p>
      <w:pPr>
        <w:framePr w:w="3020" w:wrap="around" w:vAnchor="margin" w:hAnchor="text" w:x="7482" w:y="429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注册地址：天津市河东区海河</w:t>
      </w:r>
    </w:p>
    <w:p>
      <w:pPr>
        <w:framePr w:w="3020"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218</w:t>
      </w:r>
      <w:r>
        <w:rPr>
          <w:rFonts w:ascii="SKJVQB+å®ä½" w:hAnsi="SKJVQB+å®ä½" w:cs="SKJVQB+å®ä½"/>
          <w:color w:val="000000"/>
          <w:spacing w:val="0"/>
          <w:sz w:val="21"/>
        </w:rPr>
        <w:t>号</w:t>
      </w:r>
    </w:p>
    <w:p>
      <w:pPr>
        <w:framePr w:w="519" w:wrap="around" w:vAnchor="margin" w:hAnchor="text" w:x="3010" w:y="524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w:t>
      </w:r>
    </w:p>
    <w:p>
      <w:pPr>
        <w:framePr w:w="2418" w:wrap="around" w:vAnchor="margin" w:hAnchor="text" w:x="4640" w:y="524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渤海银行股份有限公司</w:t>
      </w:r>
    </w:p>
    <w:p>
      <w:pPr>
        <w:framePr w:w="3020" w:wrap="around" w:vAnchor="margin" w:hAnchor="text" w:x="7482"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办公地址：天津市河东区海河</w:t>
      </w:r>
    </w:p>
    <w:p>
      <w:pPr>
        <w:framePr w:w="3020" w:wrap="around" w:vAnchor="margin" w:hAnchor="text" w:x="7482" w:y="587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218</w:t>
      </w:r>
      <w:r>
        <w:rPr>
          <w:rFonts w:ascii="SKJVQB+å®ä½" w:hAnsi="SKJVQB+å®ä½" w:cs="SKJVQB+å®ä½"/>
          <w:color w:val="000000"/>
          <w:spacing w:val="0"/>
          <w:sz w:val="21"/>
        </w:rPr>
        <w:t>号</w:t>
      </w:r>
    </w:p>
    <w:p>
      <w:pPr>
        <w:framePr w:w="2209" w:wrap="around" w:vAnchor="margin" w:hAnchor="text" w:x="7482"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法定代表人：李伏安</w:t>
      </w:r>
    </w:p>
    <w:p>
      <w:pPr>
        <w:framePr w:w="2209" w:wrap="around" w:vAnchor="margin" w:hAnchor="text" w:x="7482" w:y="6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联系人：王宏</w:t>
      </w:r>
    </w:p>
    <w:p>
      <w:pPr>
        <w:framePr w:w="2178" w:wrap="around" w:vAnchor="margin" w:hAnchor="text" w:x="7482" w:y="711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022-58316666</w:t>
      </w:r>
    </w:p>
    <w:p>
      <w:pPr>
        <w:framePr w:w="2178" w:wrap="around" w:vAnchor="margin" w:hAnchor="text" w:x="7482" w:y="711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022-58316569</w:t>
      </w:r>
    </w:p>
    <w:p>
      <w:pPr>
        <w:framePr w:w="2178" w:wrap="around" w:vAnchor="margin" w:hAnchor="text" w:x="7482" w:y="711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95541</w:t>
      </w:r>
    </w:p>
    <w:p>
      <w:pPr>
        <w:framePr w:w="3020" w:wrap="around" w:vAnchor="margin" w:hAnchor="text" w:x="7482" w:y="80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www.cbhb.com.cn</w:t>
      </w:r>
    </w:p>
    <w:p>
      <w:pPr>
        <w:framePr w:w="3020" w:wrap="around" w:vAnchor="margin" w:hAnchor="text" w:x="7482" w:y="805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注册地址：杭州市下城区庆春</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46</w:t>
      </w:r>
      <w:r>
        <w:rPr>
          <w:rFonts w:ascii="SKJVQB+å®ä½" w:hAnsi="SKJVQB+å®ä½" w:cs="SKJVQB+å®ä½"/>
          <w:color w:val="000000"/>
          <w:spacing w:val="0"/>
          <w:sz w:val="21"/>
        </w:rPr>
        <w:t>号杭州银行大厦</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办公地址：杭州市下城区庆春</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46</w:t>
      </w:r>
      <w:r>
        <w:rPr>
          <w:rFonts w:ascii="SKJVQB+å®ä½" w:hAnsi="SKJVQB+å®ä½" w:cs="SKJVQB+å®ä½"/>
          <w:color w:val="000000"/>
          <w:spacing w:val="0"/>
          <w:sz w:val="21"/>
        </w:rPr>
        <w:t>号杭州银行大厦</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法定代表人：陈震山</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联系人：蔡捷</w:t>
      </w:r>
    </w:p>
    <w:p>
      <w:pPr>
        <w:framePr w:w="526" w:wrap="around" w:vAnchor="margin" w:hAnchor="text" w:x="3005" w:y="837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w:t>
      </w:r>
    </w:p>
    <w:p>
      <w:pPr>
        <w:framePr w:w="526" w:wrap="around" w:vAnchor="margin" w:hAnchor="text" w:x="3005" w:y="8372"/>
        <w:widowControl w:val="0"/>
        <w:autoSpaceDE w:val="0"/>
        <w:autoSpaceDN w:val="0"/>
        <w:spacing w:before="0" w:after="0" w:line="2818" w:lineRule="exact"/>
        <w:ind w:left="0" w:right="0"/>
        <w:jc w:val="left"/>
        <w:rPr>
          <w:rFonts w:ascii="Times New Roman"/>
          <w:color w:val="000000"/>
          <w:spacing w:val="0"/>
          <w:sz w:val="21"/>
        </w:rPr>
      </w:pPr>
      <w:r>
        <w:rPr>
          <w:rFonts w:ascii="Times New Roman"/>
          <w:color w:val="000000"/>
          <w:spacing w:val="0"/>
          <w:sz w:val="21"/>
        </w:rPr>
        <w:t>13</w:t>
      </w:r>
    </w:p>
    <w:p>
      <w:pPr>
        <w:framePr w:w="526" w:wrap="around" w:vAnchor="margin" w:hAnchor="text" w:x="3005" w:y="8372"/>
        <w:widowControl w:val="0"/>
        <w:autoSpaceDE w:val="0"/>
        <w:autoSpaceDN w:val="0"/>
        <w:spacing w:before="0" w:after="0" w:line="2818" w:lineRule="exact"/>
        <w:ind w:left="0" w:right="0"/>
        <w:jc w:val="left"/>
        <w:rPr>
          <w:rFonts w:ascii="Times New Roman"/>
          <w:color w:val="000000"/>
          <w:spacing w:val="0"/>
          <w:sz w:val="21"/>
        </w:rPr>
      </w:pPr>
      <w:r>
        <w:rPr>
          <w:rFonts w:ascii="Times New Roman"/>
          <w:color w:val="000000"/>
          <w:spacing w:val="0"/>
          <w:sz w:val="21"/>
        </w:rPr>
        <w:t>14</w:t>
      </w:r>
    </w:p>
    <w:p>
      <w:pPr>
        <w:framePr w:w="2418" w:wrap="around" w:vAnchor="margin" w:hAnchor="text" w:x="4640" w:y="83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杭州银行股份有限公司</w:t>
      </w:r>
    </w:p>
    <w:p>
      <w:pPr>
        <w:framePr w:w="2418" w:wrap="around" w:vAnchor="margin" w:hAnchor="text" w:x="4640" w:y="8381"/>
        <w:widowControl w:val="0"/>
        <w:autoSpaceDE w:val="0"/>
        <w:autoSpaceDN w:val="0"/>
        <w:spacing w:before="0" w:after="0" w:line="281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上海银行股份有限公司</w:t>
      </w:r>
    </w:p>
    <w:p>
      <w:pPr>
        <w:framePr w:w="2418" w:wrap="around" w:vAnchor="margin" w:hAnchor="text" w:x="4640" w:y="8381"/>
        <w:widowControl w:val="0"/>
        <w:autoSpaceDE w:val="0"/>
        <w:autoSpaceDN w:val="0"/>
        <w:spacing w:before="0" w:after="0" w:line="281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北京银行股份有限公司</w:t>
      </w:r>
    </w:p>
    <w:p>
      <w:pPr>
        <w:framePr w:w="2747" w:wrap="around" w:vAnchor="margin" w:hAnchor="text" w:x="7482" w:y="1024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0571-85109708</w:t>
      </w:r>
    </w:p>
    <w:p>
      <w:pPr>
        <w:framePr w:w="2747" w:wrap="around" w:vAnchor="margin" w:hAnchor="text" w:x="7482" w:y="10247"/>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95398</w:t>
      </w:r>
    </w:p>
    <w:p>
      <w:pPr>
        <w:framePr w:w="3020" w:wrap="around" w:vAnchor="margin" w:hAnchor="text" w:x="7482" w:y="108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www.hzbank.com.cn</w:t>
      </w:r>
    </w:p>
    <w:p>
      <w:pPr>
        <w:framePr w:w="3020" w:wrap="around" w:vAnchor="margin" w:hAnchor="text" w:x="7482" w:y="1087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注册地址：上海市浦东新区银</w:t>
      </w:r>
    </w:p>
    <w:p>
      <w:pPr>
        <w:framePr w:w="3020" w:wrap="around" w:vAnchor="margin" w:hAnchor="text" w:x="7482" w:y="1087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framePr w:w="3020" w:wrap="around" w:vAnchor="margin" w:hAnchor="text" w:x="7482" w:y="1182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framePr w:w="3020" w:wrap="around" w:vAnchor="margin" w:hAnchor="text" w:x="7482" w:y="1182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framePr w:w="1998" w:wrap="around" w:vAnchor="margin" w:hAnchor="text" w:x="7482"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法定代表人：金煜</w:t>
      </w:r>
    </w:p>
    <w:p>
      <w:pPr>
        <w:framePr w:w="1789" w:wrap="around" w:vAnchor="margin" w:hAnchor="text" w:x="7482"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联系人：汤征程</w:t>
      </w:r>
    </w:p>
    <w:p>
      <w:pPr>
        <w:framePr w:w="2626" w:wrap="around" w:vAnchor="margin" w:hAnchor="text" w:x="7482" w:y="1306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021-68475521</w:t>
      </w:r>
    </w:p>
    <w:p>
      <w:pPr>
        <w:framePr w:w="2626" w:wrap="around" w:vAnchor="margin" w:hAnchor="text" w:x="7482" w:y="1306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95594</w:t>
      </w:r>
    </w:p>
    <w:p>
      <w:pPr>
        <w:framePr w:w="3020" w:wrap="around" w:vAnchor="margin" w:hAnchor="text" w:x="7482" w:y="1368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www.bosc.cn</w:t>
      </w:r>
    </w:p>
    <w:p>
      <w:pPr>
        <w:framePr w:w="3020" w:wrap="around" w:vAnchor="margin" w:hAnchor="text" w:x="7482" w:y="1368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1368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大街甲 </w:t>
      </w:r>
      <w:r>
        <w:rPr>
          <w:rFonts w:ascii="Times New Roman"/>
          <w:color w:val="000000"/>
          <w:spacing w:val="0"/>
          <w:sz w:val="21"/>
        </w:rPr>
        <w:t>17</w:t>
      </w:r>
      <w:r>
        <w:rPr>
          <w:rFonts w:ascii="SKJVQB+å®ä½" w:hAnsi="SKJVQB+å®ä½" w:cs="SKJVQB+å®ä½"/>
          <w:color w:val="000000"/>
          <w:spacing w:val="0"/>
          <w:sz w:val="21"/>
        </w:rPr>
        <w:t>号首层</w:t>
      </w:r>
    </w:p>
    <w:p>
      <w:pPr>
        <w:framePr w:w="3020" w:wrap="around" w:vAnchor="margin" w:hAnchor="text" w:x="7482" w:y="1464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0" w:wrap="around" w:vAnchor="margin" w:hAnchor="text" w:x="7482" w:y="1464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大街丙 </w:t>
      </w:r>
      <w:r>
        <w:rPr>
          <w:rFonts w:ascii="Times New Roman"/>
          <w:color w:val="000000"/>
          <w:spacing w:val="0"/>
          <w:sz w:val="21"/>
        </w:rPr>
        <w:t>17</w:t>
      </w:r>
      <w:r>
        <w:rPr>
          <w:rFonts w:ascii="SKJVQB+å®ä½" w:hAnsi="SKJVQB+å®ä½" w:cs="SKJVQB+å®ä½"/>
          <w:color w:val="000000"/>
          <w:spacing w:val="0"/>
          <w:sz w:val="21"/>
        </w:rPr>
        <w:t>号</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26</w:t>
      </w:r>
    </w:p>
    <w:p>
      <w:pPr>
        <w:spacing w:before="0" w:after="0" w:line="0" w:lineRule="exact"/>
        <w:ind w:left="0" w:right="0"/>
        <w:jc w:val="left"/>
        <w:rPr>
          <w:rFonts w:ascii="Arial"/>
          <w:color w:val="FF0000"/>
          <w:spacing w:val="0"/>
          <w:sz w:val="2"/>
        </w:rPr>
      </w:pPr>
      <w:r>
        <w:pict>
          <v:shape id="_x000056" o:spid="_x0000_s108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43" o:title=""/>
            <o:lock v:ext="edit" aspectratio="t"/>
          </v:shape>
        </w:pict>
      </w:r>
      <w:r>
        <w:pict>
          <v:shape id="_x000057" o:spid="_x0000_s1083"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4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0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法定代表人：张东宁</w:t>
      </w:r>
    </w:p>
    <w:p>
      <w:pPr>
        <w:framePr w:w="2209"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联系人：周黎</w:t>
      </w:r>
    </w:p>
    <w:p>
      <w:pPr>
        <w:framePr w:w="2178"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010-66225309</w:t>
      </w:r>
    </w:p>
    <w:p>
      <w:pPr>
        <w:framePr w:w="2178"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95526</w:t>
      </w:r>
    </w:p>
    <w:p>
      <w:pPr>
        <w:framePr w:w="2178" w:wrap="around" w:vAnchor="margin" w:hAnchor="text" w:x="7482" w:y="21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675" w:wrap="around" w:vAnchor="margin" w:hAnchor="text" w:x="7482" w:y="30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www.bankofbeijing.com.cn</w:t>
      </w:r>
    </w:p>
    <w:p>
      <w:pPr>
        <w:framePr w:w="526" w:wrap="around" w:vAnchor="margin" w:hAnchor="text" w:x="3005" w:y="335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15</w:t>
      </w:r>
    </w:p>
    <w:p>
      <w:pPr>
        <w:framePr w:w="526" w:wrap="around" w:vAnchor="margin" w:hAnchor="text" w:x="3005" w:y="3358"/>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16</w:t>
      </w:r>
    </w:p>
    <w:p>
      <w:pPr>
        <w:framePr w:w="526" w:wrap="around" w:vAnchor="margin" w:hAnchor="text" w:x="3005" w:y="3358"/>
        <w:widowControl w:val="0"/>
        <w:autoSpaceDE w:val="0"/>
        <w:autoSpaceDN w:val="0"/>
        <w:spacing w:before="0" w:after="0" w:line="3132" w:lineRule="exact"/>
        <w:ind w:left="0" w:right="0"/>
        <w:jc w:val="left"/>
        <w:rPr>
          <w:rFonts w:ascii="Times New Roman"/>
          <w:color w:val="000000"/>
          <w:spacing w:val="0"/>
          <w:sz w:val="21"/>
        </w:rPr>
      </w:pPr>
      <w:r>
        <w:rPr>
          <w:rFonts w:ascii="Times New Roman"/>
          <w:color w:val="000000"/>
          <w:spacing w:val="0"/>
          <w:sz w:val="21"/>
        </w:rPr>
        <w:t>17</w:t>
      </w:r>
    </w:p>
    <w:p>
      <w:pPr>
        <w:framePr w:w="526" w:wrap="around" w:vAnchor="margin" w:hAnchor="text" w:x="3005" w:y="3358"/>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18</w:t>
      </w:r>
    </w:p>
    <w:p>
      <w:pPr>
        <w:framePr w:w="2901" w:wrap="around" w:vAnchor="margin" w:hAnchor="text" w:x="4640"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北京农村商业银行股份有限</w:t>
      </w:r>
    </w:p>
    <w:p>
      <w:pPr>
        <w:framePr w:w="2901" w:wrap="around" w:vAnchor="margin" w:hAnchor="text" w:x="4640"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注册地址：北京市西城区月坛</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号楼</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办公地址：北京市西城区月坛</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号楼</w:t>
      </w:r>
    </w:p>
    <w:p>
      <w:pPr>
        <w:framePr w:w="3020" w:wrap="around" w:vAnchor="margin" w:hAnchor="text" w:x="7482" w:y="3367"/>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法定代表人：王金山</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联系人：鲁娟</w:t>
      </w:r>
    </w:p>
    <w:p>
      <w:pPr>
        <w:framePr w:w="3020" w:wrap="around" w:vAnchor="margin" w:hAnchor="text" w:x="7482" w:y="523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010-89198762</w:t>
      </w:r>
    </w:p>
    <w:p>
      <w:pPr>
        <w:framePr w:w="3020" w:wrap="around" w:vAnchor="margin" w:hAnchor="text" w:x="7482" w:y="52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96198</w:t>
      </w:r>
      <w:r>
        <w:rPr>
          <w:rFonts w:ascii="SKJVQB+å®ä½" w:hAnsi="SKJVQB+å®ä½" w:cs="SKJVQB+å®ä½"/>
          <w:color w:val="000000"/>
          <w:spacing w:val="0"/>
          <w:sz w:val="21"/>
        </w:rPr>
        <w:t>；</w:t>
      </w:r>
    </w:p>
    <w:p>
      <w:pPr>
        <w:framePr w:w="3020"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400-88-96198</w:t>
      </w:r>
      <w:r>
        <w:rPr>
          <w:rFonts w:ascii="SKJVQB+å®ä½" w:hAnsi="SKJVQB+å®ä½" w:cs="SKJVQB+å®ä½"/>
          <w:color w:val="000000"/>
          <w:spacing w:val="0"/>
          <w:sz w:val="21"/>
        </w:rPr>
        <w:t>；</w:t>
      </w:r>
      <w:r>
        <w:rPr>
          <w:rFonts w:ascii="Times New Roman"/>
          <w:color w:val="000000"/>
          <w:spacing w:val="0"/>
          <w:sz w:val="21"/>
        </w:rPr>
        <w:t>400-66-96198</w:t>
      </w:r>
    </w:p>
    <w:p>
      <w:pPr>
        <w:framePr w:w="3020"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www.bjrcb.com</w:t>
      </w:r>
    </w:p>
    <w:p>
      <w:pPr>
        <w:framePr w:w="3020" w:wrap="around" w:vAnchor="margin" w:hAnchor="text" w:x="7482" w:y="523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注册地址：山东省烟台市芝罘</w:t>
      </w:r>
    </w:p>
    <w:p>
      <w:pPr>
        <w:framePr w:w="3020" w:wrap="around" w:vAnchor="margin" w:hAnchor="text" w:x="7482" w:y="52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区海港路 </w:t>
      </w:r>
      <w:r>
        <w:rPr>
          <w:rFonts w:ascii="Times New Roman"/>
          <w:color w:val="000000"/>
          <w:spacing w:val="0"/>
          <w:sz w:val="21"/>
        </w:rPr>
        <w:t>25</w:t>
      </w:r>
      <w:r>
        <w:rPr>
          <w:rFonts w:ascii="SKJVQB+å®ä½" w:hAnsi="SKJVQB+å®ä½" w:cs="SKJVQB+å®ä½"/>
          <w:color w:val="000000"/>
          <w:spacing w:val="0"/>
          <w:sz w:val="21"/>
        </w:rPr>
        <w:t>号</w:t>
      </w:r>
    </w:p>
    <w:p>
      <w:pPr>
        <w:framePr w:w="2418" w:wrap="around" w:vAnchor="margin" w:hAnchor="text" w:x="4640"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烟台银行股份有限公司</w:t>
      </w:r>
    </w:p>
    <w:p>
      <w:pPr>
        <w:framePr w:w="3020"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办公地址：山东省烟台市芝罘</w:t>
      </w:r>
    </w:p>
    <w:p>
      <w:pPr>
        <w:framePr w:w="3020"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区海港路 </w:t>
      </w:r>
      <w:r>
        <w:rPr>
          <w:rFonts w:ascii="Times New Roman"/>
          <w:color w:val="000000"/>
          <w:spacing w:val="0"/>
          <w:sz w:val="21"/>
        </w:rPr>
        <w:t>25</w:t>
      </w:r>
      <w:r>
        <w:rPr>
          <w:rFonts w:ascii="SKJVQB+å®ä½" w:hAnsi="SKJVQB+å®ä½" w:cs="SKJVQB+å®ä½"/>
          <w:color w:val="000000"/>
          <w:spacing w:val="0"/>
          <w:sz w:val="21"/>
        </w:rPr>
        <w:t>号</w:t>
      </w:r>
    </w:p>
    <w:p>
      <w:pPr>
        <w:framePr w:w="2209"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法定代表人：吴明理</w:t>
      </w:r>
    </w:p>
    <w:p>
      <w:pPr>
        <w:framePr w:w="2209"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联系人：王淑华</w:t>
      </w:r>
    </w:p>
    <w:p>
      <w:pPr>
        <w:framePr w:w="3020"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0535-6699660</w:t>
      </w:r>
    </w:p>
    <w:p>
      <w:pPr>
        <w:framePr w:w="3020"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0535-6699884</w:t>
      </w:r>
    </w:p>
    <w:p>
      <w:pPr>
        <w:framePr w:w="3020"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4008-311-777</w:t>
      </w:r>
    </w:p>
    <w:p>
      <w:pPr>
        <w:framePr w:w="3020"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www.yantaibank.net</w:t>
      </w:r>
    </w:p>
    <w:p>
      <w:pPr>
        <w:framePr w:w="3020" w:wrap="around" w:vAnchor="margin" w:hAnchor="text" w:x="7482" w:y="836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注册地址：上海市浦东新区银</w:t>
      </w:r>
    </w:p>
    <w:p>
      <w:pPr>
        <w:framePr w:w="3020"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8</w:t>
      </w:r>
      <w:r>
        <w:rPr>
          <w:rFonts w:ascii="SKJVQB+å®ä½" w:hAnsi="SKJVQB+å®ä½" w:cs="SKJVQB+å®ä½"/>
          <w:color w:val="000000"/>
          <w:spacing w:val="0"/>
          <w:sz w:val="21"/>
        </w:rPr>
        <w:t>号</w:t>
      </w:r>
    </w:p>
    <w:p>
      <w:pPr>
        <w:framePr w:w="2901" w:wrap="around" w:vAnchor="margin" w:hAnchor="text" w:x="4640"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上海农村商业银行股份有限</w:t>
      </w:r>
    </w:p>
    <w:p>
      <w:pPr>
        <w:framePr w:w="2901" w:wrap="around" w:vAnchor="margin" w:hAnchor="text" w:x="4640"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办公地址：上海市黄浦区中山</w:t>
      </w:r>
    </w:p>
    <w:p>
      <w:pPr>
        <w:framePr w:w="3020" w:wrap="around" w:vAnchor="margin" w:hAnchor="text" w:x="7482" w:y="1025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东二路 </w:t>
      </w:r>
      <w:r>
        <w:rPr>
          <w:rFonts w:ascii="Times New Roman"/>
          <w:color w:val="000000"/>
          <w:spacing w:val="0"/>
          <w:sz w:val="21"/>
        </w:rPr>
        <w:t>70</w:t>
      </w:r>
      <w:r>
        <w:rPr>
          <w:rFonts w:ascii="SKJVQB+å®ä½" w:hAnsi="SKJVQB+å®ä½" w:cs="SKJVQB+å®ä½"/>
          <w:color w:val="000000"/>
          <w:spacing w:val="0"/>
          <w:sz w:val="21"/>
        </w:rPr>
        <w:t>号</w:t>
      </w:r>
    </w:p>
    <w:p>
      <w:pPr>
        <w:framePr w:w="2209"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法定代表人：冀光恒</w:t>
      </w:r>
    </w:p>
    <w:p>
      <w:pPr>
        <w:framePr w:w="2209" w:wrap="around" w:vAnchor="margin" w:hAnchor="text" w:x="7482"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联系人：陈玲</w:t>
      </w:r>
    </w:p>
    <w:p>
      <w:pPr>
        <w:framePr w:w="2626" w:wrap="around" w:vAnchor="margin" w:hAnchor="text" w:x="7482" w:y="1149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021-38576830</w:t>
      </w:r>
    </w:p>
    <w:p>
      <w:pPr>
        <w:framePr w:w="2626" w:wrap="around" w:vAnchor="margin" w:hAnchor="text" w:x="7482" w:y="1149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021-962999</w:t>
      </w:r>
      <w:r>
        <w:rPr>
          <w:rFonts w:ascii="SKJVQB+å®ä½" w:hAnsi="SKJVQB+å®ä½" w:cs="SKJVQB+å®ä½"/>
          <w:color w:val="000000"/>
          <w:spacing w:val="0"/>
          <w:sz w:val="21"/>
        </w:rPr>
        <w:t>、</w:t>
      </w:r>
    </w:p>
    <w:p>
      <w:pPr>
        <w:framePr w:w="2626" w:wrap="around" w:vAnchor="margin" w:hAnchor="text" w:x="7482" w:y="11495"/>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4006962999</w:t>
      </w:r>
    </w:p>
    <w:p>
      <w:pPr>
        <w:framePr w:w="2960"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www.srcb.com</w:t>
      </w:r>
    </w:p>
    <w:p>
      <w:pPr>
        <w:framePr w:w="2960" w:wrap="around" w:vAnchor="margin" w:hAnchor="text" w:x="7482" w:y="12431"/>
        <w:widowControl w:val="0"/>
        <w:autoSpaceDE w:val="0"/>
        <w:autoSpaceDN w:val="0"/>
        <w:spacing w:before="0" w:after="0" w:line="322"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注册地址：南京市中华路 </w:t>
      </w:r>
      <w:r>
        <w:rPr>
          <w:rFonts w:ascii="Times New Roman"/>
          <w:color w:val="000000"/>
          <w:spacing w:val="0"/>
          <w:sz w:val="21"/>
        </w:rPr>
        <w:t xml:space="preserve"> 26</w:t>
      </w:r>
    </w:p>
    <w:p>
      <w:pPr>
        <w:framePr w:w="296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2418" w:wrap="around" w:vAnchor="margin" w:hAnchor="text" w:x="4640"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江苏银行股份有限公司</w:t>
      </w:r>
    </w:p>
    <w:p>
      <w:pPr>
        <w:framePr w:w="2960" w:wrap="around" w:vAnchor="margin" w:hAnchor="text" w:x="7482" w:y="1337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办公地址：南京市中华路 </w:t>
      </w:r>
      <w:r>
        <w:rPr>
          <w:rFonts w:ascii="Times New Roman"/>
          <w:color w:val="000000"/>
          <w:spacing w:val="0"/>
          <w:sz w:val="21"/>
        </w:rPr>
        <w:t xml:space="preserve"> 26</w:t>
      </w:r>
    </w:p>
    <w:p>
      <w:pPr>
        <w:framePr w:w="2960" w:wrap="around" w:vAnchor="margin" w:hAnchor="text" w:x="7482" w:y="1337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1998"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法定代表人：夏平</w:t>
      </w:r>
    </w:p>
    <w:p>
      <w:pPr>
        <w:framePr w:w="1998"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联系人：张洪玮</w:t>
      </w:r>
    </w:p>
    <w:p>
      <w:pPr>
        <w:framePr w:w="2178"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025-58587036</w:t>
      </w:r>
    </w:p>
    <w:p>
      <w:pPr>
        <w:framePr w:w="2178"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95319</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27</w:t>
      </w:r>
    </w:p>
    <w:p>
      <w:pPr>
        <w:spacing w:before="0" w:after="0" w:line="0" w:lineRule="exact"/>
        <w:ind w:left="0" w:right="0"/>
        <w:jc w:val="left"/>
        <w:rPr>
          <w:rFonts w:ascii="Arial"/>
          <w:color w:val="FF0000"/>
          <w:spacing w:val="0"/>
          <w:sz w:val="2"/>
        </w:rPr>
      </w:pPr>
      <w:r>
        <w:pict>
          <v:shape id="_x000058" o:spid="_x0000_s1084"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45" o:title=""/>
            <o:lock v:ext="edit" aspectratio="t"/>
          </v:shape>
        </w:pict>
      </w:r>
      <w:r>
        <w:pict>
          <v:shape id="_x000059" o:spid="_x0000_s1085"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4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392"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www.jsbchina.cn</w:t>
      </w:r>
    </w:p>
    <w:p>
      <w:pPr>
        <w:framePr w:w="526" w:wrap="around" w:vAnchor="margin" w:hAnchor="text" w:x="3005"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19</w:t>
      </w:r>
    </w:p>
    <w:p>
      <w:pPr>
        <w:framePr w:w="2418"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青岛银行股份有限公司</w:t>
      </w:r>
    </w:p>
    <w:p>
      <w:pPr>
        <w:framePr w:w="3020"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注册地址：山东省青岛市市南</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区香港中路 </w:t>
      </w:r>
      <w:r>
        <w:rPr>
          <w:rFonts w:ascii="Times New Roman"/>
          <w:color w:val="000000"/>
          <w:spacing w:val="0"/>
          <w:sz w:val="21"/>
        </w:rPr>
        <w:t>68</w:t>
      </w:r>
      <w:r>
        <w:rPr>
          <w:rFonts w:ascii="SKJVQB+å®ä½" w:hAnsi="SKJVQB+å®ä½" w:cs="SKJVQB+å®ä½"/>
          <w:color w:val="000000"/>
          <w:spacing w:val="0"/>
          <w:sz w:val="21"/>
        </w:rPr>
        <w:t>号华普大厦</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办公地址：山东省青岛市崂山</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区秦岭路 </w:t>
      </w:r>
      <w:r>
        <w:rPr>
          <w:rFonts w:ascii="Times New Roman"/>
          <w:color w:val="000000"/>
          <w:spacing w:val="0"/>
          <w:sz w:val="21"/>
        </w:rPr>
        <w:t>6</w:t>
      </w:r>
      <w:r>
        <w:rPr>
          <w:rFonts w:ascii="SKJVQB+å®ä½" w:hAnsi="SKJVQB+å®ä½" w:cs="SKJVQB+å®ä½"/>
          <w:color w:val="000000"/>
          <w:spacing w:val="0"/>
          <w:sz w:val="21"/>
        </w:rPr>
        <w:t>号</w:t>
      </w:r>
    </w:p>
    <w:p>
      <w:pPr>
        <w:framePr w:w="2209"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法定代表人：郭少泉</w:t>
      </w:r>
    </w:p>
    <w:p>
      <w:pPr>
        <w:framePr w:w="2209"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联系人：徐伟静</w:t>
      </w:r>
    </w:p>
    <w:p>
      <w:pPr>
        <w:framePr w:w="3100" w:wrap="around" w:vAnchor="margin" w:hAnchor="text" w:x="7482" w:y="367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0532-68629925</w:t>
      </w:r>
    </w:p>
    <w:p>
      <w:pPr>
        <w:framePr w:w="3100" w:wrap="around" w:vAnchor="margin" w:hAnchor="text" w:x="7482" w:y="36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客服电话：（青岛）</w:t>
      </w:r>
      <w:r>
        <w:rPr>
          <w:rFonts w:ascii="Times New Roman"/>
          <w:color w:val="000000"/>
          <w:spacing w:val="0"/>
          <w:sz w:val="21"/>
        </w:rPr>
        <w:t>96588</w:t>
      </w:r>
      <w:r>
        <w:rPr>
          <w:rFonts w:ascii="SKJVQB+å®ä½" w:hAnsi="SKJVQB+å®ä½" w:cs="SKJVQB+å®ä½"/>
          <w:color w:val="000000"/>
          <w:spacing w:val="0"/>
          <w:sz w:val="21"/>
        </w:rPr>
        <w:t>；（全</w:t>
      </w:r>
    </w:p>
    <w:p>
      <w:pPr>
        <w:framePr w:w="3100"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国）</w:t>
      </w:r>
      <w:r>
        <w:rPr>
          <w:rFonts w:ascii="Times New Roman"/>
          <w:color w:val="000000"/>
          <w:spacing w:val="0"/>
          <w:sz w:val="21"/>
        </w:rPr>
        <w:t>400-66-96588</w:t>
      </w:r>
    </w:p>
    <w:p>
      <w:pPr>
        <w:framePr w:w="3020"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www.qdccb.com</w:t>
      </w:r>
    </w:p>
    <w:p>
      <w:pPr>
        <w:framePr w:w="3020" w:wrap="around" w:vAnchor="margin" w:hAnchor="text" w:x="7482" w:y="460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注册地址：浙江省宁波市鄞州</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区宁南南路 </w:t>
      </w:r>
      <w:r>
        <w:rPr>
          <w:rFonts w:ascii="Times New Roman"/>
          <w:color w:val="000000"/>
          <w:spacing w:val="0"/>
          <w:sz w:val="21"/>
        </w:rPr>
        <w:t>700</w:t>
      </w:r>
      <w:r>
        <w:rPr>
          <w:rFonts w:ascii="SKJVQB+å®ä½" w:hAnsi="SKJVQB+å®ä½" w:cs="SKJVQB+å®ä½"/>
          <w:color w:val="000000"/>
          <w:spacing w:val="0"/>
          <w:sz w:val="21"/>
        </w:rPr>
        <w:t>号</w:t>
      </w:r>
    </w:p>
    <w:p>
      <w:pPr>
        <w:framePr w:w="526" w:wrap="around" w:vAnchor="margin" w:hAnchor="text" w:x="3005" w:y="492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20</w:t>
      </w:r>
    </w:p>
    <w:p>
      <w:pPr>
        <w:framePr w:w="526" w:wrap="around" w:vAnchor="margin" w:hAnchor="text" w:x="3005" w:y="4928"/>
        <w:widowControl w:val="0"/>
        <w:autoSpaceDE w:val="0"/>
        <w:autoSpaceDN w:val="0"/>
        <w:spacing w:before="0" w:after="0" w:line="2820" w:lineRule="exact"/>
        <w:ind w:left="0" w:right="0"/>
        <w:jc w:val="left"/>
        <w:rPr>
          <w:rFonts w:ascii="Times New Roman"/>
          <w:color w:val="000000"/>
          <w:spacing w:val="0"/>
          <w:sz w:val="21"/>
        </w:rPr>
      </w:pPr>
      <w:r>
        <w:rPr>
          <w:rFonts w:ascii="Times New Roman"/>
          <w:color w:val="000000"/>
          <w:spacing w:val="0"/>
          <w:sz w:val="21"/>
        </w:rPr>
        <w:t>21</w:t>
      </w:r>
    </w:p>
    <w:p>
      <w:pPr>
        <w:framePr w:w="526" w:wrap="around" w:vAnchor="margin" w:hAnchor="text" w:x="3005" w:y="4928"/>
        <w:widowControl w:val="0"/>
        <w:autoSpaceDE w:val="0"/>
        <w:autoSpaceDN w:val="0"/>
        <w:spacing w:before="0" w:after="0" w:line="2818" w:lineRule="exact"/>
        <w:ind w:left="0" w:right="0"/>
        <w:jc w:val="left"/>
        <w:rPr>
          <w:rFonts w:ascii="Times New Roman"/>
          <w:color w:val="000000"/>
          <w:spacing w:val="0"/>
          <w:sz w:val="21"/>
        </w:rPr>
      </w:pPr>
      <w:r>
        <w:rPr>
          <w:rFonts w:ascii="Times New Roman"/>
          <w:color w:val="000000"/>
          <w:spacing w:val="0"/>
          <w:sz w:val="21"/>
        </w:rPr>
        <w:t>22</w:t>
      </w:r>
    </w:p>
    <w:p>
      <w:pPr>
        <w:framePr w:w="2418" w:wrap="around" w:vAnchor="margin" w:hAnchor="text" w:x="4640" w:y="493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宁波银行股份有限公司</w:t>
      </w:r>
    </w:p>
    <w:p>
      <w:pPr>
        <w:framePr w:w="3020" w:wrap="around" w:vAnchor="margin" w:hAnchor="text" w:x="7482"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办公地址：浙江省宁波市鄞州</w:t>
      </w:r>
    </w:p>
    <w:p>
      <w:pPr>
        <w:framePr w:w="3020"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区宁东路 </w:t>
      </w:r>
      <w:r>
        <w:rPr>
          <w:rFonts w:ascii="Times New Roman"/>
          <w:color w:val="000000"/>
          <w:spacing w:val="0"/>
          <w:sz w:val="21"/>
        </w:rPr>
        <w:t>345</w:t>
      </w:r>
      <w:r>
        <w:rPr>
          <w:rFonts w:ascii="SKJVQB+å®ä½" w:hAnsi="SKJVQB+å®ä½" w:cs="SKJVQB+å®ä½"/>
          <w:color w:val="000000"/>
          <w:spacing w:val="0"/>
          <w:sz w:val="21"/>
        </w:rPr>
        <w:t>号</w:t>
      </w:r>
    </w:p>
    <w:p>
      <w:pPr>
        <w:framePr w:w="2209" w:wrap="around" w:vAnchor="margin" w:hAnchor="text" w:x="7482"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法定代表人：陆华裕</w:t>
      </w:r>
    </w:p>
    <w:p>
      <w:pPr>
        <w:framePr w:w="2209"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联系人：胡技勋</w:t>
      </w:r>
    </w:p>
    <w:p>
      <w:pPr>
        <w:framePr w:w="2747" w:wrap="around" w:vAnchor="margin" w:hAnchor="text" w:x="7482" w:y="680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0574-89068340</w:t>
      </w:r>
    </w:p>
    <w:p>
      <w:pPr>
        <w:framePr w:w="2747" w:wrap="around" w:vAnchor="margin" w:hAnchor="text" w:x="7482" w:y="680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95574</w:t>
      </w:r>
    </w:p>
    <w:p>
      <w:pPr>
        <w:framePr w:w="3020"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www.nbcb.com.cn</w:t>
      </w:r>
    </w:p>
    <w:p>
      <w:pPr>
        <w:framePr w:w="3020" w:wrap="around" w:vAnchor="margin" w:hAnchor="text" w:x="7482" w:y="742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注册地址：张家港市杨舍镇人</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民中路 </w:t>
      </w:r>
      <w:r>
        <w:rPr>
          <w:rFonts w:ascii="Times New Roman"/>
          <w:color w:val="000000"/>
          <w:spacing w:val="0"/>
          <w:sz w:val="21"/>
        </w:rPr>
        <w:t>66</w:t>
      </w:r>
      <w:r>
        <w:rPr>
          <w:rFonts w:ascii="SKJVQB+å®ä½" w:hAnsi="SKJVQB+å®ä½" w:cs="SKJVQB+å®ä½"/>
          <w:color w:val="000000"/>
          <w:spacing w:val="0"/>
          <w:sz w:val="21"/>
        </w:rPr>
        <w:t>号</w:t>
      </w:r>
    </w:p>
    <w:p>
      <w:pPr>
        <w:framePr w:w="2901" w:wrap="around" w:vAnchor="margin" w:hAnchor="text" w:x="4640" w:y="77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江苏张家港农村商业银行股</w:t>
      </w:r>
    </w:p>
    <w:p>
      <w:pPr>
        <w:framePr w:w="2901" w:wrap="around" w:vAnchor="margin" w:hAnchor="text" w:x="4640" w:y="77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份有限公司</w:t>
      </w:r>
    </w:p>
    <w:p>
      <w:pPr>
        <w:framePr w:w="3020" w:wrap="around" w:vAnchor="margin" w:hAnchor="text" w:x="7482" w:y="83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办公地址：张家港市杨舍镇人</w:t>
      </w:r>
    </w:p>
    <w:p>
      <w:pPr>
        <w:framePr w:w="3020" w:wrap="around" w:vAnchor="margin" w:hAnchor="text" w:x="7482" w:y="83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民中路 </w:t>
      </w:r>
      <w:r>
        <w:rPr>
          <w:rFonts w:ascii="Times New Roman"/>
          <w:color w:val="000000"/>
          <w:spacing w:val="0"/>
          <w:sz w:val="21"/>
        </w:rPr>
        <w:t>66</w:t>
      </w:r>
      <w:r>
        <w:rPr>
          <w:rFonts w:ascii="SKJVQB+å®ä½" w:hAnsi="SKJVQB+å®ä½" w:cs="SKJVQB+å®ä½"/>
          <w:color w:val="000000"/>
          <w:spacing w:val="0"/>
          <w:sz w:val="21"/>
        </w:rPr>
        <w:t>号</w:t>
      </w:r>
    </w:p>
    <w:p>
      <w:pPr>
        <w:framePr w:w="2209" w:wrap="around" w:vAnchor="margin" w:hAnchor="text" w:x="7482"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法定代表人：王自忠</w:t>
      </w:r>
    </w:p>
    <w:p>
      <w:pPr>
        <w:framePr w:w="2209" w:wrap="around" w:vAnchor="margin" w:hAnchor="text" w:x="7482"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联系人：施圆圆</w:t>
      </w:r>
    </w:p>
    <w:p>
      <w:pPr>
        <w:framePr w:w="3020" w:wrap="around" w:vAnchor="margin" w:hAnchor="text" w:x="7482" w:y="962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0512-56968212</w:t>
      </w:r>
    </w:p>
    <w:p>
      <w:pPr>
        <w:framePr w:w="3020" w:wrap="around" w:vAnchor="margin" w:hAnchor="text" w:x="7482" w:y="962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0512-96065</w:t>
      </w:r>
    </w:p>
    <w:p>
      <w:pPr>
        <w:framePr w:w="3020" w:wrap="around" w:vAnchor="margin" w:hAnchor="text" w:x="7482" w:y="962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www.zrcbank.com</w:t>
      </w:r>
    </w:p>
    <w:p>
      <w:pPr>
        <w:framePr w:w="3020" w:wrap="around" w:vAnchor="margin" w:hAnchor="text" w:x="7482" w:y="962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注册地址：广东省深圳市罗湖</w:t>
      </w:r>
    </w:p>
    <w:p>
      <w:pPr>
        <w:framePr w:w="3020" w:wrap="around" w:vAnchor="margin" w:hAnchor="text" w:x="7482" w:y="962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区深南东路 </w:t>
      </w:r>
      <w:r>
        <w:rPr>
          <w:rFonts w:ascii="Times New Roman"/>
          <w:color w:val="000000"/>
          <w:spacing w:val="0"/>
          <w:sz w:val="21"/>
        </w:rPr>
        <w:t>3038</w:t>
      </w:r>
      <w:r>
        <w:rPr>
          <w:rFonts w:ascii="SKJVQB+å®ä½" w:hAnsi="SKJVQB+å®ä½" w:cs="SKJVQB+å®ä½"/>
          <w:color w:val="000000"/>
          <w:spacing w:val="0"/>
          <w:sz w:val="21"/>
        </w:rPr>
        <w:t>号合作金融</w:t>
      </w:r>
    </w:p>
    <w:p>
      <w:pPr>
        <w:framePr w:w="3020" w:wrap="around" w:vAnchor="margin" w:hAnchor="text" w:x="7482" w:y="962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2901" w:wrap="around" w:vAnchor="margin" w:hAnchor="text" w:x="4640" w:y="1057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深圳农村商业银行股份有限</w:t>
      </w:r>
    </w:p>
    <w:p>
      <w:pPr>
        <w:framePr w:w="2901" w:wrap="around" w:vAnchor="margin" w:hAnchor="text" w:x="4640" w:y="1057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151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办公地址：广东省深圳市罗湖</w:t>
      </w:r>
    </w:p>
    <w:p>
      <w:pPr>
        <w:framePr w:w="3020" w:wrap="around" w:vAnchor="margin" w:hAnchor="text" w:x="7482" w:y="1151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区深南东路 </w:t>
      </w:r>
      <w:r>
        <w:rPr>
          <w:rFonts w:ascii="Times New Roman"/>
          <w:color w:val="000000"/>
          <w:spacing w:val="0"/>
          <w:sz w:val="21"/>
        </w:rPr>
        <w:t>3038</w:t>
      </w:r>
      <w:r>
        <w:rPr>
          <w:rFonts w:ascii="SKJVQB+å®ä½" w:hAnsi="SKJVQB+å®ä½" w:cs="SKJVQB+å®ä½"/>
          <w:color w:val="000000"/>
          <w:spacing w:val="0"/>
          <w:sz w:val="21"/>
        </w:rPr>
        <w:t>号合作金融</w:t>
      </w:r>
    </w:p>
    <w:p>
      <w:pPr>
        <w:framePr w:w="3020" w:wrap="around" w:vAnchor="margin" w:hAnchor="text" w:x="7482" w:y="1151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2209" w:wrap="around" w:vAnchor="margin" w:hAnchor="text" w:x="7482"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法定代表人：李光安</w:t>
      </w:r>
    </w:p>
    <w:p>
      <w:pPr>
        <w:framePr w:w="2209" w:wrap="around" w:vAnchor="margin" w:hAnchor="text" w:x="7482" w:y="124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联系人：常志勇</w:t>
      </w:r>
    </w:p>
    <w:p>
      <w:pPr>
        <w:framePr w:w="3020" w:wrap="around" w:vAnchor="margin" w:hAnchor="text" w:x="7482" w:y="1306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SKJVQB+å®ä½" w:hAnsi="SKJVQB+å®ä½" w:cs="SKJVQB+å®ä½"/>
          <w:color w:val="000000"/>
          <w:spacing w:val="0"/>
          <w:sz w:val="21"/>
        </w:rPr>
        <w:t>－</w:t>
      </w:r>
      <w:r>
        <w:rPr>
          <w:rFonts w:ascii="Times New Roman"/>
          <w:color w:val="000000"/>
          <w:spacing w:val="0"/>
          <w:sz w:val="21"/>
        </w:rPr>
        <w:t>25188781</w:t>
      </w:r>
    </w:p>
    <w:p>
      <w:pPr>
        <w:framePr w:w="3020" w:wrap="around" w:vAnchor="margin" w:hAnchor="text" w:x="7482" w:y="1306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0755-25188785</w:t>
      </w:r>
    </w:p>
    <w:p>
      <w:pPr>
        <w:framePr w:w="3020" w:wrap="around" w:vAnchor="margin" w:hAnchor="text" w:x="7482" w:y="1306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4001961200</w:t>
      </w:r>
    </w:p>
    <w:p>
      <w:pPr>
        <w:framePr w:w="3020" w:wrap="around" w:vAnchor="margin" w:hAnchor="text" w:x="7482" w:y="1306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www.4001961200.com</w:t>
      </w:r>
    </w:p>
    <w:p>
      <w:pPr>
        <w:framePr w:w="3020" w:wrap="around" w:vAnchor="margin" w:hAnchor="text" w:x="7482" w:y="1306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注册地址：广东省东莞市东城</w:t>
      </w:r>
    </w:p>
    <w:p>
      <w:pPr>
        <w:framePr w:w="3020" w:wrap="around" w:vAnchor="margin" w:hAnchor="text" w:x="7482" w:y="1306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区鸿福东路 </w:t>
      </w:r>
      <w:r>
        <w:rPr>
          <w:rFonts w:ascii="Times New Roman"/>
          <w:color w:val="000000"/>
          <w:spacing w:val="0"/>
          <w:sz w:val="21"/>
        </w:rPr>
        <w:t>2</w:t>
      </w:r>
      <w:r>
        <w:rPr>
          <w:rFonts w:ascii="SKJVQB+å®ä½" w:hAnsi="SKJVQB+å®ä½" w:cs="SKJVQB+å®ä½"/>
          <w:color w:val="000000"/>
          <w:spacing w:val="0"/>
          <w:sz w:val="21"/>
        </w:rPr>
        <w:t>号</w:t>
      </w:r>
    </w:p>
    <w:p>
      <w:pPr>
        <w:framePr w:w="526" w:wrap="around" w:vAnchor="margin" w:hAnchor="text" w:x="3005" w:y="1432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23</w:t>
      </w:r>
    </w:p>
    <w:p>
      <w:pPr>
        <w:framePr w:w="2901" w:wrap="around" w:vAnchor="margin" w:hAnchor="text" w:x="4640" w:y="1433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东莞农村商业银行股份有限</w:t>
      </w:r>
    </w:p>
    <w:p>
      <w:pPr>
        <w:framePr w:w="2901" w:wrap="around" w:vAnchor="margin" w:hAnchor="text" w:x="4640" w:y="1433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495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办公地址：东莞市东城区鸿福</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28</w:t>
      </w:r>
    </w:p>
    <w:p>
      <w:pPr>
        <w:spacing w:before="0" w:after="0" w:line="0" w:lineRule="exact"/>
        <w:ind w:left="0" w:right="0"/>
        <w:jc w:val="left"/>
        <w:rPr>
          <w:rFonts w:ascii="Arial"/>
          <w:color w:val="FF0000"/>
          <w:spacing w:val="0"/>
          <w:sz w:val="2"/>
        </w:rPr>
      </w:pPr>
      <w:r>
        <w:pict>
          <v:shape id="_x000060" o:spid="_x0000_s1086"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47" o:title=""/>
            <o:lock v:ext="edit" aspectratio="t"/>
          </v:shape>
        </w:pict>
      </w:r>
      <w:r>
        <w:pict>
          <v:shape id="_x000061" o:spid="_x0000_s1087"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4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902"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w:t>
      </w:r>
      <w:r>
        <w:rPr>
          <w:rFonts w:ascii="SKJVQB+å®ä½" w:hAnsi="SKJVQB+å®ä½" w:cs="SKJVQB+å®ä½"/>
          <w:color w:val="000000"/>
          <w:spacing w:val="0"/>
          <w:sz w:val="21"/>
        </w:rPr>
        <w:t>号东莞农商银行大厦</w:t>
      </w:r>
    </w:p>
    <w:p>
      <w:pPr>
        <w:framePr w:w="2902"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法定代表人：王耀球</w:t>
      </w:r>
    </w:p>
    <w:p>
      <w:pPr>
        <w:framePr w:w="2902"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联系人：洪晓琳</w:t>
      </w:r>
    </w:p>
    <w:p>
      <w:pPr>
        <w:framePr w:w="2553" w:wrap="around" w:vAnchor="margin" w:hAnchor="text" w:x="7482" w:y="241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0769-22866143</w:t>
      </w:r>
    </w:p>
    <w:p>
      <w:pPr>
        <w:framePr w:w="2553"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0769-22866282</w:t>
      </w:r>
    </w:p>
    <w:p>
      <w:pPr>
        <w:framePr w:w="2553"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0769-961122</w:t>
      </w:r>
    </w:p>
    <w:p>
      <w:pPr>
        <w:framePr w:w="2553"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www.drcbank.com</w:t>
      </w:r>
    </w:p>
    <w:p>
      <w:pPr>
        <w:framePr w:w="526" w:wrap="around" w:vAnchor="margin" w:hAnchor="text" w:x="3005"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24</w:t>
      </w:r>
    </w:p>
    <w:p>
      <w:pPr>
        <w:framePr w:w="2661"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哈尔滨银行股份有限公司</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注册地址：哈尔滨市道里区尚</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志大街 </w:t>
      </w:r>
      <w:r>
        <w:rPr>
          <w:rFonts w:ascii="Times New Roman"/>
          <w:color w:val="000000"/>
          <w:spacing w:val="0"/>
          <w:sz w:val="21"/>
        </w:rPr>
        <w:t>160</w:t>
      </w:r>
      <w:r>
        <w:rPr>
          <w:rFonts w:ascii="SKJVQB+å®ä½" w:hAnsi="SKJVQB+å®ä½" w:cs="SKJVQB+å®ä½"/>
          <w:color w:val="000000"/>
          <w:spacing w:val="0"/>
          <w:sz w:val="21"/>
        </w:rPr>
        <w:t>号</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办公地址：哈尔滨市道里区上</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江街 </w:t>
      </w:r>
      <w:r>
        <w:rPr>
          <w:rFonts w:ascii="Times New Roman"/>
          <w:color w:val="000000"/>
          <w:spacing w:val="0"/>
          <w:sz w:val="21"/>
        </w:rPr>
        <w:t>888</w:t>
      </w:r>
      <w:r>
        <w:rPr>
          <w:rFonts w:ascii="SKJVQB+å®ä½" w:hAnsi="SKJVQB+å®ä½" w:cs="SKJVQB+å®ä½"/>
          <w:color w:val="000000"/>
          <w:spacing w:val="0"/>
          <w:sz w:val="21"/>
        </w:rPr>
        <w:t>号</w:t>
      </w:r>
    </w:p>
    <w:p>
      <w:pPr>
        <w:framePr w:w="2209"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法定代表人：郭志文</w:t>
      </w:r>
    </w:p>
    <w:p>
      <w:pPr>
        <w:framePr w:w="2209"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联系人：李至北</w:t>
      </w:r>
    </w:p>
    <w:p>
      <w:pPr>
        <w:framePr w:w="2284"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0451-87792450</w:t>
      </w:r>
    </w:p>
    <w:p>
      <w:pPr>
        <w:framePr w:w="2284"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0451-87792682</w:t>
      </w:r>
    </w:p>
    <w:p>
      <w:pPr>
        <w:framePr w:w="2284"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95537</w:t>
      </w:r>
      <w:r>
        <w:rPr>
          <w:rFonts w:ascii="SKJVQB+å®ä½" w:hAnsi="SKJVQB+å®ä½" w:cs="SKJVQB+å®ä½"/>
          <w:color w:val="000000"/>
          <w:spacing w:val="0"/>
          <w:sz w:val="21"/>
        </w:rPr>
        <w:t>，</w:t>
      </w:r>
    </w:p>
    <w:p>
      <w:pPr>
        <w:framePr w:w="2284" w:wrap="around" w:vAnchor="margin" w:hAnchor="text" w:x="7482" w:y="5545"/>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400-60-95537</w:t>
      </w:r>
    </w:p>
    <w:p>
      <w:pPr>
        <w:framePr w:w="3020" w:wrap="around" w:vAnchor="margin" w:hAnchor="text" w:x="7482" w:y="679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www.hrbb.com.cn</w:t>
      </w:r>
    </w:p>
    <w:p>
      <w:pPr>
        <w:framePr w:w="3020" w:wrap="around" w:vAnchor="margin" w:hAnchor="text" w:x="7482" w:y="679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注册地址：乌鲁木齐市新华北</w:t>
      </w:r>
    </w:p>
    <w:p>
      <w:pPr>
        <w:framePr w:w="3020" w:wrap="around" w:vAnchor="margin" w:hAnchor="text" w:x="7482" w:y="67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w:t>
      </w:r>
      <w:r>
        <w:rPr>
          <w:rFonts w:ascii="SKJVQB+å®ä½" w:hAnsi="SKJVQB+å®ä½" w:cs="SKJVQB+å®ä½"/>
          <w:color w:val="000000"/>
          <w:spacing w:val="0"/>
          <w:sz w:val="21"/>
        </w:rPr>
        <w:t>号</w:t>
      </w:r>
    </w:p>
    <w:p>
      <w:pPr>
        <w:framePr w:w="526" w:wrap="around" w:vAnchor="margin" w:hAnchor="text" w:x="3005" w:y="711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25</w:t>
      </w:r>
    </w:p>
    <w:p>
      <w:pPr>
        <w:framePr w:w="526" w:wrap="around" w:vAnchor="margin" w:hAnchor="text" w:x="3005" w:y="7112"/>
        <w:widowControl w:val="0"/>
        <w:autoSpaceDE w:val="0"/>
        <w:autoSpaceDN w:val="0"/>
        <w:spacing w:before="0" w:after="0" w:line="3132" w:lineRule="exact"/>
        <w:ind w:left="0" w:right="0"/>
        <w:jc w:val="left"/>
        <w:rPr>
          <w:rFonts w:ascii="Times New Roman"/>
          <w:color w:val="000000"/>
          <w:spacing w:val="0"/>
          <w:sz w:val="21"/>
        </w:rPr>
      </w:pPr>
      <w:r>
        <w:rPr>
          <w:rFonts w:ascii="Times New Roman"/>
          <w:color w:val="000000"/>
          <w:spacing w:val="0"/>
          <w:sz w:val="21"/>
        </w:rPr>
        <w:t>26</w:t>
      </w:r>
    </w:p>
    <w:p>
      <w:pPr>
        <w:framePr w:w="526" w:wrap="around" w:vAnchor="margin" w:hAnchor="text" w:x="3005" w:y="7112"/>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27</w:t>
      </w:r>
    </w:p>
    <w:p>
      <w:pPr>
        <w:framePr w:w="2901" w:wrap="around" w:vAnchor="margin" w:hAnchor="text" w:x="4640"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乌鲁木齐银行股份有限公司</w:t>
      </w:r>
    </w:p>
    <w:p>
      <w:pPr>
        <w:framePr w:w="2901" w:wrap="around" w:vAnchor="margin" w:hAnchor="text" w:x="4640" w:y="7121"/>
        <w:widowControl w:val="0"/>
        <w:autoSpaceDE w:val="0"/>
        <w:autoSpaceDN w:val="0"/>
        <w:spacing w:before="0" w:after="0" w:line="313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河北银行股份有限公司</w:t>
      </w:r>
    </w:p>
    <w:p>
      <w:pPr>
        <w:framePr w:w="2901" w:wrap="around" w:vAnchor="margin" w:hAnchor="text" w:x="4640" w:y="7121"/>
        <w:widowControl w:val="0"/>
        <w:autoSpaceDE w:val="0"/>
        <w:autoSpaceDN w:val="0"/>
        <w:spacing w:before="0" w:after="0" w:line="3130"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大连银行股份有限公司</w:t>
      </w:r>
    </w:p>
    <w:p>
      <w:pPr>
        <w:framePr w:w="3020"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办公地址：乌鲁木齐市新华北</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w:t>
      </w:r>
      <w:r>
        <w:rPr>
          <w:rFonts w:ascii="SKJVQB+å®ä½" w:hAnsi="SKJVQB+å®ä½" w:cs="SKJVQB+å®ä½"/>
          <w:color w:val="000000"/>
          <w:spacing w:val="0"/>
          <w:sz w:val="21"/>
        </w:rPr>
        <w:t>号</w:t>
      </w:r>
    </w:p>
    <w:p>
      <w:pPr>
        <w:framePr w:w="1998" w:wrap="around" w:vAnchor="margin" w:hAnchor="text" w:x="7482"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法定代表人：杨黎</w:t>
      </w:r>
    </w:p>
    <w:p>
      <w:pPr>
        <w:framePr w:w="1998"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联系人：余戈</w:t>
      </w:r>
    </w:p>
    <w:p>
      <w:pPr>
        <w:framePr w:w="3020"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0991-4525212</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0991-8824667</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0991-96518</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www.uccb.com.cn</w:t>
      </w:r>
    </w:p>
    <w:p>
      <w:pPr>
        <w:framePr w:w="3020" w:wrap="around" w:vAnchor="margin" w:hAnchor="text" w:x="7482" w:y="898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注册地址：石家庄市平安北大</w:t>
      </w:r>
    </w:p>
    <w:p>
      <w:pPr>
        <w:framePr w:w="3020" w:wrap="around" w:vAnchor="margin" w:hAnchor="text" w:x="7482" w:y="8987"/>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28</w:t>
      </w:r>
      <w:r>
        <w:rPr>
          <w:rFonts w:ascii="SKJVQB+å®ä½" w:hAnsi="SKJVQB+å®ä½" w:cs="SKJVQB+å®ä½"/>
          <w:color w:val="000000"/>
          <w:spacing w:val="0"/>
          <w:sz w:val="21"/>
        </w:rPr>
        <w:t>号</w:t>
      </w:r>
    </w:p>
    <w:p>
      <w:pPr>
        <w:framePr w:w="3020"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办公地址：石家庄市平安北大</w:t>
      </w:r>
    </w:p>
    <w:p>
      <w:pPr>
        <w:framePr w:w="3020" w:wrap="around" w:vAnchor="margin" w:hAnchor="text" w:x="7482"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28</w:t>
      </w:r>
      <w:r>
        <w:rPr>
          <w:rFonts w:ascii="SKJVQB+å®ä½" w:hAnsi="SKJVQB+å®ä½" w:cs="SKJVQB+å®ä½"/>
          <w:color w:val="000000"/>
          <w:spacing w:val="0"/>
          <w:sz w:val="21"/>
        </w:rPr>
        <w:t>号</w:t>
      </w:r>
    </w:p>
    <w:p>
      <w:pPr>
        <w:framePr w:w="2209"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法定代表人：乔志强</w:t>
      </w:r>
    </w:p>
    <w:p>
      <w:pPr>
        <w:framePr w:w="2209"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联系人：郑夏芳</w:t>
      </w:r>
    </w:p>
    <w:p>
      <w:pPr>
        <w:framePr w:w="3020"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0311-67807030</w:t>
      </w:r>
    </w:p>
    <w:p>
      <w:pPr>
        <w:framePr w:w="3020"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0311-88627027</w:t>
      </w:r>
    </w:p>
    <w:p>
      <w:pPr>
        <w:framePr w:w="3020"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400-612-9999</w:t>
      </w:r>
    </w:p>
    <w:p>
      <w:pPr>
        <w:framePr w:w="3020"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www.hebbank.com</w:t>
      </w:r>
    </w:p>
    <w:p>
      <w:pPr>
        <w:framePr w:w="3020" w:wrap="around" w:vAnchor="margin" w:hAnchor="text" w:x="7482" w:y="1211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注册地址：大连市中山区中山</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号天安国际大厦</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办公地址：大连市中山区中山</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号天安国际大厦</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法定代表人：陈占维</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联系人：朱珠</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29</w:t>
      </w:r>
    </w:p>
    <w:p>
      <w:pPr>
        <w:spacing w:before="0" w:after="0" w:line="0" w:lineRule="exact"/>
        <w:ind w:left="0" w:right="0"/>
        <w:jc w:val="left"/>
        <w:rPr>
          <w:rFonts w:ascii="Arial"/>
          <w:color w:val="FF0000"/>
          <w:spacing w:val="0"/>
          <w:sz w:val="2"/>
        </w:rPr>
      </w:pPr>
      <w:r>
        <w:pict>
          <v:shape id="_x000062" o:spid="_x0000_s1088"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49" o:title=""/>
            <o:lock v:ext="edit" aspectratio="t"/>
          </v:shape>
        </w:pict>
      </w:r>
      <w:r>
        <w:pict>
          <v:shape id="_x000063" o:spid="_x0000_s1089"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5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633"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0411-82311131</w:t>
      </w:r>
    </w:p>
    <w:p>
      <w:pPr>
        <w:framePr w:w="2633"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0411-82311731</w:t>
      </w:r>
    </w:p>
    <w:p>
      <w:pPr>
        <w:framePr w:w="2633"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400-664-0099</w:t>
      </w:r>
    </w:p>
    <w:p>
      <w:pPr>
        <w:framePr w:w="2633"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www.bankofdl.com</w:t>
      </w:r>
    </w:p>
    <w:p>
      <w:pPr>
        <w:framePr w:w="526" w:wrap="around" w:vAnchor="margin" w:hAnchor="text" w:x="3005" w:y="273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28</w:t>
      </w:r>
    </w:p>
    <w:p>
      <w:pPr>
        <w:framePr w:w="2418" w:wrap="around" w:vAnchor="margin" w:hAnchor="text" w:x="4640"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徽商银行股份有限公司</w:t>
      </w:r>
    </w:p>
    <w:p>
      <w:pPr>
        <w:framePr w:w="2960"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注册地址：安徽合肥安庆路</w:t>
      </w:r>
    </w:p>
    <w:p>
      <w:pPr>
        <w:framePr w:w="296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79</w:t>
      </w:r>
      <w:r>
        <w:rPr>
          <w:rFonts w:ascii="SKJVQB+å®ä½" w:hAnsi="SKJVQB+å®ä½" w:cs="SKJVQB+å®ä½"/>
          <w:color w:val="000000"/>
          <w:spacing w:val="0"/>
          <w:sz w:val="21"/>
        </w:rPr>
        <w:t xml:space="preserve">号天徽大厦  </w:t>
      </w:r>
      <w:r>
        <w:rPr>
          <w:rFonts w:ascii="Times New Roman"/>
          <w:color w:val="000000"/>
          <w:spacing w:val="0"/>
          <w:sz w:val="21"/>
        </w:rPr>
        <w:t>A</w:t>
      </w:r>
      <w:r>
        <w:rPr>
          <w:rFonts w:ascii="SKJVQB+å®ä½" w:hAnsi="SKJVQB+å®ä½" w:cs="SKJVQB+å®ä½"/>
          <w:color w:val="000000"/>
          <w:spacing w:val="0"/>
          <w:sz w:val="21"/>
        </w:rPr>
        <w:t>座</w:t>
      </w:r>
    </w:p>
    <w:p>
      <w:pPr>
        <w:framePr w:w="2960" w:wrap="around" w:vAnchor="margin" w:hAnchor="text" w:x="7482" w:y="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办公地址：合肥市安庆路 </w:t>
      </w:r>
      <w:r>
        <w:rPr>
          <w:rFonts w:ascii="Times New Roman"/>
          <w:color w:val="000000"/>
          <w:spacing w:val="0"/>
          <w:sz w:val="21"/>
        </w:rPr>
        <w:t xml:space="preserve"> 79</w:t>
      </w:r>
    </w:p>
    <w:p>
      <w:pPr>
        <w:framePr w:w="296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号天徽大厦 </w:t>
      </w:r>
      <w:r>
        <w:rPr>
          <w:rFonts w:ascii="Times New Roman"/>
          <w:color w:val="000000"/>
          <w:spacing w:val="0"/>
          <w:sz w:val="21"/>
        </w:rPr>
        <w:t>A</w:t>
      </w:r>
      <w:r>
        <w:rPr>
          <w:rFonts w:ascii="SKJVQB+å®ä½" w:hAnsi="SKJVQB+å®ä½" w:cs="SKJVQB+å®ä½"/>
          <w:color w:val="000000"/>
          <w:spacing w:val="0"/>
          <w:sz w:val="21"/>
        </w:rPr>
        <w:t>座</w:t>
      </w:r>
    </w:p>
    <w:p>
      <w:pPr>
        <w:framePr w:w="2209"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法定代表人：李宏鸣</w:t>
      </w:r>
    </w:p>
    <w:p>
      <w:pPr>
        <w:framePr w:w="2209"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联系人：叶卓伟</w:t>
      </w:r>
    </w:p>
    <w:p>
      <w:pPr>
        <w:framePr w:w="3020"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0551-62667635</w:t>
      </w:r>
    </w:p>
    <w:p>
      <w:pPr>
        <w:framePr w:w="3020"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0551-62667684</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4008896588(</w:t>
      </w:r>
      <w:r>
        <w:rPr>
          <w:rFonts w:ascii="SKJVQB+å®ä½" w:hAnsi="SKJVQB+å®ä½" w:cs="SKJVQB+å®ä½"/>
          <w:color w:val="000000"/>
          <w:spacing w:val="0"/>
          <w:sz w:val="21"/>
        </w:rPr>
        <w:t>安徽</w:t>
      </w:r>
    </w:p>
    <w:p>
      <w:pPr>
        <w:framePr w:w="3020"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省外</w:t>
      </w:r>
      <w:r>
        <w:rPr>
          <w:rFonts w:ascii="Times New Roman"/>
          <w:color w:val="000000"/>
          <w:spacing w:val="0"/>
          <w:sz w:val="21"/>
        </w:rPr>
        <w:t>)</w:t>
      </w:r>
      <w:r>
        <w:rPr>
          <w:rFonts w:ascii="SKJVQB+å®ä½" w:hAnsi="SKJVQB+å®ä½" w:cs="SKJVQB+å®ä½"/>
          <w:color w:val="000000"/>
          <w:spacing w:val="0"/>
          <w:sz w:val="21"/>
        </w:rPr>
        <w:t>、</w:t>
      </w:r>
      <w:r>
        <w:rPr>
          <w:rFonts w:ascii="Times New Roman"/>
          <w:color w:val="000000"/>
          <w:spacing w:val="0"/>
          <w:sz w:val="21"/>
        </w:rPr>
        <w:t>96588(</w:t>
      </w:r>
      <w:r>
        <w:rPr>
          <w:rFonts w:ascii="SKJVQB+å®ä½" w:hAnsi="SKJVQB+å®ä½" w:cs="SKJVQB+å®ä½"/>
          <w:color w:val="000000"/>
          <w:spacing w:val="0"/>
          <w:sz w:val="21"/>
        </w:rPr>
        <w:t>安徽省内</w:t>
      </w:r>
      <w:r>
        <w:rPr>
          <w:rFonts w:ascii="Times New Roman"/>
          <w:color w:val="000000"/>
          <w:spacing w:val="0"/>
          <w:sz w:val="21"/>
        </w:rPr>
        <w:t>)</w:t>
      </w:r>
    </w:p>
    <w:p>
      <w:pPr>
        <w:framePr w:w="3020"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www.hsbank.com.cn</w:t>
      </w:r>
    </w:p>
    <w:p>
      <w:pPr>
        <w:framePr w:w="3020" w:wrap="around" w:vAnchor="margin" w:hAnchor="text" w:x="7482" w:y="460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注册地址：佛山市顺德区大良</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德和居委会拥翠路 </w:t>
      </w:r>
      <w:r>
        <w:rPr>
          <w:rFonts w:ascii="Times New Roman"/>
          <w:color w:val="000000"/>
          <w:spacing w:val="0"/>
          <w:sz w:val="21"/>
        </w:rPr>
        <w:t>2</w:t>
      </w:r>
      <w:r>
        <w:rPr>
          <w:rFonts w:ascii="SKJVQB+å®ä½" w:hAnsi="SKJVQB+å®ä½" w:cs="SKJVQB+å®ä½"/>
          <w:color w:val="000000"/>
          <w:spacing w:val="0"/>
          <w:sz w:val="21"/>
        </w:rPr>
        <w:t>号</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办公地址：佛山市顺德区大良</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德和居委会拥翠路 </w:t>
      </w:r>
      <w:r>
        <w:rPr>
          <w:rFonts w:ascii="Times New Roman"/>
          <w:color w:val="000000"/>
          <w:spacing w:val="0"/>
          <w:sz w:val="21"/>
        </w:rPr>
        <w:t>2</w:t>
      </w:r>
      <w:r>
        <w:rPr>
          <w:rFonts w:ascii="SKJVQB+å®ä½" w:hAnsi="SKJVQB+å®ä½" w:cs="SKJVQB+å®ä½"/>
          <w:color w:val="000000"/>
          <w:spacing w:val="0"/>
          <w:sz w:val="21"/>
        </w:rPr>
        <w:t>号</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法定代表人：姚真勇</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联系人：陈素莹</w:t>
      </w:r>
    </w:p>
    <w:p>
      <w:pPr>
        <w:framePr w:w="526" w:wrap="around" w:vAnchor="margin" w:hAnchor="text" w:x="3005" w:y="61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29</w:t>
      </w:r>
    </w:p>
    <w:p>
      <w:pPr>
        <w:framePr w:w="2901" w:wrap="around" w:vAnchor="margin" w:hAnchor="text" w:x="4640"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广东顺德农村商业银行股份</w:t>
      </w:r>
    </w:p>
    <w:p>
      <w:pPr>
        <w:framePr w:w="2901" w:wrap="around" w:vAnchor="margin" w:hAnchor="text" w:x="4640"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3020" w:wrap="around" w:vAnchor="margin" w:hAnchor="text" w:x="7482" w:y="80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0757-22385879</w:t>
      </w:r>
    </w:p>
    <w:p>
      <w:pPr>
        <w:framePr w:w="3020"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0757-22388235</w:t>
      </w:r>
    </w:p>
    <w:p>
      <w:pPr>
        <w:framePr w:w="3020"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0757-22223388</w:t>
      </w:r>
    </w:p>
    <w:p>
      <w:pPr>
        <w:framePr w:w="3020"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www.sdebank.com</w:t>
      </w:r>
    </w:p>
    <w:p>
      <w:pPr>
        <w:framePr w:w="3020" w:wrap="around" w:vAnchor="margin" w:hAnchor="text" w:x="7482" w:y="805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注册地址：天津市河西区友谊</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SKJVQB+å®ä½" w:hAnsi="SKJVQB+å®ä½" w:cs="SKJVQB+å®ä½"/>
          <w:color w:val="000000"/>
          <w:spacing w:val="0"/>
          <w:sz w:val="21"/>
        </w:rPr>
        <w:t>号</w:t>
      </w:r>
    </w:p>
    <w:p>
      <w:pPr>
        <w:framePr w:w="526" w:wrap="around" w:vAnchor="margin" w:hAnchor="text" w:x="3005" w:y="930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30</w:t>
      </w:r>
    </w:p>
    <w:p>
      <w:pPr>
        <w:framePr w:w="2418" w:wrap="around" w:vAnchor="margin" w:hAnchor="text" w:x="4640"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天津银行股份有限公司</w:t>
      </w:r>
    </w:p>
    <w:p>
      <w:pPr>
        <w:framePr w:w="3020"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办公地址：天津市河西区友谊</w:t>
      </w:r>
    </w:p>
    <w:p>
      <w:pPr>
        <w:framePr w:w="3020" w:wrap="around" w:vAnchor="margin" w:hAnchor="text" w:x="7482" w:y="994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SKJVQB+å®ä½" w:hAnsi="SKJVQB+å®ä½" w:cs="SKJVQB+å®ä½"/>
          <w:color w:val="000000"/>
          <w:spacing w:val="0"/>
          <w:sz w:val="21"/>
        </w:rPr>
        <w:t>号</w:t>
      </w:r>
    </w:p>
    <w:p>
      <w:pPr>
        <w:framePr w:w="2209"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法定代表人：李宗唐</w:t>
      </w:r>
    </w:p>
    <w:p>
      <w:pPr>
        <w:framePr w:w="2209" w:wrap="around" w:vAnchor="margin" w:hAnchor="text" w:x="7482"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联系人：李岩</w:t>
      </w:r>
    </w:p>
    <w:p>
      <w:pPr>
        <w:framePr w:w="2504"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022-28405684</w:t>
      </w:r>
    </w:p>
    <w:p>
      <w:pPr>
        <w:framePr w:w="2504"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022-28405631</w:t>
      </w:r>
    </w:p>
    <w:p>
      <w:pPr>
        <w:framePr w:w="2504"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4006-960296</w:t>
      </w:r>
    </w:p>
    <w:p>
      <w:pPr>
        <w:framePr w:w="2504"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242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www.bank-of-tianjin.com</w:t>
      </w:r>
    </w:p>
    <w:p>
      <w:pPr>
        <w:framePr w:w="3020" w:wrap="around" w:vAnchor="margin" w:hAnchor="text" w:x="7482" w:y="1242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注册地址：内蒙古包头市青山</w:t>
      </w:r>
    </w:p>
    <w:p>
      <w:pPr>
        <w:framePr w:w="3020" w:wrap="around" w:vAnchor="margin" w:hAnchor="text" w:x="7482" w:y="124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区钢铁大街 </w:t>
      </w:r>
      <w:r>
        <w:rPr>
          <w:rFonts w:ascii="Times New Roman"/>
          <w:color w:val="000000"/>
          <w:spacing w:val="0"/>
          <w:sz w:val="21"/>
        </w:rPr>
        <w:t>6</w:t>
      </w:r>
      <w:r>
        <w:rPr>
          <w:rFonts w:ascii="SKJVQB+å®ä½" w:hAnsi="SKJVQB+å®ä½" w:cs="SKJVQB+å®ä½"/>
          <w:color w:val="000000"/>
          <w:spacing w:val="0"/>
          <w:sz w:val="21"/>
        </w:rPr>
        <w:t>号</w:t>
      </w:r>
    </w:p>
    <w:p>
      <w:pPr>
        <w:framePr w:w="526" w:wrap="around" w:vAnchor="margin" w:hAnchor="text" w:x="3005" w:y="1275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31</w:t>
      </w:r>
    </w:p>
    <w:p>
      <w:pPr>
        <w:framePr w:w="2418" w:wrap="around" w:vAnchor="margin" w:hAnchor="text" w:x="4640"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包商银行股份有限公司</w:t>
      </w:r>
    </w:p>
    <w:p>
      <w:pPr>
        <w:framePr w:w="3020" w:wrap="around" w:vAnchor="margin" w:hAnchor="text" w:x="7482"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办公地址：内蒙古包头市青山</w:t>
      </w:r>
    </w:p>
    <w:p>
      <w:pPr>
        <w:framePr w:w="3020" w:wrap="around" w:vAnchor="margin" w:hAnchor="text" w:x="7482" w:y="133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区钢铁大街 </w:t>
      </w:r>
      <w:r>
        <w:rPr>
          <w:rFonts w:ascii="Times New Roman"/>
          <w:color w:val="000000"/>
          <w:spacing w:val="0"/>
          <w:sz w:val="21"/>
        </w:rPr>
        <w:t>6</w:t>
      </w:r>
      <w:r>
        <w:rPr>
          <w:rFonts w:ascii="SKJVQB+å®ä½" w:hAnsi="SKJVQB+å®ä½" w:cs="SKJVQB+å®ä½"/>
          <w:color w:val="000000"/>
          <w:spacing w:val="0"/>
          <w:sz w:val="21"/>
        </w:rPr>
        <w:t>号</w:t>
      </w:r>
    </w:p>
    <w:p>
      <w:pPr>
        <w:framePr w:w="2209"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法定代表人：李镇西</w:t>
      </w:r>
    </w:p>
    <w:p>
      <w:pPr>
        <w:framePr w:w="2209"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联系人：张晶</w:t>
      </w:r>
    </w:p>
    <w:p>
      <w:pPr>
        <w:framePr w:w="2626"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0472-5189165</w:t>
      </w:r>
    </w:p>
    <w:p>
      <w:pPr>
        <w:framePr w:w="2626"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010-64596546</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30</w:t>
      </w:r>
    </w:p>
    <w:p>
      <w:pPr>
        <w:spacing w:before="0" w:after="0" w:line="0" w:lineRule="exact"/>
        <w:ind w:left="0" w:right="0"/>
        <w:jc w:val="left"/>
        <w:rPr>
          <w:rFonts w:ascii="Arial"/>
          <w:color w:val="FF0000"/>
          <w:spacing w:val="0"/>
          <w:sz w:val="2"/>
        </w:rPr>
      </w:pPr>
      <w:r>
        <w:pict>
          <v:shape id="_x000064" o:spid="_x0000_s109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51" o:title=""/>
            <o:lock v:ext="edit" aspectratio="t"/>
          </v:shape>
        </w:pict>
      </w:r>
      <w:r>
        <w:pict>
          <v:shape id="_x000065" o:spid="_x0000_s1091"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5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894"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95352</w:t>
      </w:r>
    </w:p>
    <w:p>
      <w:pPr>
        <w:framePr w:w="2397"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www.bsb.com.cn</w:t>
      </w:r>
    </w:p>
    <w:p>
      <w:pPr>
        <w:framePr w:w="526" w:wrap="around" w:vAnchor="margin" w:hAnchor="text" w:x="3005" w:y="21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32</w:t>
      </w:r>
    </w:p>
    <w:p>
      <w:pPr>
        <w:framePr w:w="2901" w:wrap="around" w:vAnchor="margin" w:hAnchor="text" w:x="4640"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广州农村商业银行股份有限</w:t>
      </w:r>
    </w:p>
    <w:p>
      <w:pPr>
        <w:framePr w:w="2901" w:wrap="around" w:vAnchor="margin" w:hAnchor="text" w:x="4640"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新城华夏路 </w:t>
      </w:r>
      <w:r>
        <w:rPr>
          <w:rFonts w:ascii="Times New Roman"/>
          <w:color w:val="000000"/>
          <w:spacing w:val="0"/>
          <w:sz w:val="21"/>
        </w:rPr>
        <w:t>1</w:t>
      </w:r>
      <w:r>
        <w:rPr>
          <w:rFonts w:ascii="SKJVQB+å®ä½" w:hAnsi="SKJVQB+å®ä½" w:cs="SKJVQB+å®ä½"/>
          <w:color w:val="000000"/>
          <w:spacing w:val="0"/>
          <w:sz w:val="21"/>
        </w:rPr>
        <w:t>号</w:t>
      </w:r>
    </w:p>
    <w:p>
      <w:pPr>
        <w:framePr w:w="3020"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新城华夏路 </w:t>
      </w:r>
      <w:r>
        <w:rPr>
          <w:rFonts w:ascii="Times New Roman"/>
          <w:color w:val="000000"/>
          <w:spacing w:val="0"/>
          <w:sz w:val="21"/>
        </w:rPr>
        <w:t>1</w:t>
      </w:r>
      <w:r>
        <w:rPr>
          <w:rFonts w:ascii="SKJVQB+å®ä½" w:hAnsi="SKJVQB+å®ä½" w:cs="SKJVQB+å®ä½"/>
          <w:color w:val="000000"/>
          <w:spacing w:val="0"/>
          <w:sz w:val="21"/>
        </w:rPr>
        <w:t>号</w:t>
      </w:r>
    </w:p>
    <w:p>
      <w:pPr>
        <w:framePr w:w="2209"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法定代表人：王继康</w:t>
      </w:r>
    </w:p>
    <w:p>
      <w:pPr>
        <w:framePr w:w="2209"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联系人：刘强</w:t>
      </w:r>
    </w:p>
    <w:p>
      <w:pPr>
        <w:framePr w:w="2178" w:wrap="around" w:vAnchor="margin" w:hAnchor="text" w:x="7482" w:y="398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020-22389067</w:t>
      </w:r>
    </w:p>
    <w:p>
      <w:pPr>
        <w:framePr w:w="2178" w:wrap="around" w:vAnchor="margin" w:hAnchor="text" w:x="7482" w:y="398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020-22389031</w:t>
      </w:r>
    </w:p>
    <w:p>
      <w:pPr>
        <w:framePr w:w="2178" w:wrap="around" w:vAnchor="margin" w:hAnchor="text" w:x="7482" w:y="3984"/>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95313</w:t>
      </w:r>
    </w:p>
    <w:p>
      <w:pPr>
        <w:framePr w:w="3020"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www.grcbank.com</w:t>
      </w:r>
    </w:p>
    <w:p>
      <w:pPr>
        <w:framePr w:w="3020" w:wrap="around" w:vAnchor="margin" w:hAnchor="text" w:x="7482" w:y="492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注册地址：广东省珠海市吉大</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九洲大道东 </w:t>
      </w:r>
      <w:r>
        <w:rPr>
          <w:rFonts w:ascii="Times New Roman"/>
          <w:color w:val="000000"/>
          <w:spacing w:val="0"/>
          <w:sz w:val="21"/>
        </w:rPr>
        <w:t>1346</w:t>
      </w:r>
      <w:r>
        <w:rPr>
          <w:rFonts w:ascii="SKJVQB+å®ä½" w:hAnsi="SKJVQB+å®ä½" w:cs="SKJVQB+å®ä½"/>
          <w:color w:val="000000"/>
          <w:spacing w:val="0"/>
          <w:sz w:val="21"/>
        </w:rPr>
        <w:t>号</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办公地址：广东省珠海市吉大</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九洲大道东 </w:t>
      </w:r>
      <w:r>
        <w:rPr>
          <w:rFonts w:ascii="Times New Roman"/>
          <w:color w:val="000000"/>
          <w:spacing w:val="0"/>
          <w:sz w:val="21"/>
        </w:rPr>
        <w:t>1346</w:t>
      </w:r>
      <w:r>
        <w:rPr>
          <w:rFonts w:ascii="SKJVQB+å®ä½" w:hAnsi="SKJVQB+å®ä½" w:cs="SKJVQB+å®ä½"/>
          <w:color w:val="000000"/>
          <w:spacing w:val="0"/>
          <w:sz w:val="21"/>
        </w:rPr>
        <w:t>号</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法定代表人：刘晓勇</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联系人：李阳</w:t>
      </w:r>
    </w:p>
    <w:p>
      <w:pPr>
        <w:framePr w:w="526" w:wrap="around" w:vAnchor="margin" w:hAnchor="text" w:x="3005" w:y="524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33</w:t>
      </w:r>
    </w:p>
    <w:p>
      <w:pPr>
        <w:framePr w:w="2901" w:wrap="around" w:vAnchor="margin" w:hAnchor="text" w:x="4640" w:y="524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珠海华润银行股份有限公司</w:t>
      </w:r>
    </w:p>
    <w:p>
      <w:pPr>
        <w:framePr w:w="2863" w:wrap="around" w:vAnchor="margin" w:hAnchor="text" w:x="7482" w:y="7114"/>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96588(</w:t>
      </w:r>
      <w:r>
        <w:rPr>
          <w:rFonts w:ascii="SKJVQB+å®ä½" w:hAnsi="SKJVQB+å®ä½" w:cs="SKJVQB+å®ä½"/>
          <w:color w:val="000000"/>
          <w:spacing w:val="0"/>
          <w:sz w:val="21"/>
        </w:rPr>
        <w:t>广东省外加拨</w:t>
      </w:r>
    </w:p>
    <w:p>
      <w:pPr>
        <w:framePr w:w="2863" w:wrap="around" w:vAnchor="margin" w:hAnchor="text" w:x="7482" w:y="7114"/>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0756)</w:t>
      </w:r>
    </w:p>
    <w:p>
      <w:pPr>
        <w:framePr w:w="1054"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w:t>
      </w:r>
    </w:p>
    <w:p>
      <w:pPr>
        <w:framePr w:w="3101" w:wrap="around" w:vAnchor="margin" w:hAnchor="text" w:x="7482" w:y="8051"/>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96588(</w:t>
      </w:r>
      <w:r>
        <w:rPr>
          <w:rFonts w:ascii="SKJVQB+å®ä½" w:hAnsi="SKJVQB+å®ä½" w:cs="SKJVQB+å®ä½"/>
          <w:color w:val="000000"/>
          <w:spacing w:val="0"/>
          <w:sz w:val="21"/>
        </w:rPr>
        <w:t>广东省外加</w:t>
      </w:r>
    </w:p>
    <w:p>
      <w:pPr>
        <w:framePr w:w="3101"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拨 </w:t>
      </w:r>
      <w:r>
        <w:rPr>
          <w:rFonts w:ascii="Times New Roman"/>
          <w:color w:val="000000"/>
          <w:spacing w:val="0"/>
          <w:sz w:val="21"/>
        </w:rPr>
        <w:t>0756)</w:t>
      </w:r>
      <w:r>
        <w:rPr>
          <w:rFonts w:ascii="SKJVQB+å®ä½" w:hAnsi="SKJVQB+å®ä½" w:cs="SKJVQB+å®ä½"/>
          <w:color w:val="000000"/>
          <w:spacing w:val="0"/>
          <w:sz w:val="21"/>
        </w:rPr>
        <w:t>，</w:t>
      </w:r>
      <w:r>
        <w:rPr>
          <w:rFonts w:ascii="Times New Roman"/>
          <w:color w:val="000000"/>
          <w:spacing w:val="0"/>
          <w:sz w:val="21"/>
        </w:rPr>
        <w:t>4008800338</w:t>
      </w:r>
    </w:p>
    <w:p>
      <w:pPr>
        <w:framePr w:w="3101"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www.crbank.com.cn</w:t>
      </w:r>
    </w:p>
    <w:p>
      <w:pPr>
        <w:framePr w:w="3101" w:wrap="around" w:vAnchor="margin" w:hAnchor="text" w:x="7482" w:y="805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注册地址：常州市天宁区延宁</w:t>
      </w:r>
    </w:p>
    <w:p>
      <w:pPr>
        <w:framePr w:w="3101"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668</w:t>
      </w:r>
      <w:r>
        <w:rPr>
          <w:rFonts w:ascii="SKJVQB+å®ä½" w:hAnsi="SKJVQB+å®ä½" w:cs="SKJVQB+å®ä½"/>
          <w:color w:val="000000"/>
          <w:spacing w:val="0"/>
          <w:sz w:val="21"/>
        </w:rPr>
        <w:t>号</w:t>
      </w:r>
    </w:p>
    <w:p>
      <w:pPr>
        <w:framePr w:w="526" w:wrap="around" w:vAnchor="margin" w:hAnchor="text" w:x="3005" w:y="89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34</w:t>
      </w:r>
    </w:p>
    <w:p>
      <w:pPr>
        <w:framePr w:w="2901" w:wrap="around" w:vAnchor="margin" w:hAnchor="text" w:x="4640"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江苏江南农村商业银行股份</w:t>
      </w:r>
    </w:p>
    <w:p>
      <w:pPr>
        <w:framePr w:w="2901" w:wrap="around" w:vAnchor="margin" w:hAnchor="text" w:x="4640"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3020"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办公地址：常州市天宁区延宁</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668</w:t>
      </w:r>
      <w:r>
        <w:rPr>
          <w:rFonts w:ascii="SKJVQB+å®ä½" w:hAnsi="SKJVQB+å®ä½" w:cs="SKJVQB+å®ä½"/>
          <w:color w:val="000000"/>
          <w:spacing w:val="0"/>
          <w:sz w:val="21"/>
        </w:rPr>
        <w:t>号</w:t>
      </w:r>
    </w:p>
    <w:p>
      <w:pPr>
        <w:framePr w:w="2209" w:wrap="around" w:vAnchor="margin" w:hAnchor="text" w:x="7482"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法定代表人：陆向阳</w:t>
      </w:r>
    </w:p>
    <w:p>
      <w:pPr>
        <w:framePr w:w="2209" w:wrap="around" w:vAnchor="margin" w:hAnchor="text" w:x="7482" w:y="1025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联系人：包静</w:t>
      </w:r>
    </w:p>
    <w:p>
      <w:pPr>
        <w:framePr w:w="2284" w:wrap="around" w:vAnchor="margin" w:hAnchor="text" w:x="7482" w:y="108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0519-80585939</w:t>
      </w:r>
    </w:p>
    <w:p>
      <w:pPr>
        <w:framePr w:w="2284"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0519-89995066</w:t>
      </w:r>
    </w:p>
    <w:p>
      <w:pPr>
        <w:framePr w:w="2284"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96005</w:t>
      </w:r>
    </w:p>
    <w:p>
      <w:pPr>
        <w:framePr w:w="3020" w:wrap="around" w:vAnchor="margin" w:hAnchor="text" w:x="7482" w:y="1180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www.jnbank.cc</w:t>
      </w:r>
    </w:p>
    <w:p>
      <w:pPr>
        <w:framePr w:w="3020" w:wrap="around" w:vAnchor="margin" w:hAnchor="text" w:x="7482" w:y="1180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注册地址：吉林省长春市东南</w:t>
      </w:r>
    </w:p>
    <w:p>
      <w:pPr>
        <w:framePr w:w="302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湖大路 </w:t>
      </w:r>
      <w:r>
        <w:rPr>
          <w:rFonts w:ascii="Times New Roman"/>
          <w:color w:val="000000"/>
          <w:spacing w:val="0"/>
          <w:sz w:val="21"/>
        </w:rPr>
        <w:t>1817</w:t>
      </w:r>
      <w:r>
        <w:rPr>
          <w:rFonts w:ascii="SKJVQB+å®ä½" w:hAnsi="SKJVQB+å®ä½" w:cs="SKJVQB+å®ä½"/>
          <w:color w:val="000000"/>
          <w:spacing w:val="0"/>
          <w:sz w:val="21"/>
        </w:rPr>
        <w:t>号</w:t>
      </w:r>
    </w:p>
    <w:p>
      <w:pPr>
        <w:framePr w:w="526" w:wrap="around" w:vAnchor="margin" w:hAnchor="text" w:x="3005" w:y="1212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35</w:t>
      </w:r>
    </w:p>
    <w:p>
      <w:pPr>
        <w:framePr w:w="2418" w:wrap="around" w:vAnchor="margin" w:hAnchor="text" w:x="4640"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吉林银行股份有限公司</w:t>
      </w:r>
    </w:p>
    <w:p>
      <w:pPr>
        <w:framePr w:w="3020" w:wrap="around" w:vAnchor="margin" w:hAnchor="text" w:x="7482"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办公地址：吉林省长春市东南</w:t>
      </w:r>
    </w:p>
    <w:p>
      <w:pPr>
        <w:framePr w:w="3020" w:wrap="around" w:vAnchor="margin" w:hAnchor="text" w:x="7482" w:y="1276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湖大路 </w:t>
      </w:r>
      <w:r>
        <w:rPr>
          <w:rFonts w:ascii="Times New Roman"/>
          <w:color w:val="000000"/>
          <w:spacing w:val="0"/>
          <w:sz w:val="21"/>
        </w:rPr>
        <w:t>1817</w:t>
      </w:r>
      <w:r>
        <w:rPr>
          <w:rFonts w:ascii="SKJVQB+å®ä½" w:hAnsi="SKJVQB+å®ä½" w:cs="SKJVQB+å®ä½"/>
          <w:color w:val="000000"/>
          <w:spacing w:val="0"/>
          <w:sz w:val="21"/>
        </w:rPr>
        <w:t>号</w:t>
      </w:r>
    </w:p>
    <w:p>
      <w:pPr>
        <w:framePr w:w="2209" w:wrap="around" w:vAnchor="margin" w:hAnchor="text" w:x="7482"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法定代表人：张宝祥</w:t>
      </w:r>
    </w:p>
    <w:p>
      <w:pPr>
        <w:framePr w:w="2209" w:wrap="around" w:vAnchor="margin" w:hAnchor="text" w:x="7482" w:y="133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联系人：孙琦</w:t>
      </w:r>
    </w:p>
    <w:p>
      <w:pPr>
        <w:framePr w:w="2912" w:wrap="around" w:vAnchor="margin" w:hAnchor="text" w:x="7482" w:y="1400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0431-84999627</w:t>
      </w:r>
    </w:p>
    <w:p>
      <w:pPr>
        <w:framePr w:w="2912" w:wrap="around" w:vAnchor="margin" w:hAnchor="text" w:x="7482" w:y="1400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0431-84992649</w:t>
      </w:r>
    </w:p>
    <w:p>
      <w:pPr>
        <w:framePr w:w="2912" w:wrap="around" w:vAnchor="margin" w:hAnchor="text" w:x="7482" w:y="1400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400-88-96666(</w:t>
      </w:r>
      <w:r>
        <w:rPr>
          <w:rFonts w:ascii="SKJVQB+å®ä½" w:hAnsi="SKJVQB+å®ä½" w:cs="SKJVQB+å®ä½"/>
          <w:color w:val="000000"/>
          <w:spacing w:val="0"/>
          <w:sz w:val="21"/>
        </w:rPr>
        <w:t>全</w:t>
      </w:r>
    </w:p>
    <w:p>
      <w:pPr>
        <w:framePr w:w="2912" w:wrap="around" w:vAnchor="margin" w:hAnchor="text" w:x="7482" w:y="1400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国</w:t>
      </w:r>
      <w:r>
        <w:rPr>
          <w:rFonts w:ascii="Times New Roman"/>
          <w:color w:val="000000"/>
          <w:spacing w:val="0"/>
          <w:sz w:val="21"/>
        </w:rPr>
        <w:t>)</w:t>
      </w:r>
      <w:r>
        <w:rPr>
          <w:rFonts w:ascii="SKJVQB+å®ä½" w:hAnsi="SKJVQB+å®ä½" w:cs="SKJVQB+å®ä½"/>
          <w:color w:val="000000"/>
          <w:spacing w:val="0"/>
          <w:sz w:val="21"/>
        </w:rPr>
        <w:t>，</w:t>
      </w:r>
      <w:r>
        <w:rPr>
          <w:rFonts w:ascii="Times New Roman"/>
          <w:color w:val="000000"/>
          <w:spacing w:val="0"/>
          <w:sz w:val="21"/>
        </w:rPr>
        <w:t>96666(</w:t>
      </w:r>
      <w:r>
        <w:rPr>
          <w:rFonts w:ascii="SKJVQB+å®ä½" w:hAnsi="SKJVQB+å®ä½" w:cs="SKJVQB+å®ä½"/>
          <w:color w:val="000000"/>
          <w:spacing w:val="0"/>
          <w:sz w:val="21"/>
        </w:rPr>
        <w:t>吉林省</w:t>
      </w:r>
      <w:r>
        <w:rPr>
          <w:rFonts w:ascii="Times New Roman"/>
          <w:color w:val="000000"/>
          <w:spacing w:val="0"/>
          <w:sz w:val="21"/>
        </w:rPr>
        <w:t>)</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31</w:t>
      </w:r>
    </w:p>
    <w:p>
      <w:pPr>
        <w:spacing w:before="0" w:after="0" w:line="0" w:lineRule="exact"/>
        <w:ind w:left="0" w:right="0"/>
        <w:jc w:val="left"/>
        <w:rPr>
          <w:rFonts w:ascii="Arial"/>
          <w:color w:val="FF0000"/>
          <w:spacing w:val="0"/>
          <w:sz w:val="2"/>
        </w:rPr>
      </w:pPr>
      <w:r>
        <w:pict>
          <v:shape id="_x000066" o:spid="_x0000_s109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53" o:title=""/>
            <o:lock v:ext="edit" aspectratio="t"/>
          </v:shape>
        </w:pict>
      </w:r>
      <w:r>
        <w:pict>
          <v:shape id="_x000067" o:spid="_x0000_s1093"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5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662"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www.jlbank.com.cn</w:t>
      </w:r>
    </w:p>
    <w:p>
      <w:pPr>
        <w:framePr w:w="526" w:wrap="around" w:vAnchor="margin" w:hAnchor="text" w:x="3005"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36</w:t>
      </w:r>
    </w:p>
    <w:p>
      <w:pPr>
        <w:framePr w:w="2901"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威海市商业银行股份有限公</w:t>
      </w:r>
    </w:p>
    <w:p>
      <w:pPr>
        <w:framePr w:w="2901" w:wrap="around" w:vAnchor="margin" w:hAnchor="text" w:x="4640"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2838" w:wrap="around" w:vAnchor="margin" w:hAnchor="text" w:x="7482" w:y="1800"/>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注册地址：威海市宝泉路 </w:t>
      </w:r>
      <w:r>
        <w:rPr>
          <w:rFonts w:ascii="Times New Roman"/>
          <w:color w:val="000000"/>
          <w:spacing w:val="0"/>
          <w:sz w:val="21"/>
        </w:rPr>
        <w:t xml:space="preserve"> 9</w:t>
      </w:r>
    </w:p>
    <w:p>
      <w:pPr>
        <w:framePr w:w="2838" w:wrap="around" w:vAnchor="margin" w:hAnchor="text" w:x="7482" w:y="180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3020"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办公地址：济南市经十路奥体</w:t>
      </w:r>
    </w:p>
    <w:p>
      <w:pPr>
        <w:framePr w:w="3020"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金融中心 </w:t>
      </w:r>
      <w:r>
        <w:rPr>
          <w:rFonts w:ascii="Times New Roman"/>
          <w:color w:val="000000"/>
          <w:spacing w:val="0"/>
          <w:sz w:val="21"/>
        </w:rPr>
        <w:t>d</w:t>
      </w:r>
      <w:r>
        <w:rPr>
          <w:rFonts w:ascii="SKJVQB+å®ä½" w:hAnsi="SKJVQB+å®ä½" w:cs="SKJVQB+å®ä½"/>
          <w:color w:val="000000"/>
          <w:spacing w:val="0"/>
          <w:sz w:val="21"/>
        </w:rPr>
        <w:t>栋</w:t>
      </w:r>
    </w:p>
    <w:p>
      <w:pPr>
        <w:framePr w:w="2209"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法定代表人：谭先国</w:t>
      </w:r>
    </w:p>
    <w:p>
      <w:pPr>
        <w:framePr w:w="2209"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联系人：武芳</w:t>
      </w:r>
    </w:p>
    <w:p>
      <w:pPr>
        <w:framePr w:w="3020" w:wrap="around" w:vAnchor="margin" w:hAnchor="text" w:x="7482" w:y="367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0531-68978175</w:t>
      </w:r>
    </w:p>
    <w:p>
      <w:pPr>
        <w:framePr w:w="3020"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0531-68978176</w:t>
      </w:r>
    </w:p>
    <w:p>
      <w:pPr>
        <w:framePr w:w="3020" w:wrap="around" w:vAnchor="margin" w:hAnchor="text" w:x="7482" w:y="36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客服电话：省内 </w:t>
      </w:r>
      <w:r>
        <w:rPr>
          <w:rFonts w:ascii="Times New Roman"/>
          <w:color w:val="000000"/>
          <w:spacing w:val="0"/>
          <w:sz w:val="21"/>
        </w:rPr>
        <w:t>96636</w:t>
      </w:r>
      <w:r>
        <w:rPr>
          <w:rFonts w:ascii="SKJVQB+å®ä½" w:hAnsi="SKJVQB+å®ä½" w:cs="SKJVQB+å®ä½"/>
          <w:color w:val="000000"/>
          <w:spacing w:val="0"/>
          <w:sz w:val="21"/>
        </w:rPr>
        <w:t>、境内</w:t>
      </w:r>
    </w:p>
    <w:p>
      <w:pPr>
        <w:framePr w:w="3020" w:wrap="around" w:vAnchor="margin" w:hAnchor="text" w:x="7482" w:y="3672"/>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4000096636</w:t>
      </w:r>
    </w:p>
    <w:p>
      <w:pPr>
        <w:framePr w:w="949"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01" w:wrap="around" w:vAnchor="margin" w:hAnchor="text" w:x="7482" w:y="523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www.whccb.com/www.whccb.</w:t>
      </w:r>
    </w:p>
    <w:p>
      <w:pPr>
        <w:framePr w:w="3001" w:wrap="around" w:vAnchor="margin" w:hAnchor="text" w:x="7482" w:y="5230"/>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com.cn</w:t>
      </w:r>
    </w:p>
    <w:p>
      <w:pPr>
        <w:framePr w:w="526" w:wrap="around" w:vAnchor="margin" w:hAnchor="text" w:x="3005" w:y="586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37</w:t>
      </w:r>
    </w:p>
    <w:p>
      <w:pPr>
        <w:framePr w:w="526" w:wrap="around" w:vAnchor="margin" w:hAnchor="text" w:x="3005" w:y="5864"/>
        <w:widowControl w:val="0"/>
        <w:autoSpaceDE w:val="0"/>
        <w:autoSpaceDN w:val="0"/>
        <w:spacing w:before="0" w:after="0" w:line="3132" w:lineRule="exact"/>
        <w:ind w:left="0" w:right="0"/>
        <w:jc w:val="left"/>
        <w:rPr>
          <w:rFonts w:ascii="Times New Roman"/>
          <w:color w:val="000000"/>
          <w:spacing w:val="0"/>
          <w:sz w:val="21"/>
        </w:rPr>
      </w:pPr>
      <w:r>
        <w:rPr>
          <w:rFonts w:ascii="Times New Roman"/>
          <w:color w:val="000000"/>
          <w:spacing w:val="0"/>
          <w:sz w:val="21"/>
        </w:rPr>
        <w:t>38</w:t>
      </w:r>
    </w:p>
    <w:p>
      <w:pPr>
        <w:framePr w:w="526" w:wrap="around" w:vAnchor="margin" w:hAnchor="text" w:x="3005" w:y="5864"/>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39</w:t>
      </w:r>
    </w:p>
    <w:p>
      <w:pPr>
        <w:framePr w:w="2418" w:wrap="around" w:vAnchor="margin" w:hAnchor="text" w:x="4640"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西安银行股份有限公司</w:t>
      </w:r>
    </w:p>
    <w:p>
      <w:pPr>
        <w:framePr w:w="2418" w:wrap="around" w:vAnchor="margin" w:hAnchor="text" w:x="4640" w:y="5873"/>
        <w:widowControl w:val="0"/>
        <w:autoSpaceDE w:val="0"/>
        <w:autoSpaceDN w:val="0"/>
        <w:spacing w:before="0" w:after="0" w:line="313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苏州银行股份有限公司</w:t>
      </w:r>
    </w:p>
    <w:p>
      <w:pPr>
        <w:framePr w:w="2418" w:wrap="around" w:vAnchor="margin" w:hAnchor="text" w:x="4640" w:y="5873"/>
        <w:widowControl w:val="0"/>
        <w:autoSpaceDE w:val="0"/>
        <w:autoSpaceDN w:val="0"/>
        <w:spacing w:before="0" w:after="0" w:line="3130"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晋商银行股份有限公司</w:t>
      </w:r>
    </w:p>
    <w:p>
      <w:pPr>
        <w:framePr w:w="3020" w:wrap="around" w:vAnchor="margin" w:hAnchor="text" w:x="7482"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注册地址：中国陕西西安高新</w:t>
      </w:r>
    </w:p>
    <w:p>
      <w:pPr>
        <w:framePr w:w="3020" w:wrap="around" w:vAnchor="margin" w:hAnchor="text" w:x="7482" w:y="587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60</w:t>
      </w:r>
      <w:r>
        <w:rPr>
          <w:rFonts w:ascii="SKJVQB+å®ä½" w:hAnsi="SKJVQB+å®ä½" w:cs="SKJVQB+å®ä½"/>
          <w:color w:val="000000"/>
          <w:spacing w:val="0"/>
          <w:sz w:val="21"/>
        </w:rPr>
        <w:t>号</w:t>
      </w:r>
    </w:p>
    <w:p>
      <w:pPr>
        <w:framePr w:w="3020" w:wrap="around" w:vAnchor="margin" w:hAnchor="text" w:x="7482"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办公地址：西安市雁塔区高新</w:t>
      </w:r>
    </w:p>
    <w:p>
      <w:pPr>
        <w:framePr w:w="3020" w:wrap="around" w:vAnchor="margin" w:hAnchor="text" w:x="7482" w:y="6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60</w:t>
      </w:r>
      <w:r>
        <w:rPr>
          <w:rFonts w:ascii="SKJVQB+å®ä½" w:hAnsi="SKJVQB+å®ä½" w:cs="SKJVQB+å®ä½"/>
          <w:color w:val="000000"/>
          <w:spacing w:val="0"/>
          <w:sz w:val="21"/>
        </w:rPr>
        <w:t>号</w:t>
      </w:r>
    </w:p>
    <w:p>
      <w:pPr>
        <w:framePr w:w="1998"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法定代表人：郭军</w:t>
      </w:r>
    </w:p>
    <w:p>
      <w:pPr>
        <w:framePr w:w="1998"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联系人：白智</w:t>
      </w:r>
    </w:p>
    <w:p>
      <w:pPr>
        <w:framePr w:w="3020"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029-88992881</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029-88992891</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4008696779</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www.xacbank.com</w:t>
      </w:r>
    </w:p>
    <w:p>
      <w:pPr>
        <w:framePr w:w="3020" w:wrap="around" w:vAnchor="margin" w:hAnchor="text" w:x="7482" w:y="773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注册地址：江苏省苏州市工业</w:t>
      </w:r>
    </w:p>
    <w:p>
      <w:pPr>
        <w:framePr w:w="3020"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园区钟园路 </w:t>
      </w:r>
      <w:r>
        <w:rPr>
          <w:rFonts w:ascii="Times New Roman"/>
          <w:color w:val="000000"/>
          <w:spacing w:val="0"/>
          <w:sz w:val="21"/>
        </w:rPr>
        <w:t>728</w:t>
      </w:r>
      <w:r>
        <w:rPr>
          <w:rFonts w:ascii="SKJVQB+å®ä½" w:hAnsi="SKJVQB+å®ä½" w:cs="SKJVQB+å®ä½"/>
          <w:color w:val="000000"/>
          <w:spacing w:val="0"/>
          <w:sz w:val="21"/>
        </w:rPr>
        <w:t>号</w:t>
      </w:r>
    </w:p>
    <w:p>
      <w:pPr>
        <w:framePr w:w="3020"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办公地址：江苏省苏州市工业</w:t>
      </w:r>
    </w:p>
    <w:p>
      <w:pPr>
        <w:framePr w:w="3020"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园区钟园路 </w:t>
      </w:r>
      <w:r>
        <w:rPr>
          <w:rFonts w:ascii="Times New Roman"/>
          <w:color w:val="000000"/>
          <w:spacing w:val="0"/>
          <w:sz w:val="21"/>
        </w:rPr>
        <w:t>728</w:t>
      </w:r>
      <w:r>
        <w:rPr>
          <w:rFonts w:ascii="SKJVQB+å®ä½" w:hAnsi="SKJVQB+å®ä½" w:cs="SKJVQB+å®ä½"/>
          <w:color w:val="000000"/>
          <w:spacing w:val="0"/>
          <w:sz w:val="21"/>
        </w:rPr>
        <w:t>号</w:t>
      </w:r>
    </w:p>
    <w:p>
      <w:pPr>
        <w:framePr w:w="3020"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法定代表人：王兰凤</w:t>
      </w:r>
    </w:p>
    <w:p>
      <w:pPr>
        <w:framePr w:w="3020" w:wrap="around" w:vAnchor="margin" w:hAnchor="text" w:x="7482" w:y="7739"/>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联系人：吴骏</w:t>
      </w:r>
    </w:p>
    <w:p>
      <w:pPr>
        <w:framePr w:w="2284" w:wrap="around" w:vAnchor="margin" w:hAnchor="text" w:x="7482" w:y="108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0512-69868373</w:t>
      </w:r>
    </w:p>
    <w:p>
      <w:pPr>
        <w:framePr w:w="2284"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0512-69868373</w:t>
      </w:r>
    </w:p>
    <w:p>
      <w:pPr>
        <w:framePr w:w="2284"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96067</w:t>
      </w:r>
    </w:p>
    <w:p>
      <w:pPr>
        <w:framePr w:w="3020" w:wrap="around" w:vAnchor="margin" w:hAnchor="text" w:x="7482" w:y="1180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www.suzhoubank.com</w:t>
      </w:r>
    </w:p>
    <w:p>
      <w:pPr>
        <w:framePr w:w="3020" w:wrap="around" w:vAnchor="margin" w:hAnchor="text" w:x="7482" w:y="1180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注册地址：山西省太原市小店</w:t>
      </w:r>
    </w:p>
    <w:p>
      <w:pPr>
        <w:framePr w:w="302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区长风街 </w:t>
      </w:r>
      <w:r>
        <w:rPr>
          <w:rFonts w:ascii="Times New Roman"/>
          <w:color w:val="000000"/>
          <w:spacing w:val="0"/>
          <w:sz w:val="21"/>
        </w:rPr>
        <w:t>59</w:t>
      </w:r>
      <w:r>
        <w:rPr>
          <w:rFonts w:ascii="SKJVQB+å®ä½" w:hAnsi="SKJVQB+å®ä½" w:cs="SKJVQB+å®ä½"/>
          <w:color w:val="000000"/>
          <w:spacing w:val="0"/>
          <w:sz w:val="21"/>
        </w:rPr>
        <w:t>号</w:t>
      </w:r>
    </w:p>
    <w:p>
      <w:pPr>
        <w:framePr w:w="3020" w:wrap="around" w:vAnchor="margin" w:hAnchor="text" w:x="7482"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办公地址：山西省太原市小店</w:t>
      </w:r>
    </w:p>
    <w:p>
      <w:pPr>
        <w:framePr w:w="3020" w:wrap="around" w:vAnchor="margin" w:hAnchor="text" w:x="7482" w:y="1276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区长风街 </w:t>
      </w:r>
      <w:r>
        <w:rPr>
          <w:rFonts w:ascii="Times New Roman"/>
          <w:color w:val="000000"/>
          <w:spacing w:val="0"/>
          <w:sz w:val="21"/>
        </w:rPr>
        <w:t>59</w:t>
      </w:r>
      <w:r>
        <w:rPr>
          <w:rFonts w:ascii="SKJVQB+å®ä½" w:hAnsi="SKJVQB+å®ä½" w:cs="SKJVQB+å®ä½"/>
          <w:color w:val="000000"/>
          <w:spacing w:val="0"/>
          <w:sz w:val="21"/>
        </w:rPr>
        <w:t>号</w:t>
      </w:r>
    </w:p>
    <w:p>
      <w:pPr>
        <w:framePr w:w="2209" w:wrap="around" w:vAnchor="margin" w:hAnchor="text" w:x="7482"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法定代表人：阎俊生</w:t>
      </w:r>
    </w:p>
    <w:p>
      <w:pPr>
        <w:framePr w:w="2209" w:wrap="around" w:vAnchor="margin" w:hAnchor="text" w:x="7482" w:y="133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联系人：卫奕信</w:t>
      </w:r>
    </w:p>
    <w:p>
      <w:pPr>
        <w:framePr w:w="2525" w:wrap="around" w:vAnchor="margin" w:hAnchor="text" w:x="7482" w:y="1400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0351-6819926</w:t>
      </w:r>
    </w:p>
    <w:p>
      <w:pPr>
        <w:framePr w:w="2525" w:wrap="around" w:vAnchor="margin" w:hAnchor="text" w:x="7482" w:y="1400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0351-6819926</w:t>
      </w:r>
    </w:p>
    <w:p>
      <w:pPr>
        <w:framePr w:w="2525" w:wrap="around" w:vAnchor="margin" w:hAnchor="text" w:x="7482" w:y="1400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9510-5588</w:t>
      </w:r>
    </w:p>
    <w:p>
      <w:pPr>
        <w:framePr w:w="2525" w:wrap="around" w:vAnchor="margin" w:hAnchor="text" w:x="7482" w:y="1400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www.jshbank.com</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32</w:t>
      </w:r>
    </w:p>
    <w:p>
      <w:pPr>
        <w:spacing w:before="0" w:after="0" w:line="0" w:lineRule="exact"/>
        <w:ind w:left="0" w:right="0"/>
        <w:jc w:val="left"/>
        <w:rPr>
          <w:rFonts w:ascii="Arial"/>
          <w:color w:val="FF0000"/>
          <w:spacing w:val="0"/>
          <w:sz w:val="2"/>
        </w:rPr>
      </w:pPr>
      <w:r>
        <w:pict>
          <v:shape id="_x000068" o:spid="_x0000_s1094"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55" o:title=""/>
            <o:lock v:ext="edit" aspectratio="t"/>
          </v:shape>
        </w:pict>
      </w:r>
      <w:r>
        <w:pict>
          <v:shape id="_x000069" o:spid="_x0000_s1095"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5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26" w:wrap="around" w:vAnchor="margin" w:hAnchor="text" w:x="3005"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40</w:t>
      </w:r>
    </w:p>
    <w:p>
      <w:pPr>
        <w:framePr w:w="2901" w:wrap="around" w:vAnchor="margin" w:hAnchor="text" w:x="4640"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华融湘江银行股份有限公司</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注册地址：湖南省长沙市天心</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区芙蓉南路一段 </w:t>
      </w:r>
      <w:r>
        <w:rPr>
          <w:rFonts w:ascii="Times New Roman"/>
          <w:color w:val="000000"/>
          <w:spacing w:val="0"/>
          <w:sz w:val="21"/>
        </w:rPr>
        <w:t>828</w:t>
      </w:r>
      <w:r>
        <w:rPr>
          <w:rFonts w:ascii="SKJVQB+å®ä½" w:hAnsi="SKJVQB+å®ä½" w:cs="SKJVQB+å®ä½"/>
          <w:color w:val="000000"/>
          <w:spacing w:val="0"/>
          <w:sz w:val="21"/>
        </w:rPr>
        <w:t>号杰座</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3020"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办公地址：湖南省长沙市天心</w:t>
      </w:r>
    </w:p>
    <w:p>
      <w:pPr>
        <w:framePr w:w="3020" w:wrap="around" w:vAnchor="margin" w:hAnchor="text" w:x="7482" w:y="24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区芙蓉南路一段 </w:t>
      </w:r>
      <w:r>
        <w:rPr>
          <w:rFonts w:ascii="Times New Roman"/>
          <w:color w:val="000000"/>
          <w:spacing w:val="0"/>
          <w:sz w:val="21"/>
        </w:rPr>
        <w:t>828</w:t>
      </w:r>
      <w:r>
        <w:rPr>
          <w:rFonts w:ascii="SKJVQB+å®ä½" w:hAnsi="SKJVQB+å®ä½" w:cs="SKJVQB+å®ä½"/>
          <w:color w:val="000000"/>
          <w:spacing w:val="0"/>
          <w:sz w:val="21"/>
        </w:rPr>
        <w:t>号杰座</w:t>
      </w:r>
    </w:p>
    <w:p>
      <w:pPr>
        <w:framePr w:w="3020" w:wrap="around" w:vAnchor="margin" w:hAnchor="text" w:x="7482" w:y="24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2209" w:wrap="around" w:vAnchor="margin" w:hAnchor="text" w:x="7482" w:y="335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法定代表人：张永宏</w:t>
      </w:r>
    </w:p>
    <w:p>
      <w:pPr>
        <w:framePr w:w="2209" w:wrap="around" w:vAnchor="margin" w:hAnchor="text" w:x="7482" w:y="33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联系人：杨舟</w:t>
      </w:r>
    </w:p>
    <w:p>
      <w:pPr>
        <w:framePr w:w="2387" w:wrap="around" w:vAnchor="margin" w:hAnchor="text" w:x="7482" w:y="39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0731-89828900</w:t>
      </w:r>
    </w:p>
    <w:p>
      <w:pPr>
        <w:framePr w:w="2387" w:wrap="around" w:vAnchor="margin" w:hAnchor="text" w:x="7482" w:y="39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0731-  89828806</w:t>
      </w:r>
    </w:p>
    <w:p>
      <w:pPr>
        <w:framePr w:w="2387" w:wrap="around" w:vAnchor="margin" w:hAnchor="text" w:x="7482" w:y="397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0731-96599</w:t>
      </w:r>
    </w:p>
    <w:p>
      <w:pPr>
        <w:framePr w:w="2387" w:wrap="around" w:vAnchor="margin" w:hAnchor="text" w:x="7482" w:y="39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522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www.hrxjbank.com.cn.cn</w:t>
      </w:r>
    </w:p>
    <w:p>
      <w:pPr>
        <w:framePr w:w="3020" w:wrap="around" w:vAnchor="margin" w:hAnchor="text" w:x="7482" w:y="522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注册地址：黑龙江哈尔滨市道</w:t>
      </w:r>
    </w:p>
    <w:p>
      <w:pPr>
        <w:framePr w:w="3020" w:wrap="around" w:vAnchor="margin" w:hAnchor="text" w:x="7482" w:y="52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里区友谊路 </w:t>
      </w:r>
      <w:r>
        <w:rPr>
          <w:rFonts w:ascii="Times New Roman"/>
          <w:color w:val="000000"/>
          <w:spacing w:val="0"/>
          <w:sz w:val="21"/>
        </w:rPr>
        <w:t>436</w:t>
      </w:r>
      <w:r>
        <w:rPr>
          <w:rFonts w:ascii="SKJVQB+å®ä½" w:hAnsi="SKJVQB+å®ä½" w:cs="SKJVQB+å®ä½"/>
          <w:color w:val="000000"/>
          <w:spacing w:val="0"/>
          <w:sz w:val="21"/>
        </w:rPr>
        <w:t>号</w:t>
      </w:r>
    </w:p>
    <w:p>
      <w:pPr>
        <w:framePr w:w="3020" w:wrap="around" w:vAnchor="margin" w:hAnchor="text" w:x="7482" w:y="52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办公地址：黑龙江哈尔滨市道</w:t>
      </w:r>
    </w:p>
    <w:p>
      <w:pPr>
        <w:framePr w:w="3020" w:wrap="around" w:vAnchor="margin" w:hAnchor="text" w:x="7482" w:y="52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里区友谊路 </w:t>
      </w:r>
      <w:r>
        <w:rPr>
          <w:rFonts w:ascii="Times New Roman"/>
          <w:color w:val="000000"/>
          <w:spacing w:val="0"/>
          <w:sz w:val="21"/>
        </w:rPr>
        <w:t>436</w:t>
      </w:r>
      <w:r>
        <w:rPr>
          <w:rFonts w:ascii="SKJVQB+å®ä½" w:hAnsi="SKJVQB+å®ä½" w:cs="SKJVQB+å®ä½"/>
          <w:color w:val="000000"/>
          <w:spacing w:val="0"/>
          <w:sz w:val="21"/>
        </w:rPr>
        <w:t>号</w:t>
      </w:r>
    </w:p>
    <w:p>
      <w:pPr>
        <w:framePr w:w="3020" w:wrap="around" w:vAnchor="margin" w:hAnchor="text" w:x="7482" w:y="52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法定代表人：张建辉</w:t>
      </w:r>
    </w:p>
    <w:p>
      <w:pPr>
        <w:framePr w:w="3020" w:wrap="around" w:vAnchor="margin" w:hAnchor="text" w:x="7482" w:y="52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联系人：闫勇</w:t>
      </w:r>
    </w:p>
    <w:p>
      <w:pPr>
        <w:framePr w:w="526" w:wrap="around" w:vAnchor="margin" w:hAnchor="text" w:x="3005" w:y="554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41</w:t>
      </w:r>
    </w:p>
    <w:p>
      <w:pPr>
        <w:framePr w:w="2418" w:wrap="around" w:vAnchor="margin" w:hAnchor="text" w:x="4640" w:y="555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龙江银行股份有限公司</w:t>
      </w:r>
    </w:p>
    <w:p>
      <w:pPr>
        <w:framePr w:w="3021" w:wrap="around" w:vAnchor="margin" w:hAnchor="text" w:x="7482" w:y="741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0451-85706107</w:t>
      </w:r>
    </w:p>
    <w:p>
      <w:pPr>
        <w:framePr w:w="3021" w:wrap="around" w:vAnchor="margin" w:hAnchor="text" w:x="7482" w:y="741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0451-85706036</w:t>
      </w:r>
    </w:p>
    <w:p>
      <w:pPr>
        <w:framePr w:w="3021" w:wrap="around" w:vAnchor="margin" w:hAnchor="text" w:x="7482" w:y="741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4006458888</w:t>
      </w:r>
    </w:p>
    <w:p>
      <w:pPr>
        <w:framePr w:w="3021" w:wrap="around" w:vAnchor="margin" w:hAnchor="text" w:x="7482" w:y="741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www.lj-bank.com</w:t>
      </w:r>
    </w:p>
    <w:p>
      <w:pPr>
        <w:framePr w:w="3021" w:wrap="around" w:vAnchor="margin" w:hAnchor="text" w:x="7482" w:y="741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注册地址：广东省湛江市经</w:t>
      </w:r>
    </w:p>
    <w:p>
      <w:pPr>
        <w:framePr w:w="3021"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济技术开发区乐山大道 </w:t>
      </w:r>
      <w:r>
        <w:rPr>
          <w:rFonts w:ascii="Times New Roman"/>
          <w:color w:val="000000"/>
          <w:spacing w:val="0"/>
          <w:sz w:val="21"/>
        </w:rPr>
        <w:t>60</w:t>
      </w:r>
      <w:r>
        <w:rPr>
          <w:rFonts w:ascii="SKJVQB+å®ä½" w:hAnsi="SKJVQB+å®ä½" w:cs="SKJVQB+å®ä½"/>
          <w:color w:val="000000"/>
          <w:spacing w:val="0"/>
          <w:sz w:val="21"/>
        </w:rPr>
        <w:t>号</w:t>
      </w:r>
    </w:p>
    <w:p>
      <w:pPr>
        <w:framePr w:w="3021"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办公地址：广东省广州市珠江</w:t>
      </w:r>
    </w:p>
    <w:p>
      <w:pPr>
        <w:framePr w:w="3021"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新城临江大道 </w:t>
      </w:r>
      <w:r>
        <w:rPr>
          <w:rFonts w:ascii="Times New Roman"/>
          <w:color w:val="000000"/>
          <w:spacing w:val="0"/>
          <w:sz w:val="21"/>
        </w:rPr>
        <w:t>5</w:t>
      </w:r>
      <w:r>
        <w:rPr>
          <w:rFonts w:ascii="SKJVQB+å®ä½" w:hAnsi="SKJVQB+å®ä½" w:cs="SKJVQB+å®ä½"/>
          <w:color w:val="000000"/>
          <w:spacing w:val="0"/>
          <w:sz w:val="21"/>
        </w:rPr>
        <w:t>号保利中心</w:t>
      </w:r>
    </w:p>
    <w:p>
      <w:pPr>
        <w:framePr w:w="3021"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30</w:t>
      </w:r>
      <w:r>
        <w:rPr>
          <w:rFonts w:ascii="SKJVQB+å®ä½" w:hAnsi="SKJVQB+å®ä½" w:cs="SKJVQB+å®ä½"/>
          <w:color w:val="000000"/>
          <w:spacing w:val="0"/>
          <w:sz w:val="21"/>
        </w:rPr>
        <w:t>层</w:t>
      </w:r>
    </w:p>
    <w:p>
      <w:pPr>
        <w:framePr w:w="526" w:wrap="around" w:vAnchor="margin" w:hAnchor="text" w:x="3005" w:y="867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42</w:t>
      </w:r>
    </w:p>
    <w:p>
      <w:pPr>
        <w:framePr w:w="2901" w:wrap="around" w:vAnchor="margin" w:hAnchor="text" w:x="4640"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广东南粤银行股份有限公司</w:t>
      </w:r>
    </w:p>
    <w:p>
      <w:pPr>
        <w:framePr w:w="2104" w:wrap="around" w:vAnchor="margin" w:hAnchor="text" w:x="7482" w:y="1024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法定代表人：蒋丹</w:t>
      </w:r>
    </w:p>
    <w:p>
      <w:pPr>
        <w:framePr w:w="2104" w:wrap="around" w:vAnchor="margin" w:hAnchor="text" w:x="7482" w:y="10242"/>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联系人：陈静</w:t>
      </w:r>
    </w:p>
    <w:p>
      <w:pPr>
        <w:framePr w:w="2421" w:wrap="around" w:vAnchor="margin" w:hAnchor="text" w:x="7482" w:y="1085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020-28099040</w:t>
      </w:r>
    </w:p>
    <w:p>
      <w:pPr>
        <w:framePr w:w="2421" w:wrap="around" w:vAnchor="margin" w:hAnchor="text" w:x="7482" w:y="108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0759</w:t>
      </w:r>
      <w:r>
        <w:rPr>
          <w:rFonts w:ascii="SKJVQB+å®ä½" w:hAnsi="SKJVQB+å®ä½" w:cs="SKJVQB+å®ä½"/>
          <w:color w:val="000000"/>
          <w:spacing w:val="0"/>
          <w:sz w:val="21"/>
        </w:rPr>
        <w:t>—</w:t>
      </w:r>
      <w:r>
        <w:rPr>
          <w:rFonts w:ascii="Times New Roman"/>
          <w:color w:val="000000"/>
          <w:spacing w:val="0"/>
          <w:sz w:val="21"/>
        </w:rPr>
        <w:t>2631600</w:t>
      </w:r>
    </w:p>
    <w:p>
      <w:pPr>
        <w:framePr w:w="2421" w:wrap="around" w:vAnchor="margin" w:hAnchor="text" w:x="7482" w:y="108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4000961818</w:t>
      </w:r>
    </w:p>
    <w:p>
      <w:pPr>
        <w:framePr w:w="2421" w:wrap="around" w:vAnchor="margin" w:hAnchor="text" w:x="7482" w:y="108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901" w:wrap="around" w:vAnchor="margin" w:hAnchor="text" w:x="7482" w:y="1210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http://www.gdnybank.com</w:t>
      </w:r>
    </w:p>
    <w:p>
      <w:pPr>
        <w:framePr w:w="2901" w:wrap="around" w:vAnchor="margin" w:hAnchor="text" w:x="7482" w:y="12105"/>
        <w:widowControl w:val="0"/>
        <w:autoSpaceDE w:val="0"/>
        <w:autoSpaceDN w:val="0"/>
        <w:spacing w:before="0" w:after="0" w:line="326"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注册地址：桂林市中山南路</w:t>
      </w:r>
    </w:p>
    <w:p>
      <w:pPr>
        <w:framePr w:w="2901" w:wrap="around" w:vAnchor="margin" w:hAnchor="text" w:x="7482" w:y="12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76</w:t>
      </w:r>
      <w:r>
        <w:rPr>
          <w:rFonts w:ascii="SKJVQB+å®ä½" w:hAnsi="SKJVQB+å®ä½" w:cs="SKJVQB+å®ä½"/>
          <w:color w:val="000000"/>
          <w:spacing w:val="0"/>
          <w:sz w:val="21"/>
        </w:rPr>
        <w:t>号</w:t>
      </w:r>
    </w:p>
    <w:p>
      <w:pPr>
        <w:framePr w:w="526" w:wrap="around" w:vAnchor="margin" w:hAnchor="text" w:x="3005" w:y="1242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43</w:t>
      </w:r>
    </w:p>
    <w:p>
      <w:pPr>
        <w:framePr w:w="2418" w:wrap="around" w:vAnchor="margin" w:hAnchor="text" w:x="4640"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桂林银行股份有限公司</w:t>
      </w:r>
    </w:p>
    <w:p>
      <w:pPr>
        <w:framePr w:w="2901" w:wrap="around" w:vAnchor="margin" w:hAnchor="text" w:x="7482" w:y="1306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办公地址：桂林市中山南路</w:t>
      </w:r>
    </w:p>
    <w:p>
      <w:pPr>
        <w:framePr w:w="2901" w:wrap="around" w:vAnchor="margin" w:hAnchor="text" w:x="7482" w:y="1306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76</w:t>
      </w:r>
      <w:r>
        <w:rPr>
          <w:rFonts w:ascii="SKJVQB+å®ä½" w:hAnsi="SKJVQB+å®ä½" w:cs="SKJVQB+å®ä½"/>
          <w:color w:val="000000"/>
          <w:spacing w:val="0"/>
          <w:sz w:val="21"/>
        </w:rPr>
        <w:t>号</w:t>
      </w:r>
    </w:p>
    <w:p>
      <w:pPr>
        <w:framePr w:w="2104" w:wrap="around" w:vAnchor="margin" w:hAnchor="text" w:x="7482" w:y="1368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法定代表人：王能</w:t>
      </w:r>
    </w:p>
    <w:p>
      <w:pPr>
        <w:framePr w:w="2104" w:wrap="around" w:vAnchor="margin" w:hAnchor="text" w:x="7482" w:y="136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联系人：兰金香</w:t>
      </w:r>
    </w:p>
    <w:p>
      <w:pPr>
        <w:framePr w:w="2588" w:wrap="around" w:vAnchor="margin" w:hAnchor="text" w:x="7482" w:y="1430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0773-3876895</w:t>
      </w:r>
    </w:p>
    <w:p>
      <w:pPr>
        <w:framePr w:w="2588" w:wrap="around" w:vAnchor="margin" w:hAnchor="text" w:x="7482" w:y="1430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0773-3851691</w:t>
      </w:r>
    </w:p>
    <w:p>
      <w:pPr>
        <w:framePr w:w="2588" w:wrap="around" w:vAnchor="margin" w:hAnchor="text" w:x="7482" w:y="1430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400-86-96299</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33</w:t>
      </w:r>
    </w:p>
    <w:p>
      <w:pPr>
        <w:spacing w:before="0" w:after="0" w:line="0" w:lineRule="exact"/>
        <w:ind w:left="0" w:right="0"/>
        <w:jc w:val="left"/>
        <w:rPr>
          <w:rFonts w:ascii="Arial"/>
          <w:color w:val="FF0000"/>
          <w:spacing w:val="0"/>
          <w:sz w:val="2"/>
        </w:rPr>
      </w:pPr>
      <w:r>
        <w:pict>
          <v:shape id="_x000070" o:spid="_x0000_s1096"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57" o:title=""/>
            <o:lock v:ext="edit" aspectratio="t"/>
          </v:shape>
        </w:pict>
      </w:r>
      <w:r>
        <w:pict>
          <v:shape id="_x000071" o:spid="_x0000_s1097"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5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92"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www.guilinbank.com.cn</w:t>
      </w:r>
    </w:p>
    <w:p>
      <w:pPr>
        <w:framePr w:w="526" w:wrap="around" w:vAnchor="margin" w:hAnchor="text" w:x="3005"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44</w:t>
      </w:r>
    </w:p>
    <w:p>
      <w:pPr>
        <w:framePr w:w="2418"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泉州银行股份有限公司</w:t>
      </w:r>
    </w:p>
    <w:p>
      <w:pPr>
        <w:framePr w:w="2418" w:wrap="around" w:vAnchor="margin" w:hAnchor="text" w:x="4640" w:y="1807"/>
        <w:widowControl w:val="0"/>
        <w:autoSpaceDE w:val="0"/>
        <w:autoSpaceDN w:val="0"/>
        <w:spacing w:before="0" w:after="0" w:line="344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长安银行股份有限公司</w:t>
      </w:r>
    </w:p>
    <w:p>
      <w:pPr>
        <w:framePr w:w="2418" w:wrap="around" w:vAnchor="margin" w:hAnchor="text" w:x="4640" w:y="1807"/>
        <w:widowControl w:val="0"/>
        <w:autoSpaceDE w:val="0"/>
        <w:autoSpaceDN w:val="0"/>
        <w:spacing w:before="0" w:after="0" w:line="344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锦州银行股份有限公司</w:t>
      </w:r>
    </w:p>
    <w:p>
      <w:pPr>
        <w:framePr w:w="3020"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注册地址：福建省泉州市丰泽</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区云鹿路 </w:t>
      </w:r>
      <w:r>
        <w:rPr>
          <w:rFonts w:ascii="Times New Roman"/>
          <w:color w:val="000000"/>
          <w:spacing w:val="0"/>
          <w:sz w:val="21"/>
        </w:rPr>
        <w:t>3</w:t>
      </w:r>
      <w:r>
        <w:rPr>
          <w:rFonts w:ascii="SKJVQB+å®ä½" w:hAnsi="SKJVQB+å®ä½" w:cs="SKJVQB+å®ä½"/>
          <w:color w:val="000000"/>
          <w:spacing w:val="0"/>
          <w:sz w:val="21"/>
        </w:rPr>
        <w:t>号</w:t>
      </w:r>
    </w:p>
    <w:p>
      <w:pPr>
        <w:framePr w:w="3020"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办公地址：福建省泉州市丰泽</w:t>
      </w:r>
    </w:p>
    <w:p>
      <w:pPr>
        <w:framePr w:w="3020"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区云鹿路 </w:t>
      </w:r>
      <w:r>
        <w:rPr>
          <w:rFonts w:ascii="Times New Roman"/>
          <w:color w:val="000000"/>
          <w:spacing w:val="0"/>
          <w:sz w:val="21"/>
        </w:rPr>
        <w:t>3</w:t>
      </w:r>
      <w:r>
        <w:rPr>
          <w:rFonts w:ascii="SKJVQB+å®ä½" w:hAnsi="SKJVQB+å®ä½" w:cs="SKJVQB+å®ä½"/>
          <w:color w:val="000000"/>
          <w:spacing w:val="0"/>
          <w:sz w:val="21"/>
        </w:rPr>
        <w:t>号</w:t>
      </w:r>
    </w:p>
    <w:p>
      <w:pPr>
        <w:framePr w:w="2209"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法定代表人：傅子能</w:t>
      </w:r>
    </w:p>
    <w:p>
      <w:pPr>
        <w:framePr w:w="2209"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联系人：谢婷枫</w:t>
      </w:r>
    </w:p>
    <w:p>
      <w:pPr>
        <w:framePr w:w="2284" w:wrap="around" w:vAnchor="margin" w:hAnchor="text" w:x="7482" w:y="367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0595-22551071</w:t>
      </w:r>
    </w:p>
    <w:p>
      <w:pPr>
        <w:framePr w:w="2284"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0595-22578871</w:t>
      </w:r>
    </w:p>
    <w:p>
      <w:pPr>
        <w:framePr w:w="2284"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96312</w:t>
      </w:r>
    </w:p>
    <w:p>
      <w:pPr>
        <w:framePr w:w="949"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1" w:wrap="around" w:vAnchor="margin" w:hAnchor="text" w:x="7482" w:y="491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http://www.qzccbank.com/</w:t>
      </w:r>
    </w:p>
    <w:p>
      <w:pPr>
        <w:framePr w:w="3021" w:wrap="around" w:vAnchor="margin" w:hAnchor="text" w:x="7482" w:y="4918"/>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注册地址：西安市高新技术产</w:t>
      </w:r>
    </w:p>
    <w:p>
      <w:pPr>
        <w:framePr w:w="3021" w:wrap="around" w:vAnchor="margin" w:hAnchor="text" w:x="7482" w:y="49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业开发区高新四路 </w:t>
      </w:r>
      <w:r>
        <w:rPr>
          <w:rFonts w:ascii="Times New Roman"/>
          <w:color w:val="000000"/>
          <w:spacing w:val="0"/>
          <w:sz w:val="21"/>
        </w:rPr>
        <w:t>13</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幢</w:t>
      </w:r>
    </w:p>
    <w:p>
      <w:pPr>
        <w:framePr w:w="3021" w:wrap="around" w:vAnchor="margin" w:hAnchor="text" w:x="7482" w:y="49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w:t>
      </w:r>
      <w:r>
        <w:rPr>
          <w:rFonts w:ascii="SKJVQB+å®ä½" w:hAnsi="SKJVQB+å®ä½" w:cs="SKJVQB+å®ä½"/>
          <w:color w:val="000000"/>
          <w:spacing w:val="0"/>
          <w:sz w:val="21"/>
        </w:rPr>
        <w:t xml:space="preserve">单元  </w:t>
      </w:r>
      <w:r>
        <w:rPr>
          <w:rFonts w:ascii="Times New Roman"/>
          <w:color w:val="000000"/>
          <w:spacing w:val="0"/>
          <w:sz w:val="21"/>
        </w:rPr>
        <w:t>10101</w:t>
      </w:r>
      <w:r>
        <w:rPr>
          <w:rFonts w:ascii="SKJVQB+å®ä½" w:hAnsi="SKJVQB+å®ä½" w:cs="SKJVQB+å®ä½"/>
          <w:color w:val="000000"/>
          <w:spacing w:val="0"/>
          <w:sz w:val="21"/>
        </w:rPr>
        <w:t>室</w:t>
      </w:r>
    </w:p>
    <w:p>
      <w:pPr>
        <w:framePr w:w="526" w:wrap="around" w:vAnchor="margin" w:hAnchor="text" w:x="3005" w:y="524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45</w:t>
      </w:r>
    </w:p>
    <w:p>
      <w:pPr>
        <w:framePr w:w="3020" w:wrap="around" w:vAnchor="margin" w:hAnchor="text" w:x="7482"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办公地址：西安市高新技术产</w:t>
      </w:r>
    </w:p>
    <w:p>
      <w:pPr>
        <w:framePr w:w="3020"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业开发区高新四路 </w:t>
      </w:r>
      <w:r>
        <w:rPr>
          <w:rFonts w:ascii="Times New Roman"/>
          <w:color w:val="000000"/>
          <w:spacing w:val="0"/>
          <w:sz w:val="21"/>
        </w:rPr>
        <w:t>13</w:t>
      </w:r>
      <w:r>
        <w:rPr>
          <w:rFonts w:ascii="SKJVQB+å®ä½" w:hAnsi="SKJVQB+å®ä½" w:cs="SKJVQB+å®ä½"/>
          <w:color w:val="000000"/>
          <w:spacing w:val="0"/>
          <w:sz w:val="21"/>
        </w:rPr>
        <w:t>号</w:t>
      </w:r>
    </w:p>
    <w:p>
      <w:pPr>
        <w:framePr w:w="3020"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法定代表人：毛亚社</w:t>
      </w:r>
    </w:p>
    <w:p>
      <w:pPr>
        <w:framePr w:w="3020"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联系人：闫石</w:t>
      </w:r>
    </w:p>
    <w:p>
      <w:pPr>
        <w:framePr w:w="2581"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029-88609566</w:t>
      </w:r>
    </w:p>
    <w:p>
      <w:pPr>
        <w:framePr w:w="2581"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(029)96669</w:t>
      </w:r>
      <w:r>
        <w:rPr>
          <w:rFonts w:ascii="SKJVQB+å®ä½" w:hAnsi="SKJVQB+å®ä½" w:cs="SKJVQB+å®ä½"/>
          <w:color w:val="000000"/>
          <w:spacing w:val="0"/>
          <w:sz w:val="21"/>
        </w:rPr>
        <w:t>、</w:t>
      </w:r>
    </w:p>
    <w:p>
      <w:pPr>
        <w:framePr w:w="2581" w:wrap="around" w:vAnchor="margin" w:hAnchor="text" w:x="7482" w:y="7427"/>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400-05-96669</w:t>
      </w:r>
    </w:p>
    <w:p>
      <w:pPr>
        <w:framePr w:w="3020"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www.ccabchina.com</w:t>
      </w:r>
    </w:p>
    <w:p>
      <w:pPr>
        <w:framePr w:w="3020" w:wrap="around" w:vAnchor="margin" w:hAnchor="text" w:x="7482" w:y="836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注册地址：辽宁省锦州市松山</w:t>
      </w:r>
    </w:p>
    <w:p>
      <w:pPr>
        <w:framePr w:w="3020"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新区科技路 </w:t>
      </w:r>
      <w:r>
        <w:rPr>
          <w:rFonts w:ascii="Times New Roman"/>
          <w:color w:val="000000"/>
          <w:spacing w:val="0"/>
          <w:sz w:val="21"/>
        </w:rPr>
        <w:t>68</w:t>
      </w:r>
      <w:r>
        <w:rPr>
          <w:rFonts w:ascii="SKJVQB+å®ä½" w:hAnsi="SKJVQB+å®ä½" w:cs="SKJVQB+å®ä½"/>
          <w:color w:val="000000"/>
          <w:spacing w:val="0"/>
          <w:sz w:val="21"/>
        </w:rPr>
        <w:t>号</w:t>
      </w:r>
    </w:p>
    <w:p>
      <w:pPr>
        <w:framePr w:w="526" w:wrap="around" w:vAnchor="margin" w:hAnchor="text" w:x="3005" w:y="868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46</w:t>
      </w:r>
    </w:p>
    <w:p>
      <w:pPr>
        <w:framePr w:w="526" w:wrap="around" w:vAnchor="margin" w:hAnchor="text" w:x="3005" w:y="8684"/>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47</w:t>
      </w:r>
    </w:p>
    <w:p>
      <w:pPr>
        <w:framePr w:w="526" w:wrap="around" w:vAnchor="margin" w:hAnchor="text" w:x="3005" w:y="8684"/>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48</w:t>
      </w:r>
    </w:p>
    <w:p>
      <w:pPr>
        <w:framePr w:w="3020" w:wrap="around" w:vAnchor="margin" w:hAnchor="text" w:x="7482"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办公地址：辽宁省锦州市松山</w:t>
      </w:r>
    </w:p>
    <w:p>
      <w:pPr>
        <w:framePr w:w="3020" w:wrap="around" w:vAnchor="margin" w:hAnchor="text" w:x="7482" w:y="93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新区科技路 </w:t>
      </w:r>
      <w:r>
        <w:rPr>
          <w:rFonts w:ascii="Times New Roman"/>
          <w:color w:val="000000"/>
          <w:spacing w:val="0"/>
          <w:sz w:val="21"/>
        </w:rPr>
        <w:t>68</w:t>
      </w:r>
      <w:r>
        <w:rPr>
          <w:rFonts w:ascii="SKJVQB+å®ä½" w:hAnsi="SKJVQB+å®ä½" w:cs="SKJVQB+å®ä½"/>
          <w:color w:val="000000"/>
          <w:spacing w:val="0"/>
          <w:sz w:val="21"/>
        </w:rPr>
        <w:t>号</w:t>
      </w:r>
    </w:p>
    <w:p>
      <w:pPr>
        <w:framePr w:w="1998"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法定代表人：张伟</w:t>
      </w:r>
    </w:p>
    <w:p>
      <w:pPr>
        <w:framePr w:w="1789" w:wrap="around" w:vAnchor="margin" w:hAnchor="text" w:x="7482"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联系人：庞璐璐</w:t>
      </w:r>
    </w:p>
    <w:p>
      <w:pPr>
        <w:framePr w:w="3020" w:wrap="around" w:vAnchor="margin" w:hAnchor="text" w:x="7482" w:y="1055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0416-3220085</w:t>
      </w:r>
    </w:p>
    <w:p>
      <w:pPr>
        <w:framePr w:w="3020"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0416-3220186</w:t>
      </w:r>
    </w:p>
    <w:p>
      <w:pPr>
        <w:framePr w:w="3020"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400-66-96178</w:t>
      </w:r>
    </w:p>
    <w:p>
      <w:pPr>
        <w:framePr w:w="3020"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www.jinzhoubank.com</w:t>
      </w:r>
    </w:p>
    <w:p>
      <w:pPr>
        <w:framePr w:w="3020" w:wrap="around" w:vAnchor="margin" w:hAnchor="text" w:x="7482" w:y="1055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注册地址：浙江省乐清市城</w:t>
      </w:r>
    </w:p>
    <w:p>
      <w:pPr>
        <w:framePr w:w="3020" w:wrap="around" w:vAnchor="margin" w:hAnchor="text" w:x="7482" w:y="105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南街道伯乐西路 </w:t>
      </w:r>
      <w:r>
        <w:rPr>
          <w:rFonts w:ascii="Times New Roman"/>
          <w:color w:val="000000"/>
          <w:spacing w:val="0"/>
          <w:sz w:val="21"/>
        </w:rPr>
        <w:t>99</w:t>
      </w:r>
      <w:r>
        <w:rPr>
          <w:rFonts w:ascii="SKJVQB+å®ä½" w:hAnsi="SKJVQB+å®ä½" w:cs="SKJVQB+å®ä½"/>
          <w:color w:val="000000"/>
          <w:spacing w:val="0"/>
          <w:sz w:val="21"/>
        </w:rPr>
        <w:t>号</w:t>
      </w:r>
    </w:p>
    <w:p>
      <w:pPr>
        <w:framePr w:w="3020" w:wrap="around" w:vAnchor="margin" w:hAnchor="text" w:x="7482" w:y="105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办公地址：浙江省乐清市城南</w:t>
      </w:r>
    </w:p>
    <w:p>
      <w:pPr>
        <w:framePr w:w="3020" w:wrap="around" w:vAnchor="margin" w:hAnchor="text" w:x="7482" w:y="105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街道伯乐西路 </w:t>
      </w:r>
      <w:r>
        <w:rPr>
          <w:rFonts w:ascii="Times New Roman"/>
          <w:color w:val="000000"/>
          <w:spacing w:val="0"/>
          <w:sz w:val="21"/>
        </w:rPr>
        <w:t>99</w:t>
      </w:r>
      <w:r>
        <w:rPr>
          <w:rFonts w:ascii="SKJVQB+å®ä½" w:hAnsi="SKJVQB+å®ä½" w:cs="SKJVQB+å®ä½"/>
          <w:color w:val="000000"/>
          <w:spacing w:val="0"/>
          <w:sz w:val="21"/>
        </w:rPr>
        <w:t>号</w:t>
      </w:r>
    </w:p>
    <w:p>
      <w:pPr>
        <w:framePr w:w="2901" w:wrap="around" w:vAnchor="margin" w:hAnchor="text" w:x="4640" w:y="1182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浙江乐清农村商业银行股份</w:t>
      </w:r>
    </w:p>
    <w:p>
      <w:pPr>
        <w:framePr w:w="2901" w:wrap="around" w:vAnchor="margin" w:hAnchor="text" w:x="4640" w:y="1182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2312" w:wrap="around" w:vAnchor="margin" w:hAnchor="text" w:x="7482" w:y="130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法定代表人：高剑飞</w:t>
      </w:r>
    </w:p>
    <w:p>
      <w:pPr>
        <w:framePr w:w="2312"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联系人：金晓娇</w:t>
      </w:r>
    </w:p>
    <w:p>
      <w:pPr>
        <w:framePr w:w="3020" w:wrap="around" w:vAnchor="margin" w:hAnchor="text" w:x="7482" w:y="1368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0577-61566028</w:t>
      </w:r>
    </w:p>
    <w:p>
      <w:pPr>
        <w:framePr w:w="3020" w:wrap="around" w:vAnchor="margin" w:hAnchor="text" w:x="7482" w:y="1368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0577-61566063</w:t>
      </w:r>
    </w:p>
    <w:p>
      <w:pPr>
        <w:framePr w:w="3020" w:wrap="around" w:vAnchor="margin" w:hAnchor="text" w:x="7482" w:y="1368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4008896596</w:t>
      </w:r>
    </w:p>
    <w:p>
      <w:pPr>
        <w:framePr w:w="3020" w:wrap="around" w:vAnchor="margin" w:hAnchor="text" w:x="7482" w:y="1368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www.yqbank.com</w:t>
      </w:r>
    </w:p>
    <w:p>
      <w:pPr>
        <w:framePr w:w="3020" w:wrap="around" w:vAnchor="margin" w:hAnchor="text" w:x="7482" w:y="1368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注册地址：浙江省台州市路桥</w:t>
      </w:r>
    </w:p>
    <w:p>
      <w:pPr>
        <w:framePr w:w="2901" w:wrap="around" w:vAnchor="margin" w:hAnchor="text" w:x="4640" w:y="1495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浙江泰隆商业银行股份有限</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34</w:t>
      </w:r>
    </w:p>
    <w:p>
      <w:pPr>
        <w:spacing w:before="0" w:after="0" w:line="0" w:lineRule="exact"/>
        <w:ind w:left="0" w:right="0"/>
        <w:jc w:val="left"/>
        <w:rPr>
          <w:rFonts w:ascii="Arial"/>
          <w:color w:val="FF0000"/>
          <w:spacing w:val="0"/>
          <w:sz w:val="2"/>
        </w:rPr>
      </w:pPr>
      <w:r>
        <w:pict>
          <v:shape id="_x000072" o:spid="_x0000_s1098"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59" o:title=""/>
            <o:lock v:ext="edit" aspectratio="t"/>
          </v:shape>
        </w:pict>
      </w:r>
      <w:r>
        <w:pict>
          <v:shape id="_x000073" o:spid="_x0000_s1099"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6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737" w:wrap="around" w:vAnchor="margin" w:hAnchor="text" w:x="4640"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1998"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区南官大道 </w:t>
      </w:r>
      <w:r>
        <w:rPr>
          <w:rFonts w:ascii="Times New Roman"/>
          <w:color w:val="000000"/>
          <w:spacing w:val="0"/>
          <w:sz w:val="21"/>
        </w:rPr>
        <w:t>188</w:t>
      </w:r>
      <w:r>
        <w:rPr>
          <w:rFonts w:ascii="SKJVQB+å®ä½" w:hAnsi="SKJVQB+å®ä½" w:cs="SKJVQB+å®ä½"/>
          <w:color w:val="000000"/>
          <w:spacing w:val="0"/>
          <w:sz w:val="21"/>
        </w:rPr>
        <w:t>号</w:t>
      </w:r>
    </w:p>
    <w:p>
      <w:pPr>
        <w:framePr w:w="3020"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办公地址：浙江省杭州市上城</w:t>
      </w:r>
    </w:p>
    <w:p>
      <w:pPr>
        <w:framePr w:w="3020"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区望江东路 </w:t>
      </w:r>
      <w:r>
        <w:rPr>
          <w:rFonts w:ascii="Times New Roman"/>
          <w:color w:val="000000"/>
          <w:spacing w:val="0"/>
          <w:sz w:val="21"/>
        </w:rPr>
        <w:t>59</w:t>
      </w:r>
      <w:r>
        <w:rPr>
          <w:rFonts w:ascii="SKJVQB+å®ä½" w:hAnsi="SKJVQB+å®ä½" w:cs="SKJVQB+å®ä½"/>
          <w:color w:val="000000"/>
          <w:spacing w:val="0"/>
          <w:sz w:val="21"/>
        </w:rPr>
        <w:t>号</w:t>
      </w:r>
    </w:p>
    <w:p>
      <w:pPr>
        <w:framePr w:w="1998"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法定代表人：王钧</w:t>
      </w:r>
    </w:p>
    <w:p>
      <w:pPr>
        <w:framePr w:w="1789" w:wrap="around" w:vAnchor="margin" w:hAnchor="text" w:x="7482" w:y="27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联系人：陈妍宇</w:t>
      </w:r>
    </w:p>
    <w:p>
      <w:pPr>
        <w:framePr w:w="2588"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0571-87788979</w:t>
      </w:r>
    </w:p>
    <w:p>
      <w:pPr>
        <w:framePr w:w="2588"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0571-87788818</w:t>
      </w:r>
    </w:p>
    <w:p>
      <w:pPr>
        <w:framePr w:w="2588"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400-88-96575</w:t>
      </w:r>
    </w:p>
    <w:p>
      <w:pPr>
        <w:framePr w:w="2588"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www.zjtlcb.com</w:t>
      </w:r>
    </w:p>
    <w:p>
      <w:pPr>
        <w:framePr w:w="526" w:wrap="around" w:vAnchor="margin" w:hAnchor="text" w:x="3005" w:y="460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49</w:t>
      </w:r>
    </w:p>
    <w:p>
      <w:pPr>
        <w:framePr w:w="526" w:wrap="around" w:vAnchor="margin" w:hAnchor="text" w:x="3005" w:y="4606"/>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50</w:t>
      </w:r>
    </w:p>
    <w:p>
      <w:pPr>
        <w:framePr w:w="526" w:wrap="around" w:vAnchor="margin" w:hAnchor="text" w:x="3005" w:y="4606"/>
        <w:widowControl w:val="0"/>
        <w:autoSpaceDE w:val="0"/>
        <w:autoSpaceDN w:val="0"/>
        <w:spacing w:before="0" w:after="0" w:line="3133" w:lineRule="exact"/>
        <w:ind w:left="0" w:right="0"/>
        <w:jc w:val="left"/>
        <w:rPr>
          <w:rFonts w:ascii="Times New Roman"/>
          <w:color w:val="000000"/>
          <w:spacing w:val="0"/>
          <w:sz w:val="21"/>
        </w:rPr>
      </w:pPr>
      <w:r>
        <w:rPr>
          <w:rFonts w:ascii="Times New Roman"/>
          <w:color w:val="000000"/>
          <w:spacing w:val="0"/>
          <w:sz w:val="21"/>
        </w:rPr>
        <w:t>51</w:t>
      </w:r>
    </w:p>
    <w:p>
      <w:pPr>
        <w:framePr w:w="526" w:wrap="around" w:vAnchor="margin" w:hAnchor="text" w:x="3005" w:y="4606"/>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52</w:t>
      </w:r>
    </w:p>
    <w:p>
      <w:pPr>
        <w:framePr w:w="2901" w:wrap="around" w:vAnchor="margin" w:hAnchor="text" w:x="4640"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浙江杭州余杭农村商业银行</w:t>
      </w:r>
    </w:p>
    <w:p>
      <w:pPr>
        <w:framePr w:w="3020"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注册地址：浙江省杭州市余杭</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区南苑街道南大街 </w:t>
      </w:r>
      <w:r>
        <w:rPr>
          <w:rFonts w:ascii="Times New Roman"/>
          <w:color w:val="000000"/>
          <w:spacing w:val="0"/>
          <w:sz w:val="21"/>
        </w:rPr>
        <w:t>72</w:t>
      </w:r>
      <w:r>
        <w:rPr>
          <w:rFonts w:ascii="SKJVQB+å®ä½" w:hAnsi="SKJVQB+å®ä½" w:cs="SKJVQB+å®ä½"/>
          <w:color w:val="000000"/>
          <w:spacing w:val="0"/>
          <w:sz w:val="21"/>
        </w:rPr>
        <w:t>号</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办公地址：浙江省杭州市余杭</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区南苑街道南大街 </w:t>
      </w:r>
      <w:r>
        <w:rPr>
          <w:rFonts w:ascii="Times New Roman"/>
          <w:color w:val="000000"/>
          <w:spacing w:val="0"/>
          <w:sz w:val="21"/>
        </w:rPr>
        <w:t>72</w:t>
      </w:r>
      <w:r>
        <w:rPr>
          <w:rFonts w:ascii="SKJVQB+å®ä½" w:hAnsi="SKJVQB+å®ä½" w:cs="SKJVQB+å®ä½"/>
          <w:color w:val="000000"/>
          <w:spacing w:val="0"/>
          <w:sz w:val="21"/>
        </w:rPr>
        <w:t>号</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法定代表人：来煜标</w:t>
      </w:r>
    </w:p>
    <w:p>
      <w:pPr>
        <w:framePr w:w="1578" w:wrap="around" w:vAnchor="margin" w:hAnchor="text" w:x="4640"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股份有限公司</w:t>
      </w:r>
    </w:p>
    <w:p>
      <w:pPr>
        <w:framePr w:w="1578"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联系人：蔡亮</w:t>
      </w:r>
    </w:p>
    <w:p>
      <w:pPr>
        <w:framePr w:w="3266"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0571-86209980</w:t>
      </w:r>
    </w:p>
    <w:p>
      <w:pPr>
        <w:framePr w:w="3266"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0571-86137150</w:t>
      </w:r>
    </w:p>
    <w:p>
      <w:pPr>
        <w:framePr w:w="3266"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96596</w:t>
      </w:r>
      <w:r>
        <w:rPr>
          <w:rFonts w:ascii="SKJVQB+å®ä½" w:hAnsi="SKJVQB+å®ä½" w:cs="SKJVQB+å®ä½"/>
          <w:color w:val="000000"/>
          <w:spacing w:val="0"/>
          <w:sz w:val="21"/>
        </w:rPr>
        <w:t>，</w:t>
      </w:r>
      <w:r>
        <w:rPr>
          <w:rFonts w:ascii="Times New Roman"/>
          <w:color w:val="000000"/>
          <w:spacing w:val="0"/>
          <w:sz w:val="21"/>
        </w:rPr>
        <w:t>4008896596</w:t>
      </w:r>
    </w:p>
    <w:p>
      <w:pPr>
        <w:framePr w:w="3266"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www.yhrcb.com</w:t>
      </w:r>
    </w:p>
    <w:p>
      <w:pPr>
        <w:framePr w:w="3266" w:wrap="around" w:vAnchor="margin" w:hAnchor="text" w:x="7482" w:y="648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注册地址：杭州市富阳区鹿山</w:t>
      </w:r>
    </w:p>
    <w:p>
      <w:pPr>
        <w:framePr w:w="3266"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街道依江路 </w:t>
      </w:r>
      <w:r>
        <w:rPr>
          <w:rFonts w:ascii="Times New Roman"/>
          <w:color w:val="000000"/>
          <w:spacing w:val="0"/>
          <w:sz w:val="21"/>
        </w:rPr>
        <w:t>501</w:t>
      </w:r>
      <w:r>
        <w:rPr>
          <w:rFonts w:ascii="SKJVQB+å®ä½" w:hAnsi="SKJVQB+å®ä½" w:cs="SKJVQB+å®ä½"/>
          <w:color w:val="000000"/>
          <w:spacing w:val="0"/>
          <w:sz w:val="21"/>
        </w:rPr>
        <w:t xml:space="preserve">号第  </w:t>
      </w:r>
      <w:r>
        <w:rPr>
          <w:rFonts w:ascii="Times New Roman"/>
          <w:color w:val="000000"/>
          <w:spacing w:val="0"/>
          <w:sz w:val="21"/>
        </w:rPr>
        <w:t>1</w:t>
      </w:r>
      <w:r>
        <w:rPr>
          <w:rFonts w:ascii="SKJVQB+å®ä½" w:hAnsi="SKJVQB+å®ä½" w:cs="SKJVQB+å®ä½"/>
          <w:color w:val="000000"/>
          <w:spacing w:val="0"/>
          <w:sz w:val="21"/>
        </w:rPr>
        <w:t>幢</w:t>
      </w:r>
    </w:p>
    <w:p>
      <w:pPr>
        <w:framePr w:w="3266"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办公地址：杭州市富阳区鹿山</w:t>
      </w:r>
    </w:p>
    <w:p>
      <w:pPr>
        <w:framePr w:w="3266"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街道依江路 </w:t>
      </w:r>
      <w:r>
        <w:rPr>
          <w:rFonts w:ascii="Times New Roman"/>
          <w:color w:val="000000"/>
          <w:spacing w:val="0"/>
          <w:sz w:val="21"/>
        </w:rPr>
        <w:t>501</w:t>
      </w:r>
      <w:r>
        <w:rPr>
          <w:rFonts w:ascii="SKJVQB+å®ä½" w:hAnsi="SKJVQB+å®ä½" w:cs="SKJVQB+å®ä½"/>
          <w:color w:val="000000"/>
          <w:spacing w:val="0"/>
          <w:sz w:val="21"/>
        </w:rPr>
        <w:t xml:space="preserve">号第  </w:t>
      </w:r>
      <w:r>
        <w:rPr>
          <w:rFonts w:ascii="Times New Roman"/>
          <w:color w:val="000000"/>
          <w:spacing w:val="0"/>
          <w:sz w:val="21"/>
        </w:rPr>
        <w:t>1</w:t>
      </w:r>
      <w:r>
        <w:rPr>
          <w:rFonts w:ascii="SKJVQB+å®ä½" w:hAnsi="SKJVQB+å®ä½" w:cs="SKJVQB+å®ä½"/>
          <w:color w:val="000000"/>
          <w:spacing w:val="0"/>
          <w:sz w:val="21"/>
        </w:rPr>
        <w:t>幢</w:t>
      </w:r>
    </w:p>
    <w:p>
      <w:pPr>
        <w:framePr w:w="3266"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法定代表人：丁松茂</w:t>
      </w:r>
    </w:p>
    <w:p>
      <w:pPr>
        <w:framePr w:w="2901"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浙江富阳农村商业银行股份</w:t>
      </w:r>
    </w:p>
    <w:p>
      <w:pPr>
        <w:framePr w:w="2901" w:wrap="around" w:vAnchor="margin" w:hAnchor="text" w:x="4640"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1578" w:wrap="around" w:vAnchor="margin" w:hAnchor="text" w:x="7482" w:y="93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联系人：陈硕</w:t>
      </w:r>
    </w:p>
    <w:p>
      <w:pPr>
        <w:framePr w:w="3020"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0571-63280253</w:t>
      </w:r>
    </w:p>
    <w:p>
      <w:pPr>
        <w:framePr w:w="3020"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0571-63360418</w:t>
      </w:r>
    </w:p>
    <w:p>
      <w:pPr>
        <w:framePr w:w="3020"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4008896596</w:t>
      </w:r>
    </w:p>
    <w:p>
      <w:pPr>
        <w:framePr w:w="3020" w:wrap="around" w:vAnchor="margin" w:hAnchor="text" w:x="7482" w:y="9611"/>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www.fyrcbk.com</w:t>
      </w:r>
    </w:p>
    <w:p>
      <w:pPr>
        <w:framePr w:w="3020" w:wrap="around" w:vAnchor="margin" w:hAnchor="text" w:x="7482" w:y="961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注册地址：吉林省长春市二道</w:t>
      </w:r>
    </w:p>
    <w:p>
      <w:pPr>
        <w:framePr w:w="3020"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区自由大路 </w:t>
      </w:r>
      <w:r>
        <w:rPr>
          <w:rFonts w:ascii="Times New Roman"/>
          <w:color w:val="000000"/>
          <w:spacing w:val="0"/>
          <w:sz w:val="21"/>
        </w:rPr>
        <w:t>5755</w:t>
      </w:r>
      <w:r>
        <w:rPr>
          <w:rFonts w:ascii="SKJVQB+å®ä½" w:hAnsi="SKJVQB+å®ä½" w:cs="SKJVQB+å®ä½"/>
          <w:color w:val="000000"/>
          <w:spacing w:val="0"/>
          <w:sz w:val="21"/>
        </w:rPr>
        <w:t>号</w:t>
      </w:r>
    </w:p>
    <w:p>
      <w:pPr>
        <w:framePr w:w="2901"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长春农村商业银行股份有限</w:t>
      </w:r>
    </w:p>
    <w:p>
      <w:pPr>
        <w:framePr w:w="2901" w:wrap="around" w:vAnchor="margin" w:hAnchor="text" w:x="4640"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1"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办公地址：吉林省长春市绿园</w:t>
      </w:r>
    </w:p>
    <w:p>
      <w:pPr>
        <w:framePr w:w="3021"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区正阳街 </w:t>
      </w:r>
      <w:r>
        <w:rPr>
          <w:rFonts w:ascii="Times New Roman"/>
          <w:color w:val="000000"/>
          <w:spacing w:val="0"/>
          <w:sz w:val="21"/>
        </w:rPr>
        <w:t>4288</w:t>
      </w:r>
      <w:r>
        <w:rPr>
          <w:rFonts w:ascii="SKJVQB+å®ä½" w:hAnsi="SKJVQB+å®ä½" w:cs="SKJVQB+å®ä½"/>
          <w:color w:val="000000"/>
          <w:spacing w:val="0"/>
          <w:sz w:val="21"/>
        </w:rPr>
        <w:t>号</w:t>
      </w:r>
    </w:p>
    <w:p>
      <w:pPr>
        <w:framePr w:w="2209" w:wrap="around" w:vAnchor="margin" w:hAnchor="text" w:x="7482"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法定代表人：马铁刚</w:t>
      </w:r>
    </w:p>
    <w:p>
      <w:pPr>
        <w:framePr w:w="1789"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联系人：张俊峰</w:t>
      </w:r>
    </w:p>
    <w:p>
      <w:pPr>
        <w:framePr w:w="3020" w:wrap="around" w:vAnchor="margin" w:hAnchor="text" w:x="7482" w:y="1274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0431-89115109</w:t>
      </w:r>
    </w:p>
    <w:p>
      <w:pPr>
        <w:framePr w:w="3020"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0431-89115154</w:t>
      </w:r>
    </w:p>
    <w:p>
      <w:pPr>
        <w:framePr w:w="3020"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96888-0-1</w:t>
      </w:r>
    </w:p>
    <w:p>
      <w:pPr>
        <w:framePr w:w="3020"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http://www.cccb.cn</w:t>
      </w:r>
    </w:p>
    <w:p>
      <w:pPr>
        <w:framePr w:w="3020" w:wrap="around" w:vAnchor="margin" w:hAnchor="text" w:x="7482" w:y="1274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注册地址：山东省淄博市张店</w:t>
      </w:r>
    </w:p>
    <w:p>
      <w:pPr>
        <w:framePr w:w="3020"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区金晶大道 </w:t>
      </w:r>
      <w:r>
        <w:rPr>
          <w:rFonts w:ascii="Times New Roman"/>
          <w:color w:val="000000"/>
          <w:spacing w:val="0"/>
          <w:sz w:val="21"/>
        </w:rPr>
        <w:t>105</w:t>
      </w:r>
      <w:r>
        <w:rPr>
          <w:rFonts w:ascii="SKJVQB+å®ä½" w:hAnsi="SKJVQB+å®ä½" w:cs="SKJVQB+å®ä½"/>
          <w:color w:val="000000"/>
          <w:spacing w:val="0"/>
          <w:sz w:val="21"/>
        </w:rPr>
        <w:t>号</w:t>
      </w:r>
    </w:p>
    <w:p>
      <w:pPr>
        <w:framePr w:w="2418" w:wrap="around" w:vAnchor="margin" w:hAnchor="text" w:x="4640"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齐商银行股份有限公司</w:t>
      </w:r>
    </w:p>
    <w:p>
      <w:pPr>
        <w:framePr w:w="3020"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办公地址：山东省淄博市张店</w:t>
      </w:r>
    </w:p>
    <w:p>
      <w:pPr>
        <w:framePr w:w="3020" w:wrap="around" w:vAnchor="margin" w:hAnchor="text" w:x="7482" w:y="146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区金晶大道 </w:t>
      </w:r>
      <w:r>
        <w:rPr>
          <w:rFonts w:ascii="Times New Roman"/>
          <w:color w:val="000000"/>
          <w:spacing w:val="0"/>
          <w:sz w:val="21"/>
        </w:rPr>
        <w:t>105</w:t>
      </w:r>
      <w:r>
        <w:rPr>
          <w:rFonts w:ascii="SKJVQB+å®ä½" w:hAnsi="SKJVQB+å®ä½" w:cs="SKJVQB+å®ä½"/>
          <w:color w:val="000000"/>
          <w:spacing w:val="0"/>
          <w:sz w:val="21"/>
        </w:rPr>
        <w:t>号</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35</w:t>
      </w:r>
    </w:p>
    <w:p>
      <w:pPr>
        <w:spacing w:before="0" w:after="0" w:line="0" w:lineRule="exact"/>
        <w:ind w:left="0" w:right="0"/>
        <w:jc w:val="left"/>
        <w:rPr>
          <w:rFonts w:ascii="Arial"/>
          <w:color w:val="FF0000"/>
          <w:spacing w:val="0"/>
          <w:sz w:val="2"/>
        </w:rPr>
      </w:pPr>
      <w:r>
        <w:pict>
          <v:shape id="_x000074" o:spid="_x0000_s110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61" o:title=""/>
            <o:lock v:ext="edit" aspectratio="t"/>
          </v:shape>
        </w:pict>
      </w:r>
      <w:r>
        <w:pict>
          <v:shape id="_x000075" o:spid="_x0000_s1101"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6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0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法定代表人：杲传勇</w:t>
      </w:r>
    </w:p>
    <w:p>
      <w:pPr>
        <w:framePr w:w="2209"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联系人：焦浦</w:t>
      </w:r>
    </w:p>
    <w:p>
      <w:pPr>
        <w:framePr w:w="2709"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0533-2178888-9907</w:t>
      </w:r>
    </w:p>
    <w:p>
      <w:pPr>
        <w:framePr w:w="2709"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0533-6120373</w:t>
      </w:r>
    </w:p>
    <w:p>
      <w:pPr>
        <w:framePr w:w="2709"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96588</w:t>
      </w:r>
    </w:p>
    <w:p>
      <w:pPr>
        <w:framePr w:w="2277"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www.qsbank.cc</w:t>
      </w:r>
    </w:p>
    <w:p>
      <w:pPr>
        <w:framePr w:w="526" w:wrap="around" w:vAnchor="margin" w:hAnchor="text" w:x="3005" w:y="335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53</w:t>
      </w:r>
    </w:p>
    <w:p>
      <w:pPr>
        <w:framePr w:w="2901" w:wrap="around" w:vAnchor="margin" w:hAnchor="text" w:x="4640"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浙江萧山农村商业银行股份</w:t>
      </w:r>
    </w:p>
    <w:p>
      <w:pPr>
        <w:framePr w:w="2901" w:wrap="around" w:vAnchor="margin" w:hAnchor="text" w:x="4640"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3020"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注册地址：杭州市萧山区人民</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258</w:t>
      </w:r>
      <w:r>
        <w:rPr>
          <w:rFonts w:ascii="SKJVQB+å®ä½" w:hAnsi="SKJVQB+å®ä½" w:cs="SKJVQB+å®ä½"/>
          <w:color w:val="000000"/>
          <w:spacing w:val="0"/>
          <w:sz w:val="21"/>
        </w:rPr>
        <w:t>号</w:t>
      </w:r>
    </w:p>
    <w:p>
      <w:pPr>
        <w:framePr w:w="3020"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办公地址：杭州市萧山区人民</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258</w:t>
      </w:r>
      <w:r>
        <w:rPr>
          <w:rFonts w:ascii="SKJVQB+å®ä½" w:hAnsi="SKJVQB+å®ä½" w:cs="SKJVQB+å®ä½"/>
          <w:color w:val="000000"/>
          <w:spacing w:val="0"/>
          <w:sz w:val="21"/>
        </w:rPr>
        <w:t>号</w:t>
      </w:r>
    </w:p>
    <w:p>
      <w:pPr>
        <w:framePr w:w="2209"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法定代表人：王云龙</w:t>
      </w:r>
    </w:p>
    <w:p>
      <w:pPr>
        <w:framePr w:w="2209"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联系人：朱光锋</w:t>
      </w:r>
    </w:p>
    <w:p>
      <w:pPr>
        <w:framePr w:w="2284" w:wrap="around" w:vAnchor="margin" w:hAnchor="text" w:x="7482" w:y="523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0571-82739513</w:t>
      </w:r>
    </w:p>
    <w:p>
      <w:pPr>
        <w:framePr w:w="2284"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0571-82739513</w:t>
      </w:r>
    </w:p>
    <w:p>
      <w:pPr>
        <w:framePr w:w="2284"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96596</w:t>
      </w:r>
    </w:p>
    <w:p>
      <w:pPr>
        <w:framePr w:w="949"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647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http://www.zjxsbank.com</w:t>
      </w:r>
    </w:p>
    <w:p>
      <w:pPr>
        <w:framePr w:w="3020" w:wrap="around" w:vAnchor="margin" w:hAnchor="text" w:x="7482" w:y="6478"/>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注册地址：山西省晋中市榆</w:t>
      </w:r>
    </w:p>
    <w:p>
      <w:pPr>
        <w:framePr w:w="3020" w:wrap="around" w:vAnchor="margin" w:hAnchor="text" w:x="7482" w:y="64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次区迎宾西街 </w:t>
      </w:r>
      <w:r>
        <w:rPr>
          <w:rFonts w:ascii="Times New Roman"/>
          <w:color w:val="000000"/>
          <w:spacing w:val="0"/>
          <w:sz w:val="21"/>
        </w:rPr>
        <w:t>65</w:t>
      </w:r>
      <w:r>
        <w:rPr>
          <w:rFonts w:ascii="SKJVQB+å®ä½" w:hAnsi="SKJVQB+å®ä½" w:cs="SKJVQB+å®ä½"/>
          <w:color w:val="000000"/>
          <w:spacing w:val="0"/>
          <w:sz w:val="21"/>
        </w:rPr>
        <w:t>号</w:t>
      </w:r>
    </w:p>
    <w:p>
      <w:pPr>
        <w:framePr w:w="3020" w:wrap="around" w:vAnchor="margin" w:hAnchor="text" w:x="7482" w:y="64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办公地址：山西省晋中市榆次</w:t>
      </w:r>
    </w:p>
    <w:p>
      <w:pPr>
        <w:framePr w:w="3020" w:wrap="around" w:vAnchor="margin" w:hAnchor="text" w:x="7482" w:y="64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区迎宾西街 </w:t>
      </w:r>
      <w:r>
        <w:rPr>
          <w:rFonts w:ascii="Times New Roman"/>
          <w:color w:val="000000"/>
          <w:spacing w:val="0"/>
          <w:sz w:val="21"/>
        </w:rPr>
        <w:t>65</w:t>
      </w:r>
      <w:r>
        <w:rPr>
          <w:rFonts w:ascii="SKJVQB+å®ä½" w:hAnsi="SKJVQB+å®ä½" w:cs="SKJVQB+å®ä½"/>
          <w:color w:val="000000"/>
          <w:spacing w:val="0"/>
          <w:sz w:val="21"/>
        </w:rPr>
        <w:t>号</w:t>
      </w:r>
    </w:p>
    <w:p>
      <w:pPr>
        <w:framePr w:w="526" w:wrap="around" w:vAnchor="margin" w:hAnchor="text" w:x="3005"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54</w:t>
      </w:r>
    </w:p>
    <w:p>
      <w:pPr>
        <w:framePr w:w="2418"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晋中银行股份有限公司</w:t>
      </w:r>
    </w:p>
    <w:p>
      <w:pPr>
        <w:framePr w:w="2312" w:wrap="around" w:vAnchor="margin" w:hAnchor="text" w:x="7482"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法定代表人：刘海滨</w:t>
      </w:r>
    </w:p>
    <w:p>
      <w:pPr>
        <w:framePr w:w="2312" w:wrap="around" w:vAnchor="margin" w:hAnchor="text" w:x="7482" w:y="80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联系人：贺莎莎</w:t>
      </w:r>
    </w:p>
    <w:p>
      <w:pPr>
        <w:framePr w:w="2417" w:wrap="around" w:vAnchor="margin" w:hAnchor="text" w:x="7482" w:y="86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18634889009</w:t>
      </w:r>
    </w:p>
    <w:p>
      <w:pPr>
        <w:framePr w:w="2417" w:wrap="around" w:vAnchor="margin" w:hAnchor="text" w:x="7482" w:y="86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95105678</w:t>
      </w:r>
    </w:p>
    <w:p>
      <w:pPr>
        <w:framePr w:w="2417" w:wrap="around" w:vAnchor="margin" w:hAnchor="text" w:x="7482" w:y="86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www.jzbank.com</w:t>
      </w:r>
    </w:p>
    <w:p>
      <w:pPr>
        <w:framePr w:w="4710" w:wrap="around" w:vAnchor="margin" w:hAnchor="text" w:x="1800" w:y="10058"/>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SKJVQB+å®ä½" w:hAnsi="SKJVQB+å®ä½" w:cs="SKJVQB+å®ä½"/>
          <w:color w:val="222222"/>
          <w:spacing w:val="0"/>
          <w:sz w:val="24"/>
        </w:rPr>
        <w:t>南方双元</w:t>
      </w:r>
      <w:r>
        <w:rPr>
          <w:rFonts w:ascii="GGHCMB+å®ä½"/>
          <w:color w:val="222222"/>
          <w:spacing w:val="0"/>
          <w:sz w:val="24"/>
        </w:rPr>
        <w:t>A</w:t>
      </w:r>
      <w:r>
        <w:rPr>
          <w:rFonts w:ascii="SKJVQB+å®ä½" w:hAnsi="SKJVQB+å®ä½" w:cs="SKJVQB+å®ä½"/>
          <w:color w:val="222222"/>
          <w:spacing w:val="0"/>
          <w:sz w:val="24"/>
        </w:rPr>
        <w:t>代销券商及其他代销机构：</w:t>
      </w:r>
    </w:p>
    <w:p>
      <w:pPr>
        <w:framePr w:w="737" w:wrap="around" w:vAnchor="margin" w:hAnchor="text" w:x="1800" w:y="10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framePr w:w="1578" w:wrap="around" w:vAnchor="margin" w:hAnchor="text" w:x="4640" w:y="10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代销机构名称</w:t>
      </w:r>
    </w:p>
    <w:p>
      <w:pPr>
        <w:framePr w:w="1578" w:wrap="around" w:vAnchor="margin" w:hAnchor="text" w:x="7482" w:y="10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代销机构信息</w:t>
      </w:r>
    </w:p>
    <w:p>
      <w:pPr>
        <w:framePr w:w="421" w:wrap="around" w:vAnchor="margin" w:hAnchor="text" w:x="4319" w:y="1130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w:t>
      </w:r>
    </w:p>
    <w:p>
      <w:pPr>
        <w:framePr w:w="2418" w:wrap="around" w:vAnchor="margin" w:hAnchor="text" w:x="4640" w:y="1131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华泰证券股份有限公司</w:t>
      </w:r>
    </w:p>
    <w:p>
      <w:pPr>
        <w:framePr w:w="2901" w:wrap="around" w:vAnchor="margin" w:hAnchor="text" w:x="7482" w:y="1131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注册地址：南京市江东中路</w:t>
      </w:r>
    </w:p>
    <w:p>
      <w:pPr>
        <w:framePr w:w="2901" w:wrap="around" w:vAnchor="margin" w:hAnchor="text" w:x="7482" w:y="1131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228</w:t>
      </w:r>
      <w:r>
        <w:rPr>
          <w:rFonts w:ascii="SKJVQB+å®ä½" w:hAnsi="SKJVQB+å®ä½" w:cs="SKJVQB+å®ä½"/>
          <w:color w:val="000000"/>
          <w:spacing w:val="0"/>
          <w:sz w:val="21"/>
        </w:rPr>
        <w:t>号</w:t>
      </w:r>
    </w:p>
    <w:p>
      <w:pPr>
        <w:framePr w:w="1998" w:wrap="around" w:vAnchor="margin" w:hAnchor="text" w:x="7482" w:y="1193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法定代表人：周易</w:t>
      </w:r>
    </w:p>
    <w:p>
      <w:pPr>
        <w:framePr w:w="1998" w:wrap="around" w:vAnchor="margin" w:hAnchor="text" w:x="7482" w:y="1193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联系人：庞晓芸</w:t>
      </w:r>
    </w:p>
    <w:p>
      <w:pPr>
        <w:framePr w:w="3020" w:wrap="around" w:vAnchor="margin" w:hAnchor="text" w:x="7482" w:y="1255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0755-82492193</w:t>
      </w:r>
    </w:p>
    <w:p>
      <w:pPr>
        <w:framePr w:w="3020" w:wrap="around" w:vAnchor="margin" w:hAnchor="text" w:x="7482" w:y="1255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95597</w:t>
      </w:r>
    </w:p>
    <w:p>
      <w:pPr>
        <w:framePr w:w="3020" w:wrap="around" w:vAnchor="margin" w:hAnchor="text" w:x="7482" w:y="1255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www.htsc.com.cn</w:t>
      </w:r>
    </w:p>
    <w:p>
      <w:pPr>
        <w:framePr w:w="3020" w:wrap="around" w:vAnchor="margin" w:hAnchor="text" w:x="7482" w:y="12554"/>
        <w:widowControl w:val="0"/>
        <w:autoSpaceDE w:val="0"/>
        <w:autoSpaceDN w:val="0"/>
        <w:spacing w:before="0" w:after="0" w:line="322"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注册地址：福州市湖东路 </w:t>
      </w:r>
      <w:r>
        <w:rPr>
          <w:rFonts w:ascii="Times New Roman"/>
          <w:color w:val="000000"/>
          <w:spacing w:val="0"/>
          <w:sz w:val="21"/>
        </w:rPr>
        <w:t xml:space="preserve"> 268</w:t>
      </w:r>
    </w:p>
    <w:p>
      <w:pPr>
        <w:framePr w:w="3020" w:wrap="around" w:vAnchor="margin" w:hAnchor="text" w:x="7482" w:y="1255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421" w:wrap="around" w:vAnchor="margin" w:hAnchor="text" w:x="4319" w:y="1349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w:t>
      </w:r>
    </w:p>
    <w:p>
      <w:pPr>
        <w:framePr w:w="2418" w:wrap="around" w:vAnchor="margin" w:hAnchor="text" w:x="4640" w:y="1350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兴业证券股份有限公司</w:t>
      </w:r>
    </w:p>
    <w:p>
      <w:pPr>
        <w:framePr w:w="3020" w:wrap="around" w:vAnchor="margin" w:hAnchor="text" w:x="7482" w:y="1413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办公地址：上海市浦东新区长</w:t>
      </w:r>
    </w:p>
    <w:p>
      <w:pPr>
        <w:framePr w:w="3020" w:wrap="around" w:vAnchor="margin" w:hAnchor="text" w:x="7482" w:y="1413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柳路 </w:t>
      </w:r>
      <w:r>
        <w:rPr>
          <w:rFonts w:ascii="Times New Roman"/>
          <w:color w:val="000000"/>
          <w:spacing w:val="0"/>
          <w:sz w:val="21"/>
        </w:rPr>
        <w:t>36</w:t>
      </w:r>
      <w:r>
        <w:rPr>
          <w:rFonts w:ascii="SKJVQB+å®ä½" w:hAnsi="SKJVQB+å®ä½" w:cs="SKJVQB+å®ä½"/>
          <w:color w:val="000000"/>
          <w:spacing w:val="0"/>
          <w:sz w:val="21"/>
        </w:rPr>
        <w:t>号</w:t>
      </w:r>
    </w:p>
    <w:p>
      <w:pPr>
        <w:framePr w:w="2209" w:wrap="around" w:vAnchor="margin" w:hAnchor="text" w:x="7482" w:y="1475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法定代表人：杨华辉</w:t>
      </w:r>
    </w:p>
    <w:p>
      <w:pPr>
        <w:framePr w:w="2209" w:wrap="around" w:vAnchor="margin" w:hAnchor="text" w:x="7482" w:y="1475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联系人：乔琳雪</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36</w:t>
      </w:r>
    </w:p>
    <w:p>
      <w:pPr>
        <w:spacing w:before="0" w:after="0" w:line="0" w:lineRule="exact"/>
        <w:ind w:left="0" w:right="0"/>
        <w:jc w:val="left"/>
        <w:rPr>
          <w:rFonts w:ascii="Arial"/>
          <w:color w:val="FF0000"/>
          <w:spacing w:val="0"/>
          <w:sz w:val="2"/>
        </w:rPr>
      </w:pPr>
      <w:r>
        <w:pict>
          <v:shape id="_x000076" o:spid="_x0000_s110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63" o:title=""/>
            <o:lock v:ext="edit" aspectratio="t"/>
          </v:shape>
        </w:pict>
      </w:r>
      <w:r>
        <w:pict>
          <v:shape id="_x000077" o:spid="_x0000_s1103" o:spt="75" type="#_x0000_t75" style="position:absolute;left:0pt;margin-left:84.4pt;margin-top:71.1pt;height:407.7pt;width:426.7pt;mso-position-horizontal-relative:page;mso-position-vertical-relative:page;z-index:-1024;mso-width-relative:page;mso-height-relative:page;" filled="f" coordsize="21600,21600">
            <v:path/>
            <v:fill on="f" focussize="0,0"/>
            <v:stroke/>
            <v:imagedata r:id="rId64" o:title=""/>
            <o:lock v:ext="edit" aspectratio="t"/>
          </v:shape>
        </w:pict>
      </w:r>
      <w:r>
        <w:pict>
          <v:shape id="_x000078" o:spid="_x0000_s1104" o:spt="75" type="#_x0000_t75" style="position:absolute;left:0pt;margin-left:84.4pt;margin-top:546.4pt;height:220.45pt;width:426.7pt;mso-position-horizontal-relative:page;mso-position-vertical-relative:page;z-index:-1024;mso-width-relative:page;mso-height-relative:page;" filled="f" coordsize="21600,21600">
            <v:path/>
            <v:fill on="f" focussize="0,0"/>
            <v:stroke/>
            <v:imagedata r:id="rId6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626"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021-38565547</w:t>
      </w:r>
    </w:p>
    <w:p>
      <w:pPr>
        <w:framePr w:w="2626"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95562</w:t>
      </w:r>
    </w:p>
    <w:p>
      <w:pPr>
        <w:framePr w:w="2526"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www.xyzq.com.cn</w:t>
      </w:r>
    </w:p>
    <w:p>
      <w:pPr>
        <w:framePr w:w="421" w:wrap="around" w:vAnchor="margin" w:hAnchor="text" w:x="4319" w:y="242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w:t>
      </w:r>
    </w:p>
    <w:p>
      <w:pPr>
        <w:framePr w:w="2901" w:wrap="around" w:vAnchor="margin" w:hAnchor="text" w:x="4640"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中国银河证券股份有限公司</w:t>
      </w:r>
    </w:p>
    <w:p>
      <w:pPr>
        <w:framePr w:w="3020"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35</w:t>
      </w:r>
      <w:r>
        <w:rPr>
          <w:rFonts w:ascii="SKJVQB+å®ä½" w:hAnsi="SKJVQB+å®ä½" w:cs="SKJVQB+å®ä½"/>
          <w:color w:val="000000"/>
          <w:spacing w:val="0"/>
          <w:sz w:val="21"/>
        </w:rPr>
        <w:t xml:space="preserve">号  </w:t>
      </w:r>
      <w:r>
        <w:rPr>
          <w:rFonts w:ascii="Times New Roman"/>
          <w:color w:val="000000"/>
          <w:spacing w:val="0"/>
          <w:sz w:val="21"/>
        </w:rPr>
        <w:t>2-6</w:t>
      </w:r>
      <w:r>
        <w:rPr>
          <w:rFonts w:ascii="SKJVQB+å®ä½" w:hAnsi="SKJVQB+å®ä½" w:cs="SKJVQB+å®ä½"/>
          <w:color w:val="000000"/>
          <w:spacing w:val="0"/>
          <w:sz w:val="21"/>
        </w:rPr>
        <w:t>层</w:t>
      </w:r>
    </w:p>
    <w:p>
      <w:pPr>
        <w:framePr w:w="3021"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35</w:t>
      </w:r>
      <w:r>
        <w:rPr>
          <w:rFonts w:ascii="SKJVQB+å®ä½" w:hAnsi="SKJVQB+å®ä½" w:cs="SKJVQB+å®ä½"/>
          <w:color w:val="000000"/>
          <w:spacing w:val="0"/>
          <w:sz w:val="21"/>
        </w:rPr>
        <w:t xml:space="preserve">号国际企业大厦 </w:t>
      </w:r>
      <w:r>
        <w:rPr>
          <w:rFonts w:ascii="Times New Roman"/>
          <w:color w:val="000000"/>
          <w:spacing w:val="0"/>
          <w:sz w:val="21"/>
        </w:rPr>
        <w:t>C</w:t>
      </w:r>
      <w:r>
        <w:rPr>
          <w:rFonts w:ascii="SKJVQB+å®ä½" w:hAnsi="SKJVQB+å®ä½" w:cs="SKJVQB+å®ä½"/>
          <w:color w:val="000000"/>
          <w:spacing w:val="0"/>
          <w:sz w:val="21"/>
        </w:rPr>
        <w:t>座</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法定代表人：陈共炎</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联系人：辛国政</w:t>
      </w:r>
    </w:p>
    <w:p>
      <w:pPr>
        <w:framePr w:w="2879"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010-83574507</w:t>
      </w:r>
    </w:p>
    <w:p>
      <w:pPr>
        <w:framePr w:w="2879" w:wrap="around" w:vAnchor="margin" w:hAnchor="text" w:x="7482" w:y="4296"/>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4008-888-888</w:t>
      </w:r>
      <w:r>
        <w:rPr>
          <w:rFonts w:ascii="SKJVQB+å®ä½" w:hAnsi="SKJVQB+å®ä½" w:cs="SKJVQB+å®ä½"/>
          <w:color w:val="000000"/>
          <w:spacing w:val="0"/>
          <w:sz w:val="21"/>
        </w:rPr>
        <w:t>或</w:t>
      </w:r>
    </w:p>
    <w:p>
      <w:pPr>
        <w:framePr w:w="2879" w:wrap="around" w:vAnchor="margin" w:hAnchor="text" w:x="7482" w:y="4296"/>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95551</w:t>
      </w:r>
    </w:p>
    <w:p>
      <w:pPr>
        <w:framePr w:w="3092" w:wrap="around" w:vAnchor="margin" w:hAnchor="text" w:x="7482" w:y="523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www.chinastock.com.cn</w:t>
      </w:r>
    </w:p>
    <w:p>
      <w:pPr>
        <w:framePr w:w="3092" w:wrap="around" w:vAnchor="margin" w:hAnchor="text" w:x="7482" w:y="523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092" w:wrap="around" w:vAnchor="margin" w:hAnchor="text" w:x="7482" w:y="52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贸易试验区商城路 </w:t>
      </w:r>
      <w:r>
        <w:rPr>
          <w:rFonts w:ascii="Times New Roman"/>
          <w:color w:val="000000"/>
          <w:spacing w:val="0"/>
          <w:sz w:val="21"/>
        </w:rPr>
        <w:t>618</w:t>
      </w:r>
      <w:r>
        <w:rPr>
          <w:rFonts w:ascii="SKJVQB+å®ä½" w:hAnsi="SKJVQB+å®ä½" w:cs="SKJVQB+å®ä½"/>
          <w:color w:val="000000"/>
          <w:spacing w:val="0"/>
          <w:sz w:val="21"/>
        </w:rPr>
        <w:t>号</w:t>
      </w:r>
    </w:p>
    <w:p>
      <w:pPr>
        <w:framePr w:w="3092" w:wrap="around" w:vAnchor="margin" w:hAnchor="text" w:x="7482" w:y="52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framePr w:w="3092" w:wrap="around" w:vAnchor="margin" w:hAnchor="text" w:x="7482" w:y="52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framePr w:w="421" w:wrap="around" w:vAnchor="margin" w:hAnchor="text" w:x="4319" w:y="555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w:t>
      </w:r>
    </w:p>
    <w:p>
      <w:pPr>
        <w:framePr w:w="2901" w:wrap="around" w:vAnchor="margin" w:hAnchor="text" w:x="4640"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国泰君安证券股份有限公司</w:t>
      </w:r>
    </w:p>
    <w:p>
      <w:pPr>
        <w:framePr w:w="2209" w:wrap="around" w:vAnchor="margin" w:hAnchor="text" w:x="7482"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法定代表人：杨德红</w:t>
      </w:r>
    </w:p>
    <w:p>
      <w:pPr>
        <w:framePr w:w="2209" w:wrap="around" w:vAnchor="margin" w:hAnchor="text" w:x="7482" w:y="68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联系人：芮敏祺</w:t>
      </w:r>
    </w:p>
    <w:p>
      <w:pPr>
        <w:framePr w:w="3020"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SKJVQB+å®ä½" w:hAnsi="SKJVQB+å®ä½" w:cs="SKJVQB+å®ä½"/>
          <w:color w:val="000000"/>
          <w:spacing w:val="0"/>
          <w:sz w:val="21"/>
        </w:rPr>
        <w:t>－</w:t>
      </w:r>
      <w:r>
        <w:rPr>
          <w:rFonts w:ascii="Times New Roman"/>
          <w:color w:val="000000"/>
          <w:spacing w:val="0"/>
          <w:sz w:val="21"/>
        </w:rPr>
        <w:t>38676666</w:t>
      </w:r>
    </w:p>
    <w:p>
      <w:pPr>
        <w:framePr w:w="3020" w:wrap="around" w:vAnchor="margin" w:hAnchor="text" w:x="7482" w:y="74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4008888666</w:t>
      </w:r>
    </w:p>
    <w:p>
      <w:pPr>
        <w:framePr w:w="3020" w:wrap="around" w:vAnchor="margin" w:hAnchor="text" w:x="7482" w:y="74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www.gtja.com</w:t>
      </w:r>
    </w:p>
    <w:p>
      <w:pPr>
        <w:framePr w:w="3020" w:wrap="around" w:vAnchor="margin" w:hAnchor="text" w:x="7482" w:y="742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注册地址：济南市市中区经七</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86</w:t>
      </w:r>
      <w:r>
        <w:rPr>
          <w:rFonts w:ascii="SKJVQB+å®ä½" w:hAnsi="SKJVQB+å®ä½" w:cs="SKJVQB+å®ä½"/>
          <w:color w:val="000000"/>
          <w:spacing w:val="0"/>
          <w:sz w:val="21"/>
        </w:rPr>
        <w:t>号</w:t>
      </w:r>
    </w:p>
    <w:p>
      <w:pPr>
        <w:framePr w:w="421" w:wrap="around" w:vAnchor="margin" w:hAnchor="text" w:x="4319" w:y="837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w:t>
      </w:r>
    </w:p>
    <w:p>
      <w:pPr>
        <w:framePr w:w="2418" w:wrap="around" w:vAnchor="margin" w:hAnchor="text" w:x="4640" w:y="83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中泰证券股份有限公司</w:t>
      </w:r>
    </w:p>
    <w:p>
      <w:pPr>
        <w:framePr w:w="3020" w:wrap="around" w:vAnchor="margin" w:hAnchor="text" w:x="7482"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办公地址：山东省济南市市中</w:t>
      </w:r>
    </w:p>
    <w:p>
      <w:pPr>
        <w:framePr w:w="3020" w:wrap="around" w:vAnchor="margin" w:hAnchor="text" w:x="7482"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区经七路 </w:t>
      </w:r>
      <w:r>
        <w:rPr>
          <w:rFonts w:ascii="Times New Roman"/>
          <w:color w:val="000000"/>
          <w:spacing w:val="0"/>
          <w:sz w:val="21"/>
        </w:rPr>
        <w:t>86</w:t>
      </w:r>
      <w:r>
        <w:rPr>
          <w:rFonts w:ascii="SKJVQB+å®ä½" w:hAnsi="SKJVQB+å®ä½" w:cs="SKJVQB+å®ä½"/>
          <w:color w:val="000000"/>
          <w:spacing w:val="0"/>
          <w:sz w:val="21"/>
        </w:rPr>
        <w:t>号</w:t>
      </w:r>
    </w:p>
    <w:p>
      <w:pPr>
        <w:framePr w:w="1998"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法定代表人：李玮</w:t>
      </w:r>
    </w:p>
    <w:p>
      <w:pPr>
        <w:framePr w:w="1789"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联系人：许曼华</w:t>
      </w:r>
    </w:p>
    <w:p>
      <w:pPr>
        <w:framePr w:w="2178" w:wrap="around" w:vAnchor="margin" w:hAnchor="text" w:x="7482" w:y="1024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021-20315290</w:t>
      </w:r>
    </w:p>
    <w:p>
      <w:pPr>
        <w:framePr w:w="2178" w:wrap="around" w:vAnchor="margin" w:hAnchor="text" w:x="7482" w:y="10247"/>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021-20315137</w:t>
      </w:r>
    </w:p>
    <w:p>
      <w:pPr>
        <w:framePr w:w="2178" w:wrap="around" w:vAnchor="margin" w:hAnchor="text" w:x="7482" w:y="102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95538</w:t>
      </w:r>
    </w:p>
    <w:p>
      <w:pPr>
        <w:framePr w:w="3020"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www.zts.com.cn</w:t>
      </w:r>
    </w:p>
    <w:p>
      <w:pPr>
        <w:framePr w:w="3020" w:wrap="around" w:vAnchor="margin" w:hAnchor="text" w:x="7482" w:y="11183"/>
        <w:widowControl w:val="0"/>
        <w:autoSpaceDE w:val="0"/>
        <w:autoSpaceDN w:val="0"/>
        <w:spacing w:before="0" w:after="0" w:line="322"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注册地址：上海市广东路 </w:t>
      </w:r>
      <w:r>
        <w:rPr>
          <w:rFonts w:ascii="Times New Roman"/>
          <w:color w:val="000000"/>
          <w:spacing w:val="0"/>
          <w:sz w:val="21"/>
        </w:rPr>
        <w:t xml:space="preserve"> 689</w:t>
      </w:r>
    </w:p>
    <w:p>
      <w:pPr>
        <w:framePr w:w="3020"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421" w:wrap="around" w:vAnchor="margin" w:hAnchor="text" w:x="4319" w:y="1150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w:t>
      </w:r>
    </w:p>
    <w:p>
      <w:pPr>
        <w:framePr w:w="2418" w:wrap="around" w:vAnchor="margin" w:hAnchor="text" w:x="4640" w:y="1151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海通证券股份有限公司</w:t>
      </w:r>
    </w:p>
    <w:p>
      <w:pPr>
        <w:framePr w:w="3020" w:wrap="around" w:vAnchor="margin" w:hAnchor="text" w:x="7482" w:y="1212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办公地址：上海市广东路 </w:t>
      </w:r>
      <w:r>
        <w:rPr>
          <w:rFonts w:ascii="Times New Roman"/>
          <w:color w:val="000000"/>
          <w:spacing w:val="0"/>
          <w:sz w:val="21"/>
        </w:rPr>
        <w:t xml:space="preserve"> 689</w:t>
      </w:r>
    </w:p>
    <w:p>
      <w:pPr>
        <w:framePr w:w="3020" w:wrap="around" w:vAnchor="margin" w:hAnchor="text" w:x="7482" w:y="121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1998" w:wrap="around" w:vAnchor="margin" w:hAnchor="text" w:x="7482"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法定代表人：周杰</w:t>
      </w:r>
    </w:p>
    <w:p>
      <w:pPr>
        <w:framePr w:w="2317" w:wrap="around" w:vAnchor="margin" w:hAnchor="text" w:x="7482" w:y="1306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SKJVQB+å®ä½" w:hAnsi="SKJVQB+å®ä½" w:cs="SKJVQB+å®ä½"/>
          <w:color w:val="000000"/>
          <w:spacing w:val="0"/>
          <w:sz w:val="21"/>
        </w:rPr>
        <w:t>－</w:t>
      </w:r>
      <w:r>
        <w:rPr>
          <w:rFonts w:ascii="Times New Roman"/>
          <w:color w:val="000000"/>
          <w:spacing w:val="0"/>
          <w:sz w:val="21"/>
        </w:rPr>
        <w:t>23219000</w:t>
      </w:r>
    </w:p>
    <w:p>
      <w:pPr>
        <w:framePr w:w="2317" w:wrap="around" w:vAnchor="margin" w:hAnchor="text" w:x="7482" w:y="1306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021-23219100</w:t>
      </w:r>
    </w:p>
    <w:p>
      <w:pPr>
        <w:framePr w:w="2317" w:wrap="around" w:vAnchor="margin" w:hAnchor="text" w:x="7482" w:y="1306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联系人：李笑鸣</w:t>
      </w:r>
    </w:p>
    <w:p>
      <w:pPr>
        <w:framePr w:w="1894" w:wrap="around" w:vAnchor="margin" w:hAnchor="text" w:x="7482" w:y="1400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95553</w:t>
      </w:r>
    </w:p>
    <w:p>
      <w:pPr>
        <w:framePr w:w="3020" w:wrap="around" w:vAnchor="margin" w:hAnchor="text" w:x="7482" w:y="1431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www.htsec.com</w:t>
      </w:r>
    </w:p>
    <w:p>
      <w:pPr>
        <w:framePr w:w="3020" w:wrap="around" w:vAnchor="margin" w:hAnchor="text" w:x="7482" w:y="1431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注册地址：北京市朝阳区安立</w:t>
      </w:r>
    </w:p>
    <w:p>
      <w:pPr>
        <w:framePr w:w="3020" w:wrap="around" w:vAnchor="margin" w:hAnchor="text" w:x="7482" w:y="1431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66</w:t>
      </w:r>
      <w:r>
        <w:rPr>
          <w:rFonts w:ascii="SKJVQB+å®ä½" w:hAnsi="SKJVQB+å®ä½" w:cs="SKJVQB+å®ä½"/>
          <w:color w:val="000000"/>
          <w:spacing w:val="0"/>
          <w:sz w:val="21"/>
        </w:rPr>
        <w:t xml:space="preserve">号  </w:t>
      </w:r>
      <w:r>
        <w:rPr>
          <w:rFonts w:ascii="Times New Roman"/>
          <w:color w:val="000000"/>
          <w:spacing w:val="0"/>
          <w:sz w:val="21"/>
        </w:rPr>
        <w:t>4</w:t>
      </w:r>
      <w:r>
        <w:rPr>
          <w:rFonts w:ascii="SKJVQB+å®ä½" w:hAnsi="SKJVQB+å®ä½" w:cs="SKJVQB+å®ä½"/>
          <w:color w:val="000000"/>
          <w:spacing w:val="0"/>
          <w:sz w:val="21"/>
        </w:rPr>
        <w:t>号楼</w:t>
      </w:r>
    </w:p>
    <w:p>
      <w:pPr>
        <w:framePr w:w="421" w:wrap="around" w:vAnchor="margin" w:hAnchor="text" w:x="4319" w:y="1463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w:t>
      </w:r>
    </w:p>
    <w:p>
      <w:pPr>
        <w:framePr w:w="2901" w:wrap="around" w:vAnchor="margin" w:hAnchor="text" w:x="4640" w:y="1464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中信建投证券股份有限公司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37</w:t>
      </w:r>
    </w:p>
    <w:p>
      <w:pPr>
        <w:spacing w:before="0" w:after="0" w:line="0" w:lineRule="exact"/>
        <w:ind w:left="0" w:right="0"/>
        <w:jc w:val="left"/>
        <w:rPr>
          <w:rFonts w:ascii="Arial"/>
          <w:color w:val="FF0000"/>
          <w:spacing w:val="0"/>
          <w:sz w:val="2"/>
        </w:rPr>
      </w:pPr>
      <w:r>
        <w:pict>
          <v:shape id="_x000079" o:spid="_x0000_s110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66" o:title=""/>
            <o:lock v:ext="edit" aspectratio="t"/>
          </v:shape>
        </w:pict>
      </w:r>
      <w:r>
        <w:pict>
          <v:shape id="_x000080" o:spid="_x0000_s1106"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6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办公地址：北京市朝阳门内大</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188</w:t>
      </w:r>
      <w:r>
        <w:rPr>
          <w:rFonts w:ascii="SKJVQB+å®ä½" w:hAnsi="SKJVQB+å®ä½" w:cs="SKJVQB+å®ä½"/>
          <w:color w:val="000000"/>
          <w:spacing w:val="0"/>
          <w:sz w:val="21"/>
        </w:rPr>
        <w:t>号</w:t>
      </w:r>
    </w:p>
    <w:p>
      <w:pPr>
        <w:framePr w:w="2209" w:wrap="around" w:vAnchor="margin" w:hAnchor="text" w:x="7482" w:y="21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法定代表人：王常青</w:t>
      </w:r>
    </w:p>
    <w:p>
      <w:pPr>
        <w:framePr w:w="2209" w:wrap="around" w:vAnchor="margin" w:hAnchor="text" w:x="7482" w:y="21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联系人：刘畅</w:t>
      </w:r>
    </w:p>
    <w:p>
      <w:pPr>
        <w:framePr w:w="2626"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010-65608231</w:t>
      </w:r>
    </w:p>
    <w:p>
      <w:pPr>
        <w:framePr w:w="2626"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4008888108</w:t>
      </w:r>
    </w:p>
    <w:p>
      <w:pPr>
        <w:framePr w:w="2626"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www.csc108.com</w:t>
      </w:r>
    </w:p>
    <w:p>
      <w:pPr>
        <w:framePr w:w="421" w:wrap="around" w:vAnchor="margin" w:hAnchor="text" w:x="4319"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w:t>
      </w:r>
    </w:p>
    <w:p>
      <w:pPr>
        <w:framePr w:w="2418"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长城证券股份有限公司</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街道金田路 </w:t>
      </w:r>
      <w:r>
        <w:rPr>
          <w:rFonts w:ascii="Times New Roman"/>
          <w:color w:val="000000"/>
          <w:spacing w:val="0"/>
          <w:sz w:val="21"/>
        </w:rPr>
        <w:t>2026</w:t>
      </w:r>
      <w:r>
        <w:rPr>
          <w:rFonts w:ascii="SKJVQB+å®ä½" w:hAnsi="SKJVQB+å®ä½" w:cs="SKJVQB+å®ä½"/>
          <w:color w:val="000000"/>
          <w:spacing w:val="0"/>
          <w:sz w:val="21"/>
        </w:rPr>
        <w:t>号能源大厦</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南塔楼 </w:t>
      </w:r>
      <w:r>
        <w:rPr>
          <w:rFonts w:ascii="Times New Roman"/>
          <w:color w:val="000000"/>
          <w:spacing w:val="0"/>
          <w:sz w:val="21"/>
        </w:rPr>
        <w:t>10-19</w:t>
      </w:r>
      <w:r>
        <w:rPr>
          <w:rFonts w:ascii="SKJVQB+å®ä½" w:hAnsi="SKJVQB+å®ä½" w:cs="SKJVQB+å®ä½"/>
          <w:color w:val="000000"/>
          <w:spacing w:val="0"/>
          <w:sz w:val="21"/>
        </w:rPr>
        <w:t>层</w:t>
      </w:r>
    </w:p>
    <w:p>
      <w:pPr>
        <w:framePr w:w="3020"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办公地址：深圳市福田区福田</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街道金田路 </w:t>
      </w:r>
      <w:r>
        <w:rPr>
          <w:rFonts w:ascii="Times New Roman"/>
          <w:color w:val="000000"/>
          <w:spacing w:val="0"/>
          <w:sz w:val="21"/>
        </w:rPr>
        <w:t>2026</w:t>
      </w:r>
      <w:r>
        <w:rPr>
          <w:rFonts w:ascii="SKJVQB+å®ä½" w:hAnsi="SKJVQB+å®ä½" w:cs="SKJVQB+å®ä½"/>
          <w:color w:val="000000"/>
          <w:spacing w:val="0"/>
          <w:sz w:val="21"/>
        </w:rPr>
        <w:t>号能源大厦</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南塔楼 </w:t>
      </w:r>
      <w:r>
        <w:rPr>
          <w:rFonts w:ascii="Times New Roman"/>
          <w:color w:val="000000"/>
          <w:spacing w:val="0"/>
          <w:sz w:val="21"/>
        </w:rPr>
        <w:t>10-19</w:t>
      </w:r>
      <w:r>
        <w:rPr>
          <w:rFonts w:ascii="SKJVQB+å®ä½" w:hAnsi="SKJVQB+å®ä½" w:cs="SKJVQB+å®ä½"/>
          <w:color w:val="000000"/>
          <w:spacing w:val="0"/>
          <w:sz w:val="21"/>
        </w:rPr>
        <w:t>层</w:t>
      </w:r>
    </w:p>
    <w:p>
      <w:pPr>
        <w:framePr w:w="1998" w:wrap="around" w:vAnchor="margin" w:hAnchor="text" w:x="7482" w:y="555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法定代表人：丁益</w:t>
      </w:r>
    </w:p>
    <w:p>
      <w:pPr>
        <w:framePr w:w="1639" w:wrap="around" w:vAnchor="margin" w:hAnchor="text" w:x="7482" w:y="5857"/>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纪毓灵</w:t>
      </w:r>
    </w:p>
    <w:p>
      <w:pPr>
        <w:framePr w:w="2571"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:0755-83516289</w:t>
      </w:r>
    </w:p>
    <w:p>
      <w:pPr>
        <w:framePr w:w="2571"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:0755-33680000</w:t>
      </w:r>
    </w:p>
    <w:p>
      <w:pPr>
        <w:framePr w:w="2571" w:wrap="around" w:vAnchor="margin" w:hAnchor="text" w:x="7482" w:y="616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4006666888</w:t>
      </w:r>
    </w:p>
    <w:p>
      <w:pPr>
        <w:framePr w:w="3020" w:wrap="around" w:vAnchor="margin" w:hAnchor="text" w:x="7482" w:y="710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www.cgws.com</w:t>
      </w:r>
    </w:p>
    <w:p>
      <w:pPr>
        <w:framePr w:w="3020" w:wrap="around" w:vAnchor="margin" w:hAnchor="text" w:x="7482" w:y="710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注册地址：深圳市福田区福华</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111</w:t>
      </w:r>
      <w:r>
        <w:rPr>
          <w:rFonts w:ascii="SKJVQB+å®ä½" w:hAnsi="SKJVQB+å®ä½" w:cs="SKJVQB+å®ä½"/>
          <w:color w:val="000000"/>
          <w:spacing w:val="0"/>
          <w:sz w:val="21"/>
        </w:rPr>
        <w:t>号</w:t>
      </w:r>
    </w:p>
    <w:p>
      <w:pPr>
        <w:framePr w:w="421" w:wrap="around" w:vAnchor="margin" w:hAnchor="text" w:x="4319" w:y="742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w:t>
      </w:r>
    </w:p>
    <w:p>
      <w:pPr>
        <w:framePr w:w="2418" w:wrap="around" w:vAnchor="margin" w:hAnchor="text" w:x="4640"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招商证券股份有限公司</w:t>
      </w:r>
    </w:p>
    <w:p>
      <w:pPr>
        <w:framePr w:w="3020" w:wrap="around" w:vAnchor="margin" w:hAnchor="text" w:x="7482"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办公地址：深圳市福田区福华</w:t>
      </w:r>
    </w:p>
    <w:p>
      <w:pPr>
        <w:framePr w:w="3020" w:wrap="around" w:vAnchor="margin" w:hAnchor="text" w:x="7482" w:y="805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111</w:t>
      </w:r>
      <w:r>
        <w:rPr>
          <w:rFonts w:ascii="SKJVQB+å®ä½" w:hAnsi="SKJVQB+å®ä½" w:cs="SKJVQB+å®ä½"/>
          <w:color w:val="000000"/>
          <w:spacing w:val="0"/>
          <w:sz w:val="21"/>
        </w:rPr>
        <w:t xml:space="preserve">号招商证券大厦  </w:t>
      </w:r>
      <w:r>
        <w:rPr>
          <w:rFonts w:ascii="Times New Roman"/>
          <w:color w:val="000000"/>
          <w:spacing w:val="0"/>
          <w:sz w:val="21"/>
        </w:rPr>
        <w:t xml:space="preserve"> 23</w:t>
      </w:r>
    </w:p>
    <w:p>
      <w:pPr>
        <w:framePr w:w="3020" w:wrap="around" w:vAnchor="margin" w:hAnchor="text" w:x="7482" w:y="80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1998" w:wrap="around" w:vAnchor="margin" w:hAnchor="text" w:x="7482"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法定代表人：霍达</w:t>
      </w:r>
    </w:p>
    <w:p>
      <w:pPr>
        <w:framePr w:w="1789" w:wrap="around" w:vAnchor="margin" w:hAnchor="text" w:x="7482" w:y="93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联系人：黄婵君</w:t>
      </w:r>
    </w:p>
    <w:p>
      <w:pPr>
        <w:framePr w:w="3249"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0755-82960167</w:t>
      </w:r>
    </w:p>
    <w:p>
      <w:pPr>
        <w:framePr w:w="3249"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95565</w:t>
      </w:r>
      <w:r>
        <w:rPr>
          <w:rFonts w:ascii="SKJVQB+å®ä½" w:hAnsi="SKJVQB+å®ä½" w:cs="SKJVQB+å®ä½"/>
          <w:color w:val="000000"/>
          <w:spacing w:val="0"/>
          <w:sz w:val="21"/>
        </w:rPr>
        <w:t>、</w:t>
      </w:r>
      <w:r>
        <w:rPr>
          <w:rFonts w:ascii="Times New Roman"/>
          <w:color w:val="000000"/>
          <w:spacing w:val="0"/>
          <w:sz w:val="21"/>
        </w:rPr>
        <w:t>4008888111</w:t>
      </w:r>
    </w:p>
    <w:p>
      <w:pPr>
        <w:framePr w:w="3249"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www.newone.com.cn</w:t>
      </w:r>
    </w:p>
    <w:p>
      <w:pPr>
        <w:framePr w:w="3249" w:wrap="around" w:vAnchor="margin" w:hAnchor="text" w:x="7482" w:y="9611"/>
        <w:widowControl w:val="0"/>
        <w:autoSpaceDE w:val="0"/>
        <w:autoSpaceDN w:val="0"/>
        <w:spacing w:before="0" w:after="0" w:line="325"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注册地址：广东省深圳市福田</w:t>
      </w:r>
    </w:p>
    <w:p>
      <w:pPr>
        <w:framePr w:w="3249"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区中心三路 </w:t>
      </w:r>
      <w:r>
        <w:rPr>
          <w:rFonts w:ascii="Times New Roman"/>
          <w:color w:val="000000"/>
          <w:spacing w:val="0"/>
          <w:sz w:val="21"/>
        </w:rPr>
        <w:t>8</w:t>
      </w:r>
      <w:r>
        <w:rPr>
          <w:rFonts w:ascii="SKJVQB+å®ä½" w:hAnsi="SKJVQB+å®ä½" w:cs="SKJVQB+å®ä½"/>
          <w:color w:val="000000"/>
          <w:spacing w:val="0"/>
          <w:sz w:val="21"/>
        </w:rPr>
        <w:t>号卓越时代广</w:t>
      </w:r>
    </w:p>
    <w:p>
      <w:pPr>
        <w:framePr w:w="3249"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场（二期）北座</w:t>
      </w:r>
    </w:p>
    <w:p>
      <w:pPr>
        <w:framePr w:w="526" w:wrap="around" w:vAnchor="margin" w:hAnchor="text" w:x="4213" w:y="105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w:t>
      </w:r>
    </w:p>
    <w:p>
      <w:pPr>
        <w:framePr w:w="2418" w:wrap="around" w:vAnchor="margin" w:hAnchor="text" w:x="4640"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中信证券股份有限公司</w:t>
      </w:r>
    </w:p>
    <w:p>
      <w:pPr>
        <w:framePr w:w="3020"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办公地址：北京市朝阳区亮马</w:t>
      </w:r>
    </w:p>
    <w:p>
      <w:pPr>
        <w:framePr w:w="3020"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桥路 </w:t>
      </w:r>
      <w:r>
        <w:rPr>
          <w:rFonts w:ascii="Times New Roman"/>
          <w:color w:val="000000"/>
          <w:spacing w:val="0"/>
          <w:sz w:val="21"/>
        </w:rPr>
        <w:t>48</w:t>
      </w:r>
      <w:r>
        <w:rPr>
          <w:rFonts w:ascii="SKJVQB+å®ä½" w:hAnsi="SKJVQB+å®ä½" w:cs="SKJVQB+å®ä½"/>
          <w:color w:val="000000"/>
          <w:spacing w:val="0"/>
          <w:sz w:val="21"/>
        </w:rPr>
        <w:t>号中信证券大厦</w:t>
      </w:r>
    </w:p>
    <w:p>
      <w:pPr>
        <w:framePr w:w="3020"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法定代表人：张佑君</w:t>
      </w:r>
    </w:p>
    <w:p>
      <w:pPr>
        <w:framePr w:w="3020"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联系人：王一通</w:t>
      </w:r>
    </w:p>
    <w:p>
      <w:pPr>
        <w:framePr w:w="2178" w:wrap="around" w:vAnchor="margin" w:hAnchor="text" w:x="7482" w:y="1274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010-60838888</w:t>
      </w:r>
    </w:p>
    <w:p>
      <w:pPr>
        <w:framePr w:w="2178"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010-60833739</w:t>
      </w:r>
    </w:p>
    <w:p>
      <w:pPr>
        <w:framePr w:w="2178"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95558</w:t>
      </w:r>
    </w:p>
    <w:p>
      <w:pPr>
        <w:framePr w:w="2969" w:wrap="around" w:vAnchor="margin" w:hAnchor="text" w:x="7482" w:y="13680"/>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www.cs.ecitic.com</w:t>
      </w:r>
    </w:p>
    <w:p>
      <w:pPr>
        <w:framePr w:w="2969" w:wrap="around" w:vAnchor="margin" w:hAnchor="text" w:x="7482" w:y="13680"/>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上海市徐汇区长乐</w:t>
      </w:r>
    </w:p>
    <w:p>
      <w:pPr>
        <w:framePr w:w="2969" w:wrap="around" w:vAnchor="margin" w:hAnchor="text" w:x="7482" w:y="1368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989</w:t>
      </w:r>
      <w:r>
        <w:rPr>
          <w:rFonts w:ascii="SKJVQB+å®ä½" w:hAnsi="SKJVQB+å®ä½" w:cs="SKJVQB+å®ä½"/>
          <w:color w:val="000000"/>
          <w:spacing w:val="0"/>
          <w:sz w:val="21"/>
        </w:rPr>
        <w:t xml:space="preserve">号  </w:t>
      </w:r>
      <w:r>
        <w:rPr>
          <w:rFonts w:ascii="Times New Roman"/>
          <w:color w:val="000000"/>
          <w:spacing w:val="0"/>
          <w:sz w:val="21"/>
        </w:rPr>
        <w:t>45</w:t>
      </w:r>
      <w:r>
        <w:rPr>
          <w:rFonts w:ascii="SKJVQB+å®ä½" w:hAnsi="SKJVQB+å®ä½" w:cs="SKJVQB+å®ä½"/>
          <w:color w:val="000000"/>
          <w:spacing w:val="0"/>
          <w:sz w:val="21"/>
        </w:rPr>
        <w:t>层</w:t>
      </w:r>
    </w:p>
    <w:p>
      <w:pPr>
        <w:framePr w:w="519" w:wrap="around" w:vAnchor="margin" w:hAnchor="text" w:x="4223" w:y="1399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w:t>
      </w:r>
    </w:p>
    <w:p>
      <w:pPr>
        <w:framePr w:w="2418" w:wrap="around" w:vAnchor="margin" w:hAnchor="text" w:x="4640"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申万宏源证券有限公司</w:t>
      </w:r>
    </w:p>
    <w:p>
      <w:pPr>
        <w:framePr w:w="3020"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办公地址：上海市徐汇区长乐</w:t>
      </w:r>
    </w:p>
    <w:p>
      <w:pPr>
        <w:framePr w:w="3020" w:wrap="around" w:vAnchor="margin" w:hAnchor="text" w:x="7482" w:y="146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989</w:t>
      </w:r>
      <w:r>
        <w:rPr>
          <w:rFonts w:ascii="SKJVQB+å®ä½" w:hAnsi="SKJVQB+å®ä½" w:cs="SKJVQB+å®ä½"/>
          <w:color w:val="000000"/>
          <w:spacing w:val="0"/>
          <w:sz w:val="21"/>
        </w:rPr>
        <w:t xml:space="preserve">号  </w:t>
      </w:r>
      <w:r>
        <w:rPr>
          <w:rFonts w:ascii="Times New Roman"/>
          <w:color w:val="000000"/>
          <w:spacing w:val="0"/>
          <w:sz w:val="21"/>
        </w:rPr>
        <w:t>40</w:t>
      </w:r>
      <w:r>
        <w:rPr>
          <w:rFonts w:ascii="SKJVQB+å®ä½" w:hAnsi="SKJVQB+å®ä½" w:cs="SKJVQB+å®ä½"/>
          <w:color w:val="000000"/>
          <w:spacing w:val="0"/>
          <w:sz w:val="21"/>
        </w:rPr>
        <w:t>层</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38</w:t>
      </w:r>
    </w:p>
    <w:p>
      <w:pPr>
        <w:spacing w:before="0" w:after="0" w:line="0" w:lineRule="exact"/>
        <w:ind w:left="0" w:right="0"/>
        <w:jc w:val="left"/>
        <w:rPr>
          <w:rFonts w:ascii="Arial"/>
          <w:color w:val="FF0000"/>
          <w:spacing w:val="0"/>
          <w:sz w:val="2"/>
        </w:rPr>
      </w:pPr>
      <w:r>
        <w:pict>
          <v:shape id="_x000081" o:spid="_x0000_s110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68" o:title=""/>
            <o:lock v:ext="edit" aspectratio="t"/>
          </v:shape>
        </w:pict>
      </w:r>
      <w:r>
        <w:pict>
          <v:shape id="_x000082" o:spid="_x0000_s110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6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998"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法定代表人：李梅</w:t>
      </w:r>
    </w:p>
    <w:p>
      <w:pPr>
        <w:framePr w:w="1998"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联系人：李玉婷</w:t>
      </w:r>
    </w:p>
    <w:p>
      <w:pPr>
        <w:framePr w:w="2178"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021-33389888</w:t>
      </w:r>
    </w:p>
    <w:p>
      <w:pPr>
        <w:framePr w:w="2178"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021-33388224</w:t>
      </w:r>
    </w:p>
    <w:p>
      <w:pPr>
        <w:framePr w:w="2178" w:wrap="around" w:vAnchor="margin" w:hAnchor="text" w:x="7482" w:y="21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95523</w:t>
      </w:r>
      <w:r>
        <w:rPr>
          <w:rFonts w:ascii="SKJVQB+å®ä½" w:hAnsi="SKJVQB+å®ä½" w:cs="SKJVQB+å®ä½"/>
          <w:color w:val="000000"/>
          <w:spacing w:val="0"/>
          <w:sz w:val="21"/>
        </w:rPr>
        <w:t>或</w:t>
      </w:r>
    </w:p>
    <w:p>
      <w:pPr>
        <w:framePr w:w="2178" w:wrap="around" w:vAnchor="margin" w:hAnchor="text" w:x="7482" w:y="2103"/>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4008895523</w:t>
      </w:r>
    </w:p>
    <w:p>
      <w:pPr>
        <w:framePr w:w="2602"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网址：  </w:t>
      </w:r>
      <w:r>
        <w:rPr>
          <w:rFonts w:ascii="Times New Roman"/>
          <w:color w:val="000000"/>
          <w:spacing w:val="0"/>
          <w:sz w:val="21"/>
        </w:rPr>
        <w:t>www.swhysc.com</w:t>
      </w:r>
    </w:p>
    <w:p>
      <w:pPr>
        <w:framePr w:w="526" w:wrap="around" w:vAnchor="margin" w:hAnchor="text" w:x="4213"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w:t>
      </w:r>
    </w:p>
    <w:p>
      <w:pPr>
        <w:framePr w:w="2418"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光大证券股份有限公司</w:t>
      </w:r>
    </w:p>
    <w:p>
      <w:pPr>
        <w:framePr w:w="2969" w:wrap="around" w:vAnchor="margin" w:hAnchor="text" w:x="7482" w:y="3672"/>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上海市静安区新闸</w:t>
      </w:r>
    </w:p>
    <w:p>
      <w:pPr>
        <w:framePr w:w="2969" w:wrap="around" w:vAnchor="margin" w:hAnchor="text" w:x="7482" w:y="36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1508</w:t>
      </w:r>
      <w:r>
        <w:rPr>
          <w:rFonts w:ascii="SKJVQB+å®ä½" w:hAnsi="SKJVQB+å®ä½" w:cs="SKJVQB+å®ä½"/>
          <w:color w:val="000000"/>
          <w:spacing w:val="0"/>
          <w:sz w:val="21"/>
        </w:rPr>
        <w:t>号</w:t>
      </w:r>
    </w:p>
    <w:p>
      <w:pPr>
        <w:framePr w:w="2969" w:wrap="around" w:vAnchor="margin" w:hAnchor="text" w:x="7482" w:y="4296"/>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上海市静安区新闸</w:t>
      </w:r>
    </w:p>
    <w:p>
      <w:pPr>
        <w:framePr w:w="2969" w:wrap="around" w:vAnchor="margin" w:hAnchor="text" w:x="7482" w:y="4296"/>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1508</w:t>
      </w:r>
      <w:r>
        <w:rPr>
          <w:rFonts w:ascii="SKJVQB+å®ä½" w:hAnsi="SKJVQB+å®ä½" w:cs="SKJVQB+å®ä½"/>
          <w:color w:val="000000"/>
          <w:spacing w:val="0"/>
          <w:sz w:val="21"/>
        </w:rPr>
        <w:t>号</w:t>
      </w:r>
    </w:p>
    <w:p>
      <w:pPr>
        <w:framePr w:w="2059" w:wrap="around" w:vAnchor="margin" w:hAnchor="text" w:x="7482" w:y="4921"/>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周健男</w:t>
      </w:r>
    </w:p>
    <w:p>
      <w:pPr>
        <w:framePr w:w="2059"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龚俊涛</w:t>
      </w:r>
    </w:p>
    <w:p>
      <w:pPr>
        <w:framePr w:w="2449"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:021-22169999</w:t>
      </w:r>
    </w:p>
    <w:p>
      <w:pPr>
        <w:framePr w:w="2449"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95525</w:t>
      </w:r>
    </w:p>
    <w:p>
      <w:pPr>
        <w:framePr w:w="3020"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www.ebscn.com</w:t>
      </w:r>
    </w:p>
    <w:p>
      <w:pPr>
        <w:framePr w:w="3020" w:wrap="around" w:vAnchor="margin" w:hAnchor="text" w:x="7482" w:y="616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注册地址：新疆乌鲁木齐市高</w:t>
      </w:r>
    </w:p>
    <w:p>
      <w:pPr>
        <w:framePr w:w="3020"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新区（新市区）北京南路 </w:t>
      </w:r>
      <w:r>
        <w:rPr>
          <w:rFonts w:ascii="Times New Roman"/>
          <w:color w:val="000000"/>
          <w:spacing w:val="0"/>
          <w:sz w:val="21"/>
        </w:rPr>
        <w:t xml:space="preserve"> 358</w:t>
      </w:r>
    </w:p>
    <w:p>
      <w:pPr>
        <w:framePr w:w="3020"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号大成国际大厦 </w:t>
      </w:r>
      <w:r>
        <w:rPr>
          <w:rFonts w:ascii="Times New Roman"/>
          <w:color w:val="000000"/>
          <w:spacing w:val="0"/>
          <w:sz w:val="21"/>
        </w:rPr>
        <w:t>20</w:t>
      </w:r>
      <w:r>
        <w:rPr>
          <w:rFonts w:ascii="SKJVQB+å®ä½" w:hAnsi="SKJVQB+å®ä½" w:cs="SKJVQB+å®ä½"/>
          <w:color w:val="000000"/>
          <w:spacing w:val="0"/>
          <w:sz w:val="21"/>
        </w:rPr>
        <w:t xml:space="preserve">楼  </w:t>
      </w:r>
      <w:r>
        <w:rPr>
          <w:rFonts w:ascii="Times New Roman"/>
          <w:color w:val="000000"/>
          <w:spacing w:val="0"/>
          <w:sz w:val="21"/>
        </w:rPr>
        <w:t xml:space="preserve"> 2005</w:t>
      </w:r>
    </w:p>
    <w:p>
      <w:pPr>
        <w:framePr w:w="3020"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526" w:wrap="around" w:vAnchor="margin" w:hAnchor="text" w:x="4213" w:y="648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13</w:t>
      </w:r>
    </w:p>
    <w:p>
      <w:pPr>
        <w:framePr w:w="2901" w:wrap="around" w:vAnchor="margin" w:hAnchor="text" w:x="4640"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申万宏源西部证券有限公司</w:t>
      </w:r>
    </w:p>
    <w:p>
      <w:pPr>
        <w:framePr w:w="2901" w:wrap="around" w:vAnchor="margin" w:hAnchor="text" w:x="7482" w:y="773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新疆乌鲁木齐市</w:t>
      </w:r>
    </w:p>
    <w:p>
      <w:pPr>
        <w:framePr w:w="2901"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高新区（新市区）北京南路</w:t>
      </w:r>
    </w:p>
    <w:p>
      <w:pPr>
        <w:framePr w:w="2901"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358</w:t>
      </w:r>
      <w:r>
        <w:rPr>
          <w:rFonts w:ascii="SKJVQB+å®ä½" w:hAnsi="SKJVQB+å®ä½" w:cs="SKJVQB+å®ä½"/>
          <w:color w:val="000000"/>
          <w:spacing w:val="0"/>
          <w:sz w:val="21"/>
        </w:rPr>
        <w:t xml:space="preserve">号大成国际大厦  </w:t>
      </w:r>
      <w:r>
        <w:rPr>
          <w:rFonts w:ascii="Times New Roman"/>
          <w:color w:val="000000"/>
          <w:spacing w:val="0"/>
          <w:sz w:val="21"/>
        </w:rPr>
        <w:t>20</w:t>
      </w:r>
      <w:r>
        <w:rPr>
          <w:rFonts w:ascii="SKJVQB+å®ä½" w:hAnsi="SKJVQB+å®ä½" w:cs="SKJVQB+å®ä½"/>
          <w:color w:val="000000"/>
          <w:spacing w:val="0"/>
          <w:sz w:val="21"/>
        </w:rPr>
        <w:t>楼</w:t>
      </w:r>
    </w:p>
    <w:p>
      <w:pPr>
        <w:framePr w:w="2901"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2005</w:t>
      </w:r>
      <w:r>
        <w:rPr>
          <w:rFonts w:ascii="SKJVQB+å®ä½" w:hAnsi="SKJVQB+å®ä½" w:cs="SKJVQB+å®ä½"/>
          <w:color w:val="000000"/>
          <w:spacing w:val="0"/>
          <w:sz w:val="21"/>
        </w:rPr>
        <w:t>室</w:t>
      </w:r>
    </w:p>
    <w:p>
      <w:pPr>
        <w:framePr w:w="1998" w:wrap="around" w:vAnchor="margin" w:hAnchor="text" w:x="7482"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法定代表人：李琦</w:t>
      </w:r>
    </w:p>
    <w:p>
      <w:pPr>
        <w:framePr w:w="2178"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0991-5801913</w:t>
      </w:r>
    </w:p>
    <w:p>
      <w:pPr>
        <w:framePr w:w="2178"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0991-5801466</w:t>
      </w:r>
    </w:p>
    <w:p>
      <w:pPr>
        <w:framePr w:w="2178"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联系人：王怀春</w:t>
      </w:r>
    </w:p>
    <w:p>
      <w:pPr>
        <w:framePr w:w="3023"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400-800-0562</w:t>
      </w:r>
    </w:p>
    <w:p>
      <w:pPr>
        <w:framePr w:w="3023" w:wrap="around" w:vAnchor="margin" w:hAnchor="text" w:x="7482" w:y="1023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www.hysec.com</w:t>
      </w:r>
    </w:p>
    <w:p>
      <w:pPr>
        <w:framePr w:w="3023" w:wrap="around" w:vAnchor="margin" w:hAnchor="text" w:x="7482" w:y="1023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注册地址：青岛市崂山区深圳</w:t>
      </w:r>
    </w:p>
    <w:p>
      <w:pPr>
        <w:framePr w:w="3023"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222</w:t>
      </w:r>
      <w:r>
        <w:rPr>
          <w:rFonts w:ascii="SKJVQB+å®ä½" w:hAnsi="SKJVQB+å®ä½" w:cs="SKJVQB+å®ä½"/>
          <w:color w:val="000000"/>
          <w:spacing w:val="0"/>
          <w:sz w:val="21"/>
        </w:rPr>
        <w:t xml:space="preserve">号青岛国际金融广场 </w:t>
      </w:r>
      <w:r>
        <w:rPr>
          <w:rFonts w:ascii="Times New Roman"/>
          <w:color w:val="000000"/>
          <w:spacing w:val="0"/>
          <w:sz w:val="21"/>
        </w:rPr>
        <w:t xml:space="preserve"> 1</w:t>
      </w:r>
    </w:p>
    <w:p>
      <w:pPr>
        <w:framePr w:w="3023"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号楼 </w:t>
      </w:r>
      <w:r>
        <w:rPr>
          <w:rFonts w:ascii="Times New Roman"/>
          <w:color w:val="000000"/>
          <w:spacing w:val="0"/>
          <w:sz w:val="21"/>
        </w:rPr>
        <w:t>20</w:t>
      </w:r>
      <w:r>
        <w:rPr>
          <w:rFonts w:ascii="SKJVQB+å®ä½" w:hAnsi="SKJVQB+å®ä½" w:cs="SKJVQB+å®ä½"/>
          <w:color w:val="000000"/>
          <w:spacing w:val="0"/>
          <w:sz w:val="21"/>
        </w:rPr>
        <w:t>层</w:t>
      </w:r>
    </w:p>
    <w:p>
      <w:pPr>
        <w:framePr w:w="526" w:wrap="around" w:vAnchor="margin" w:hAnchor="text" w:x="4213" w:y="1086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14</w:t>
      </w:r>
    </w:p>
    <w:p>
      <w:pPr>
        <w:framePr w:w="3020"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中信证券（山东）有限责任公</w:t>
      </w:r>
    </w:p>
    <w:p>
      <w:pPr>
        <w:framePr w:w="3020" w:wrap="around" w:vAnchor="margin" w:hAnchor="text" w:x="4640"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0"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办公地址：山东省青岛市市南</w:t>
      </w:r>
    </w:p>
    <w:p>
      <w:pPr>
        <w:framePr w:w="3020"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区东海西路 </w:t>
      </w:r>
      <w:r>
        <w:rPr>
          <w:rFonts w:ascii="Times New Roman"/>
          <w:color w:val="000000"/>
          <w:spacing w:val="0"/>
          <w:sz w:val="21"/>
        </w:rPr>
        <w:t>28</w:t>
      </w:r>
      <w:r>
        <w:rPr>
          <w:rFonts w:ascii="SKJVQB+å®ä½" w:hAnsi="SKJVQB+å®ä½" w:cs="SKJVQB+å®ä½"/>
          <w:color w:val="000000"/>
          <w:spacing w:val="0"/>
          <w:sz w:val="21"/>
        </w:rPr>
        <w:t>号龙翔广场东</w:t>
      </w:r>
    </w:p>
    <w:p>
      <w:pPr>
        <w:framePr w:w="3020"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2209" w:wrap="around" w:vAnchor="margin" w:hAnchor="text" w:x="7482" w:y="1275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法定代表人：姜晓林</w:t>
      </w:r>
    </w:p>
    <w:p>
      <w:pPr>
        <w:framePr w:w="2209" w:wrap="around" w:vAnchor="margin" w:hAnchor="text" w:x="7482" w:y="1275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联系人：焦刚</w:t>
      </w:r>
    </w:p>
    <w:p>
      <w:pPr>
        <w:framePr w:w="2747" w:wrap="around" w:vAnchor="margin" w:hAnchor="text" w:x="7482" w:y="133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0531-89606166</w:t>
      </w:r>
    </w:p>
    <w:p>
      <w:pPr>
        <w:framePr w:w="2747"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95548</w:t>
      </w:r>
    </w:p>
    <w:p>
      <w:pPr>
        <w:framePr w:w="2045" w:wrap="around" w:vAnchor="margin" w:hAnchor="text" w:x="7482" w:y="1399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sd.citics.com</w:t>
      </w:r>
    </w:p>
    <w:p>
      <w:pPr>
        <w:framePr w:w="526" w:wrap="around" w:vAnchor="margin" w:hAnchor="text" w:x="4213" w:y="1431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15</w:t>
      </w:r>
    </w:p>
    <w:p>
      <w:pPr>
        <w:framePr w:w="2418" w:wrap="around" w:vAnchor="margin" w:hAnchor="text" w:x="4640"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信达证券股份有限公司</w:t>
      </w:r>
    </w:p>
    <w:p>
      <w:pPr>
        <w:framePr w:w="3020" w:wrap="around" w:vAnchor="margin" w:hAnchor="text" w:x="7482"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注册（办公）地址：北京市西</w:t>
      </w:r>
    </w:p>
    <w:p>
      <w:pPr>
        <w:framePr w:w="3020" w:wrap="around" w:vAnchor="margin" w:hAnchor="text" w:x="7482"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城区闹市口大街</w:t>
      </w:r>
      <w:r>
        <w:rPr>
          <w:rFonts w:ascii="Times New Roman"/>
          <w:color w:val="000000"/>
          <w:spacing w:val="0"/>
          <w:sz w:val="21"/>
        </w:rPr>
        <w:t>9</w:t>
      </w:r>
      <w:r>
        <w:rPr>
          <w:rFonts w:ascii="SKJVQB+å®ä½" w:hAnsi="SKJVQB+å®ä½" w:cs="SKJVQB+å®ä½"/>
          <w:color w:val="000000"/>
          <w:spacing w:val="0"/>
          <w:sz w:val="21"/>
        </w:rPr>
        <w:t>号院</w:t>
      </w:r>
      <w:r>
        <w:rPr>
          <w:rFonts w:ascii="Times New Roman"/>
          <w:color w:val="000000"/>
          <w:spacing w:val="0"/>
          <w:sz w:val="21"/>
        </w:rPr>
        <w:t>1</w:t>
      </w:r>
      <w:r>
        <w:rPr>
          <w:rFonts w:ascii="SKJVQB+å®ä½" w:hAnsi="SKJVQB+å®ä½" w:cs="SKJVQB+å®ä½"/>
          <w:color w:val="000000"/>
          <w:spacing w:val="0"/>
          <w:sz w:val="21"/>
        </w:rPr>
        <w:t>号楼</w:t>
      </w:r>
    </w:p>
    <w:p>
      <w:pPr>
        <w:framePr w:w="3020" w:wrap="around" w:vAnchor="margin" w:hAnchor="text" w:x="7482"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法定代表人：肖林</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39</w:t>
      </w:r>
    </w:p>
    <w:p>
      <w:pPr>
        <w:spacing w:before="0" w:after="0" w:line="0" w:lineRule="exact"/>
        <w:ind w:left="0" w:right="0"/>
        <w:jc w:val="left"/>
        <w:rPr>
          <w:rFonts w:ascii="Arial"/>
          <w:color w:val="FF0000"/>
          <w:spacing w:val="0"/>
          <w:sz w:val="2"/>
        </w:rPr>
      </w:pPr>
      <w:r>
        <w:pict>
          <v:shape id="_x000083" o:spid="_x0000_s110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70" o:title=""/>
            <o:lock v:ext="edit" aspectratio="t"/>
          </v:shape>
        </w:pict>
      </w:r>
      <w:r>
        <w:pict>
          <v:shape id="_x000084" o:spid="_x0000_s111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7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578"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联系人：付婷</w:t>
      </w:r>
    </w:p>
    <w:p>
      <w:pPr>
        <w:framePr w:w="2626"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010-63081000</w:t>
      </w:r>
    </w:p>
    <w:p>
      <w:pPr>
        <w:framePr w:w="2626"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010-63080978</w:t>
      </w:r>
    </w:p>
    <w:p>
      <w:pPr>
        <w:framePr w:w="2626"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95321</w:t>
      </w:r>
    </w:p>
    <w:p>
      <w:pPr>
        <w:framePr w:w="2497"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www.cindasc.com</w:t>
      </w:r>
    </w:p>
    <w:p>
      <w:pPr>
        <w:framePr w:w="526" w:wrap="around" w:vAnchor="margin" w:hAnchor="text" w:x="4213"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16</w:t>
      </w:r>
    </w:p>
    <w:p>
      <w:pPr>
        <w:framePr w:w="2418"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华融证券股份有限公司</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8</w:t>
      </w:r>
      <w:r>
        <w:rPr>
          <w:rFonts w:ascii="SKJVQB+å®ä½" w:hAnsi="SKJVQB+å®ä½" w:cs="SKJVQB+å®ä½"/>
          <w:color w:val="000000"/>
          <w:spacing w:val="0"/>
          <w:sz w:val="21"/>
        </w:rPr>
        <w:t>号</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办公地址：北京市朝阳区朝阳</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门北大街 </w:t>
      </w:r>
      <w:r>
        <w:rPr>
          <w:rFonts w:ascii="Times New Roman"/>
          <w:color w:val="000000"/>
          <w:spacing w:val="0"/>
          <w:sz w:val="21"/>
        </w:rPr>
        <w:t>18</w:t>
      </w:r>
      <w:r>
        <w:rPr>
          <w:rFonts w:ascii="SKJVQB+å®ä½" w:hAnsi="SKJVQB+å®ä½" w:cs="SKJVQB+å®ä½"/>
          <w:color w:val="000000"/>
          <w:spacing w:val="0"/>
          <w:sz w:val="21"/>
        </w:rPr>
        <w:t>号中国人保寿险</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12-18</w:t>
      </w:r>
      <w:r>
        <w:rPr>
          <w:rFonts w:ascii="SKJVQB+å®ä½" w:hAnsi="SKJVQB+å®ä½" w:cs="SKJVQB+å®ä½"/>
          <w:color w:val="000000"/>
          <w:spacing w:val="0"/>
          <w:sz w:val="21"/>
        </w:rPr>
        <w:t>层</w:t>
      </w:r>
    </w:p>
    <w:p>
      <w:pPr>
        <w:framePr w:w="2661"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法定代表人：张海文</w:t>
      </w:r>
    </w:p>
    <w:p>
      <w:pPr>
        <w:framePr w:w="2661"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基金业务联系人：孙燕波</w:t>
      </w:r>
    </w:p>
    <w:p>
      <w:pPr>
        <w:framePr w:w="2661" w:wrap="around" w:vAnchor="margin" w:hAnchor="text" w:x="7482" w:y="46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010-85556048</w:t>
      </w:r>
    </w:p>
    <w:p>
      <w:pPr>
        <w:framePr w:w="2661" w:wrap="around" w:vAnchor="margin" w:hAnchor="text" w:x="7482" w:y="46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010-85556088</w:t>
      </w:r>
    </w:p>
    <w:p>
      <w:pPr>
        <w:framePr w:w="2661" w:wrap="around" w:vAnchor="margin" w:hAnchor="text" w:x="7482" w:y="46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95390</w:t>
      </w:r>
    </w:p>
    <w:p>
      <w:pPr>
        <w:framePr w:w="3020"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www.hrsec.com.cn</w:t>
      </w:r>
    </w:p>
    <w:p>
      <w:pPr>
        <w:framePr w:w="3020" w:wrap="around" w:vAnchor="margin" w:hAnchor="text" w:x="7482" w:y="616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注册地址：四川省成都市高新</w:t>
      </w:r>
    </w:p>
    <w:p>
      <w:pPr>
        <w:framePr w:w="3020"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区天府二街 </w:t>
      </w:r>
      <w:r>
        <w:rPr>
          <w:rFonts w:ascii="Times New Roman"/>
          <w:color w:val="000000"/>
          <w:spacing w:val="0"/>
          <w:sz w:val="21"/>
        </w:rPr>
        <w:t>198</w:t>
      </w:r>
      <w:r>
        <w:rPr>
          <w:rFonts w:ascii="SKJVQB+å®ä½" w:hAnsi="SKJVQB+å®ä½" w:cs="SKJVQB+å®ä½"/>
          <w:color w:val="000000"/>
          <w:spacing w:val="0"/>
          <w:sz w:val="21"/>
        </w:rPr>
        <w:t>号华西证券</w:t>
      </w:r>
    </w:p>
    <w:p>
      <w:pPr>
        <w:framePr w:w="3020"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526" w:wrap="around" w:vAnchor="margin" w:hAnchor="text" w:x="4213" w:y="648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17</w:t>
      </w:r>
    </w:p>
    <w:p>
      <w:pPr>
        <w:framePr w:w="2418" w:wrap="around" w:vAnchor="margin" w:hAnchor="text" w:x="4640"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华西证券股份有限公司</w:t>
      </w:r>
    </w:p>
    <w:p>
      <w:pPr>
        <w:framePr w:w="3020"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办公地址：四川省成都市高新</w:t>
      </w:r>
    </w:p>
    <w:p>
      <w:pPr>
        <w:framePr w:w="3020" w:wrap="around" w:vAnchor="margin" w:hAnchor="text" w:x="7482"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区天府二街 </w:t>
      </w:r>
      <w:r>
        <w:rPr>
          <w:rFonts w:ascii="Times New Roman"/>
          <w:color w:val="000000"/>
          <w:spacing w:val="0"/>
          <w:sz w:val="21"/>
        </w:rPr>
        <w:t>198</w:t>
      </w:r>
      <w:r>
        <w:rPr>
          <w:rFonts w:ascii="SKJVQB+å®ä½" w:hAnsi="SKJVQB+å®ä½" w:cs="SKJVQB+å®ä½"/>
          <w:color w:val="000000"/>
          <w:spacing w:val="0"/>
          <w:sz w:val="21"/>
        </w:rPr>
        <w:t>号华西证券</w:t>
      </w:r>
    </w:p>
    <w:p>
      <w:pPr>
        <w:framePr w:w="3020" w:wrap="around" w:vAnchor="margin" w:hAnchor="text" w:x="7482"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2209" w:wrap="around" w:vAnchor="margin" w:hAnchor="text" w:x="7482"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法定代表人：杨炯洋</w:t>
      </w:r>
    </w:p>
    <w:p>
      <w:pPr>
        <w:framePr w:w="2209"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联系人：谢国梅</w:t>
      </w:r>
    </w:p>
    <w:p>
      <w:pPr>
        <w:framePr w:w="1894"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95584</w:t>
      </w:r>
    </w:p>
    <w:p>
      <w:pPr>
        <w:framePr w:w="3023"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www.hx168.com.cn</w:t>
      </w:r>
    </w:p>
    <w:p>
      <w:pPr>
        <w:framePr w:w="3023" w:wrap="around" w:vAnchor="margin" w:hAnchor="text" w:x="7482" w:y="9299"/>
        <w:widowControl w:val="0"/>
        <w:autoSpaceDE w:val="0"/>
        <w:autoSpaceDN w:val="0"/>
        <w:spacing w:before="0" w:after="0" w:line="324"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注册地址：武汉市新华路特 </w:t>
      </w:r>
      <w:r>
        <w:rPr>
          <w:rFonts w:ascii="Times New Roman"/>
          <w:color w:val="000000"/>
          <w:spacing w:val="0"/>
          <w:sz w:val="21"/>
        </w:rPr>
        <w:t xml:space="preserve"> 8</w:t>
      </w:r>
    </w:p>
    <w:p>
      <w:pPr>
        <w:framePr w:w="3023"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号长江证券大厦</w:t>
      </w:r>
    </w:p>
    <w:p>
      <w:pPr>
        <w:framePr w:w="526" w:wrap="around" w:vAnchor="margin" w:hAnchor="text" w:x="4213" w:y="962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18</w:t>
      </w:r>
    </w:p>
    <w:p>
      <w:pPr>
        <w:framePr w:w="2418" w:wrap="around" w:vAnchor="margin" w:hAnchor="text" w:x="4640"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长江证券股份有限公司</w:t>
      </w:r>
    </w:p>
    <w:p>
      <w:pPr>
        <w:framePr w:w="2209" w:wrap="around" w:vAnchor="margin" w:hAnchor="text" w:x="7482"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法定代表人：李新华</w:t>
      </w:r>
    </w:p>
    <w:p>
      <w:pPr>
        <w:framePr w:w="2209" w:wrap="around" w:vAnchor="margin" w:hAnchor="text" w:x="7482" w:y="1025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联系人：奚博宇</w:t>
      </w:r>
    </w:p>
    <w:p>
      <w:pPr>
        <w:framePr w:w="2178" w:wrap="around" w:vAnchor="margin" w:hAnchor="text" w:x="7482" w:y="108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027-65799999</w:t>
      </w:r>
    </w:p>
    <w:p>
      <w:pPr>
        <w:framePr w:w="2178"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027-85481900</w:t>
      </w:r>
    </w:p>
    <w:p>
      <w:pPr>
        <w:framePr w:w="2178" w:wrap="around" w:vAnchor="margin" w:hAnchor="text" w:x="7482" w:y="1087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95579</w:t>
      </w:r>
      <w:r>
        <w:rPr>
          <w:rFonts w:ascii="SKJVQB+å®ä½" w:hAnsi="SKJVQB+å®ä½" w:cs="SKJVQB+å®ä½"/>
          <w:color w:val="000000"/>
          <w:spacing w:val="0"/>
          <w:sz w:val="21"/>
        </w:rPr>
        <w:t>或</w:t>
      </w:r>
    </w:p>
    <w:p>
      <w:pPr>
        <w:framePr w:w="2178" w:wrap="around" w:vAnchor="margin" w:hAnchor="text" w:x="7482" w:y="10871"/>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4008-888-999</w:t>
      </w:r>
    </w:p>
    <w:p>
      <w:pPr>
        <w:framePr w:w="3020"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www.95579.com</w:t>
      </w:r>
    </w:p>
    <w:p>
      <w:pPr>
        <w:framePr w:w="3020" w:wrap="around" w:vAnchor="margin" w:hAnchor="text" w:x="7482" w:y="1211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framePr w:w="3020"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作区南山街道桂湾五路 </w:t>
      </w:r>
      <w:r>
        <w:rPr>
          <w:rFonts w:ascii="Times New Roman"/>
          <w:color w:val="000000"/>
          <w:spacing w:val="0"/>
          <w:sz w:val="21"/>
        </w:rPr>
        <w:t xml:space="preserve"> 128</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号前海深港基金小镇对冲基</w:t>
      </w:r>
    </w:p>
    <w:p>
      <w:pPr>
        <w:framePr w:w="3020"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金中心 </w:t>
      </w:r>
      <w:r>
        <w:rPr>
          <w:rFonts w:ascii="Times New Roman"/>
          <w:color w:val="000000"/>
          <w:spacing w:val="0"/>
          <w:sz w:val="21"/>
        </w:rPr>
        <w:t xml:space="preserve"> 406</w:t>
      </w:r>
    </w:p>
    <w:p>
      <w:pPr>
        <w:framePr w:w="526" w:wrap="around" w:vAnchor="margin" w:hAnchor="text" w:x="4213" w:y="124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19</w:t>
      </w:r>
    </w:p>
    <w:p>
      <w:pPr>
        <w:framePr w:w="2418" w:wrap="around" w:vAnchor="margin" w:hAnchor="text" w:x="4640"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世纪证券有限责任公司</w:t>
      </w:r>
    </w:p>
    <w:p>
      <w:pPr>
        <w:framePr w:w="3020"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办公地址：深圳市福田区深南</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大道招商银行大厦 </w:t>
      </w:r>
      <w:r>
        <w:rPr>
          <w:rFonts w:ascii="Times New Roman"/>
          <w:color w:val="000000"/>
          <w:spacing w:val="0"/>
          <w:sz w:val="21"/>
        </w:rPr>
        <w:t>40-42</w:t>
      </w:r>
      <w:r>
        <w:rPr>
          <w:rFonts w:ascii="SKJVQB+å®ä½" w:hAnsi="SKJVQB+å®ä½" w:cs="SKJVQB+å®ä½"/>
          <w:color w:val="000000"/>
          <w:spacing w:val="0"/>
          <w:sz w:val="21"/>
        </w:rPr>
        <w:t>层</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法定代表人：李强</w:t>
      </w:r>
    </w:p>
    <w:p>
      <w:pPr>
        <w:framePr w:w="1578"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联系人：王雯</w:t>
      </w:r>
    </w:p>
    <w:p>
      <w:pPr>
        <w:framePr w:w="2736" w:wrap="around" w:vAnchor="margin" w:hAnchor="text" w:x="7482" w:y="1493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0755-83199511</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40</w:t>
      </w:r>
    </w:p>
    <w:p>
      <w:pPr>
        <w:spacing w:before="0" w:after="0" w:line="0" w:lineRule="exact"/>
        <w:ind w:left="0" w:right="0"/>
        <w:jc w:val="left"/>
        <w:rPr>
          <w:rFonts w:ascii="Arial"/>
          <w:color w:val="FF0000"/>
          <w:spacing w:val="0"/>
          <w:sz w:val="2"/>
        </w:rPr>
      </w:pPr>
      <w:r>
        <w:pict>
          <v:shape id="_x000085" o:spid="_x0000_s111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72" o:title=""/>
            <o:lock v:ext="edit" aspectratio="t"/>
          </v:shape>
        </w:pict>
      </w:r>
      <w:r>
        <w:pict>
          <v:shape id="_x000086" o:spid="_x0000_s1112"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7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488"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4008323000</w:t>
      </w:r>
    </w:p>
    <w:p>
      <w:pPr>
        <w:framePr w:w="2488"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www.csco.com.cn</w:t>
      </w:r>
    </w:p>
    <w:p>
      <w:pPr>
        <w:framePr w:w="526" w:wrap="around" w:vAnchor="margin" w:hAnchor="text" w:x="4213" w:y="21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20</w:t>
      </w:r>
    </w:p>
    <w:p>
      <w:pPr>
        <w:framePr w:w="2418" w:wrap="around" w:vAnchor="margin" w:hAnchor="text" w:x="4640"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东北证券股份有限公司</w:t>
      </w:r>
    </w:p>
    <w:p>
      <w:pPr>
        <w:framePr w:w="2901" w:wrap="around" w:vAnchor="margin" w:hAnchor="text" w:x="7482"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注册地址：长春市生态大街</w:t>
      </w:r>
    </w:p>
    <w:p>
      <w:pPr>
        <w:framePr w:w="2901"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6666</w:t>
      </w:r>
      <w:r>
        <w:rPr>
          <w:rFonts w:ascii="SKJVQB+å®ä½" w:hAnsi="SKJVQB+å®ä½" w:cs="SKJVQB+å®ä½"/>
          <w:color w:val="000000"/>
          <w:spacing w:val="0"/>
          <w:sz w:val="21"/>
        </w:rPr>
        <w:t>号</w:t>
      </w:r>
    </w:p>
    <w:p>
      <w:pPr>
        <w:framePr w:w="2901"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办公地址：长春市生态大街</w:t>
      </w:r>
    </w:p>
    <w:p>
      <w:pPr>
        <w:framePr w:w="2901"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6666</w:t>
      </w:r>
      <w:r>
        <w:rPr>
          <w:rFonts w:ascii="SKJVQB+å®ä½" w:hAnsi="SKJVQB+å®ä½" w:cs="SKJVQB+å®ä½"/>
          <w:color w:val="000000"/>
          <w:spacing w:val="0"/>
          <w:sz w:val="21"/>
        </w:rPr>
        <w:t>号</w:t>
      </w:r>
    </w:p>
    <w:p>
      <w:pPr>
        <w:framePr w:w="2209"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法定代表人：李福春</w:t>
      </w:r>
    </w:p>
    <w:p>
      <w:pPr>
        <w:framePr w:w="2209"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安岩岩</w:t>
      </w:r>
    </w:p>
    <w:p>
      <w:pPr>
        <w:framePr w:w="2571" w:wrap="around" w:vAnchor="margin" w:hAnchor="text" w:x="7482" w:y="398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:0431-85096517</w:t>
      </w:r>
    </w:p>
    <w:p>
      <w:pPr>
        <w:framePr w:w="2571" w:wrap="around" w:vAnchor="margin" w:hAnchor="text" w:x="7482" w:y="398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:95360</w:t>
      </w:r>
    </w:p>
    <w:p>
      <w:pPr>
        <w:framePr w:w="2065"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www.nesc.cn</w:t>
      </w:r>
    </w:p>
    <w:p>
      <w:pPr>
        <w:framePr w:w="526" w:wrap="around" w:vAnchor="margin" w:hAnchor="text" w:x="4213" w:y="492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21</w:t>
      </w:r>
    </w:p>
    <w:p>
      <w:pPr>
        <w:framePr w:w="2418" w:wrap="around" w:vAnchor="margin" w:hAnchor="text" w:x="4640" w:y="493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上海证券有限责任公司</w:t>
      </w:r>
    </w:p>
    <w:p>
      <w:pPr>
        <w:framePr w:w="3020" w:wrap="around" w:vAnchor="margin" w:hAnchor="text" w:x="7482" w:y="493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注册地址：上海市黄浦区四川</w:t>
      </w:r>
    </w:p>
    <w:p>
      <w:pPr>
        <w:framePr w:w="3020" w:wrap="around" w:vAnchor="margin" w:hAnchor="text" w:x="7482" w:y="493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213</w:t>
      </w:r>
      <w:r>
        <w:rPr>
          <w:rFonts w:ascii="SKJVQB+å®ä½" w:hAnsi="SKJVQB+å®ä½" w:cs="SKJVQB+å®ä½"/>
          <w:color w:val="000000"/>
          <w:spacing w:val="0"/>
          <w:sz w:val="21"/>
        </w:rPr>
        <w:t xml:space="preserve">号  </w:t>
      </w:r>
      <w:r>
        <w:rPr>
          <w:rFonts w:ascii="Times New Roman"/>
          <w:color w:val="000000"/>
          <w:spacing w:val="0"/>
          <w:sz w:val="21"/>
        </w:rPr>
        <w:t>7</w:t>
      </w:r>
      <w:r>
        <w:rPr>
          <w:rFonts w:ascii="SKJVQB+å®ä½" w:hAnsi="SKJVQB+å®ä½" w:cs="SKJVQB+å®ä½"/>
          <w:color w:val="000000"/>
          <w:spacing w:val="0"/>
          <w:sz w:val="21"/>
        </w:rPr>
        <w:t>楼</w:t>
      </w:r>
    </w:p>
    <w:p>
      <w:pPr>
        <w:framePr w:w="3020" w:wrap="around" w:vAnchor="margin" w:hAnchor="text" w:x="7482"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办公地址：上海市黄浦区四川</w:t>
      </w:r>
    </w:p>
    <w:p>
      <w:pPr>
        <w:framePr w:w="3020" w:wrap="around" w:vAnchor="margin" w:hAnchor="text" w:x="7482" w:y="556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213</w:t>
      </w:r>
      <w:r>
        <w:rPr>
          <w:rFonts w:ascii="SKJVQB+å®ä½" w:hAnsi="SKJVQB+å®ä½" w:cs="SKJVQB+å®ä½"/>
          <w:color w:val="000000"/>
          <w:spacing w:val="0"/>
          <w:sz w:val="21"/>
        </w:rPr>
        <w:t xml:space="preserve">号久事商务大厦  </w:t>
      </w:r>
      <w:r>
        <w:rPr>
          <w:rFonts w:ascii="Times New Roman"/>
          <w:color w:val="000000"/>
          <w:spacing w:val="0"/>
          <w:sz w:val="21"/>
        </w:rPr>
        <w:t xml:space="preserve"> 7</w:t>
      </w:r>
    </w:p>
    <w:p>
      <w:pPr>
        <w:framePr w:w="3020"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209" w:wrap="around" w:vAnchor="margin" w:hAnchor="text" w:x="7482"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法定代表人：李俊杰</w:t>
      </w:r>
    </w:p>
    <w:p>
      <w:pPr>
        <w:framePr w:w="2209" w:wrap="around" w:vAnchor="margin" w:hAnchor="text" w:x="7482" w:y="6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联系人：邵珍珍</w:t>
      </w:r>
    </w:p>
    <w:p>
      <w:pPr>
        <w:framePr w:w="3020" w:wrap="around" w:vAnchor="margin" w:hAnchor="text" w:x="7482" w:y="711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021-53686888</w:t>
      </w:r>
    </w:p>
    <w:p>
      <w:pPr>
        <w:framePr w:w="3020" w:wrap="around" w:vAnchor="margin" w:hAnchor="text" w:x="7482" w:y="711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021-53686100-7008</w:t>
      </w:r>
    </w:p>
    <w:p>
      <w:pPr>
        <w:framePr w:w="3020" w:wrap="around" w:vAnchor="margin" w:hAnchor="text" w:x="7482" w:y="711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4008918918</w:t>
      </w:r>
    </w:p>
    <w:p>
      <w:pPr>
        <w:framePr w:w="3020" w:wrap="around" w:vAnchor="margin" w:hAnchor="text" w:x="7482" w:y="711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www.shzq.com</w:t>
      </w:r>
    </w:p>
    <w:p>
      <w:pPr>
        <w:framePr w:w="3020" w:wrap="around" w:vAnchor="margin" w:hAnchor="text" w:x="7482" w:y="7114"/>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注册地址：黑龙江省哈尔滨市</w:t>
      </w:r>
    </w:p>
    <w:p>
      <w:pPr>
        <w:framePr w:w="3020" w:wrap="around" w:vAnchor="margin" w:hAnchor="text" w:x="7482" w:y="71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香坊区赣水路 </w:t>
      </w:r>
      <w:r>
        <w:rPr>
          <w:rFonts w:ascii="Times New Roman"/>
          <w:color w:val="000000"/>
          <w:spacing w:val="0"/>
          <w:sz w:val="21"/>
        </w:rPr>
        <w:t>56</w:t>
      </w:r>
      <w:r>
        <w:rPr>
          <w:rFonts w:ascii="SKJVQB+å®ä½" w:hAnsi="SKJVQB+å®ä½" w:cs="SKJVQB+å®ä½"/>
          <w:color w:val="000000"/>
          <w:spacing w:val="0"/>
          <w:sz w:val="21"/>
        </w:rPr>
        <w:t>号</w:t>
      </w:r>
    </w:p>
    <w:p>
      <w:pPr>
        <w:framePr w:w="526" w:wrap="around" w:vAnchor="margin" w:hAnchor="text" w:x="4213" w:y="837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22</w:t>
      </w:r>
    </w:p>
    <w:p>
      <w:pPr>
        <w:framePr w:w="1998" w:wrap="around" w:vAnchor="margin" w:hAnchor="text" w:x="4640" w:y="83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江海证券有限公司</w:t>
      </w:r>
    </w:p>
    <w:p>
      <w:pPr>
        <w:framePr w:w="3020" w:wrap="around" w:vAnchor="margin" w:hAnchor="text" w:x="7482"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办公地址：黑龙江省哈尔滨市</w:t>
      </w:r>
    </w:p>
    <w:p>
      <w:pPr>
        <w:framePr w:w="3020" w:wrap="around" w:vAnchor="margin" w:hAnchor="text" w:x="7482"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松北区创新三路 </w:t>
      </w:r>
      <w:r>
        <w:rPr>
          <w:rFonts w:ascii="Times New Roman"/>
          <w:color w:val="000000"/>
          <w:spacing w:val="0"/>
          <w:sz w:val="21"/>
        </w:rPr>
        <w:t>833</w:t>
      </w:r>
      <w:r>
        <w:rPr>
          <w:rFonts w:ascii="SKJVQB+å®ä½" w:hAnsi="SKJVQB+å®ä½" w:cs="SKJVQB+å®ä½"/>
          <w:color w:val="000000"/>
          <w:spacing w:val="0"/>
          <w:sz w:val="21"/>
        </w:rPr>
        <w:t>号</w:t>
      </w:r>
    </w:p>
    <w:p>
      <w:pPr>
        <w:framePr w:w="3020" w:wrap="around" w:vAnchor="margin" w:hAnchor="text" w:x="7482"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法定代表人：赵洪波</w:t>
      </w:r>
    </w:p>
    <w:p>
      <w:pPr>
        <w:framePr w:w="3020" w:wrap="around" w:vAnchor="margin" w:hAnchor="text" w:x="7482"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联系人：姜志伟</w:t>
      </w:r>
    </w:p>
    <w:p>
      <w:pPr>
        <w:framePr w:w="3021" w:wrap="around" w:vAnchor="margin" w:hAnchor="text" w:x="7482" w:y="1024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0451-87765732</w:t>
      </w:r>
    </w:p>
    <w:p>
      <w:pPr>
        <w:framePr w:w="3021" w:wrap="around" w:vAnchor="margin" w:hAnchor="text" w:x="7482" w:y="10247"/>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0451-82337279</w:t>
      </w:r>
    </w:p>
    <w:p>
      <w:pPr>
        <w:framePr w:w="3021" w:wrap="around" w:vAnchor="margin" w:hAnchor="text" w:x="7482" w:y="102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400-666-2288</w:t>
      </w:r>
    </w:p>
    <w:p>
      <w:pPr>
        <w:framePr w:w="3021" w:wrap="around" w:vAnchor="margin" w:hAnchor="text" w:x="7482" w:y="102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www.jhzq.com.cn</w:t>
      </w:r>
    </w:p>
    <w:p>
      <w:pPr>
        <w:framePr w:w="3021" w:wrap="around" w:vAnchor="margin" w:hAnchor="text" w:x="7482" w:y="1024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江苏省无锡滨湖区</w:t>
      </w:r>
    </w:p>
    <w:p>
      <w:pPr>
        <w:framePr w:w="3021" w:wrap="around" w:vAnchor="margin" w:hAnchor="text" w:x="7482" w:y="102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太湖新城金融一街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7-9</w:t>
      </w:r>
      <w:r>
        <w:rPr>
          <w:rFonts w:ascii="SKJVQB+å®ä½" w:hAnsi="SKJVQB+å®ä½" w:cs="SKJVQB+å®ä½"/>
          <w:color w:val="000000"/>
          <w:spacing w:val="0"/>
          <w:sz w:val="21"/>
        </w:rPr>
        <w:t>层</w:t>
      </w:r>
    </w:p>
    <w:p>
      <w:pPr>
        <w:framePr w:w="3021" w:wrap="around" w:vAnchor="margin" w:hAnchor="text" w:x="7482" w:y="102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办公地址：江苏省无锡滨湖区</w:t>
      </w:r>
    </w:p>
    <w:p>
      <w:pPr>
        <w:framePr w:w="3021" w:wrap="around" w:vAnchor="margin" w:hAnchor="text" w:x="7482" w:y="102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太湖新城金融一街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7-9</w:t>
      </w:r>
      <w:r>
        <w:rPr>
          <w:rFonts w:ascii="SKJVQB+å®ä½" w:hAnsi="SKJVQB+å®ä½" w:cs="SKJVQB+å®ä½"/>
          <w:color w:val="000000"/>
          <w:spacing w:val="0"/>
          <w:sz w:val="21"/>
        </w:rPr>
        <w:t>层</w:t>
      </w:r>
    </w:p>
    <w:p>
      <w:pPr>
        <w:framePr w:w="3021" w:wrap="around" w:vAnchor="margin" w:hAnchor="text" w:x="7482" w:y="102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姚志勇</w:t>
      </w:r>
    </w:p>
    <w:p>
      <w:pPr>
        <w:framePr w:w="526" w:wrap="around" w:vAnchor="margin" w:hAnchor="text" w:x="4213" w:y="1150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23</w:t>
      </w:r>
    </w:p>
    <w:p>
      <w:pPr>
        <w:framePr w:w="2418" w:wrap="around" w:vAnchor="margin" w:hAnchor="text" w:x="4640" w:y="1151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国联证券股份有限公司</w:t>
      </w:r>
    </w:p>
    <w:p>
      <w:pPr>
        <w:framePr w:w="1430" w:wrap="around" w:vAnchor="margin" w:hAnchor="text" w:x="7482" w:y="13065"/>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祁昊</w:t>
      </w:r>
    </w:p>
    <w:p>
      <w:pPr>
        <w:framePr w:w="2571" w:wrap="around" w:vAnchor="margin" w:hAnchor="text" w:x="7482" w:y="1337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:0510-82831662</w:t>
      </w:r>
    </w:p>
    <w:p>
      <w:pPr>
        <w:framePr w:w="2571" w:wrap="around" w:vAnchor="margin" w:hAnchor="text" w:x="7482" w:y="1337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:95570</w:t>
      </w:r>
    </w:p>
    <w:p>
      <w:pPr>
        <w:framePr w:w="2969" w:wrap="around" w:vAnchor="margin" w:hAnchor="text" w:x="7482" w:y="1400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:www.glsc.com.cn</w:t>
      </w:r>
    </w:p>
    <w:p>
      <w:pPr>
        <w:framePr w:w="2969" w:wrap="around" w:vAnchor="margin" w:hAnchor="text" w:x="7482" w:y="1400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广东省东莞市莞城</w:t>
      </w:r>
    </w:p>
    <w:p>
      <w:pPr>
        <w:framePr w:w="2969" w:wrap="around" w:vAnchor="margin" w:hAnchor="text" w:x="7482" w:y="1400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区可园南路 </w:t>
      </w:r>
      <w:r>
        <w:rPr>
          <w:rFonts w:ascii="Times New Roman"/>
          <w:color w:val="000000"/>
          <w:spacing w:val="0"/>
          <w:sz w:val="21"/>
        </w:rPr>
        <w:t>1</w:t>
      </w:r>
      <w:r>
        <w:rPr>
          <w:rFonts w:ascii="SKJVQB+å®ä½" w:hAnsi="SKJVQB+å®ä½" w:cs="SKJVQB+å®ä½"/>
          <w:color w:val="000000"/>
          <w:spacing w:val="0"/>
          <w:sz w:val="21"/>
        </w:rPr>
        <w:t>号金源中心</w:t>
      </w:r>
    </w:p>
    <w:p>
      <w:pPr>
        <w:framePr w:w="2969" w:wrap="around" w:vAnchor="margin" w:hAnchor="text" w:x="7482" w:y="1400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广东省东莞市莞城</w:t>
      </w:r>
    </w:p>
    <w:p>
      <w:pPr>
        <w:framePr w:w="526" w:wrap="around" w:vAnchor="margin" w:hAnchor="text" w:x="4213" w:y="1432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24</w:t>
      </w:r>
    </w:p>
    <w:p>
      <w:pPr>
        <w:framePr w:w="2418" w:wrap="around" w:vAnchor="margin" w:hAnchor="text" w:x="4640" w:y="1433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东莞证券股份有限公司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41</w:t>
      </w:r>
    </w:p>
    <w:p>
      <w:pPr>
        <w:spacing w:before="0" w:after="0" w:line="0" w:lineRule="exact"/>
        <w:ind w:left="0" w:right="0"/>
        <w:jc w:val="left"/>
        <w:rPr>
          <w:rFonts w:ascii="Arial"/>
          <w:color w:val="FF0000"/>
          <w:spacing w:val="0"/>
          <w:sz w:val="2"/>
        </w:rPr>
      </w:pPr>
      <w:r>
        <w:pict>
          <v:shape id="_x000087" o:spid="_x0000_s111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74" o:title=""/>
            <o:lock v:ext="edit" aspectratio="t"/>
          </v:shape>
        </w:pict>
      </w:r>
      <w:r>
        <w:pict>
          <v:shape id="_x000088" o:spid="_x0000_s1114"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7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662"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区可园南路 </w:t>
      </w:r>
      <w:r>
        <w:rPr>
          <w:rFonts w:ascii="Times New Roman"/>
          <w:color w:val="000000"/>
          <w:spacing w:val="0"/>
          <w:sz w:val="21"/>
        </w:rPr>
        <w:t>1</w:t>
      </w:r>
      <w:r>
        <w:rPr>
          <w:rFonts w:ascii="SKJVQB+å®ä½" w:hAnsi="SKJVQB+å®ä½" w:cs="SKJVQB+å®ä½"/>
          <w:color w:val="000000"/>
          <w:spacing w:val="0"/>
          <w:sz w:val="21"/>
        </w:rPr>
        <w:t>号金源中心</w:t>
      </w:r>
    </w:p>
    <w:p>
      <w:pPr>
        <w:framePr w:w="2662"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李荣</w:t>
      </w:r>
    </w:p>
    <w:p>
      <w:pPr>
        <w:framePr w:w="2736"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0769-22115712</w:t>
      </w:r>
    </w:p>
    <w:p>
      <w:pPr>
        <w:framePr w:w="2736"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0769-22115712</w:t>
      </w:r>
    </w:p>
    <w:p>
      <w:pPr>
        <w:framePr w:w="2736"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95328</w:t>
      </w:r>
    </w:p>
    <w:p>
      <w:pPr>
        <w:framePr w:w="2363"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:www.dgzq.com.cn</w:t>
      </w:r>
    </w:p>
    <w:p>
      <w:pPr>
        <w:framePr w:w="526" w:wrap="around" w:vAnchor="margin" w:hAnchor="text" w:x="4213" w:y="335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25</w:t>
      </w:r>
    </w:p>
    <w:p>
      <w:pPr>
        <w:framePr w:w="526" w:wrap="around" w:vAnchor="margin" w:hAnchor="text" w:x="4213" w:y="3358"/>
        <w:widowControl w:val="0"/>
        <w:autoSpaceDE w:val="0"/>
        <w:autoSpaceDN w:val="0"/>
        <w:spacing w:before="0" w:after="0" w:line="3442" w:lineRule="exact"/>
        <w:ind w:left="0" w:right="0"/>
        <w:jc w:val="left"/>
        <w:rPr>
          <w:rFonts w:ascii="Times New Roman"/>
          <w:color w:val="000000"/>
          <w:spacing w:val="0"/>
          <w:sz w:val="21"/>
        </w:rPr>
      </w:pPr>
      <w:r>
        <w:rPr>
          <w:rFonts w:ascii="Times New Roman"/>
          <w:color w:val="000000"/>
          <w:spacing w:val="0"/>
          <w:sz w:val="21"/>
        </w:rPr>
        <w:t>26</w:t>
      </w:r>
    </w:p>
    <w:p>
      <w:pPr>
        <w:framePr w:w="526" w:wrap="around" w:vAnchor="margin" w:hAnchor="text" w:x="4213" w:y="3358"/>
        <w:widowControl w:val="0"/>
        <w:autoSpaceDE w:val="0"/>
        <w:autoSpaceDN w:val="0"/>
        <w:spacing w:before="0" w:after="0" w:line="3444" w:lineRule="exact"/>
        <w:ind w:left="0" w:right="0"/>
        <w:jc w:val="left"/>
        <w:rPr>
          <w:rFonts w:ascii="Times New Roman"/>
          <w:color w:val="000000"/>
          <w:spacing w:val="0"/>
          <w:sz w:val="21"/>
        </w:rPr>
      </w:pPr>
      <w:r>
        <w:rPr>
          <w:rFonts w:ascii="Times New Roman"/>
          <w:color w:val="000000"/>
          <w:spacing w:val="0"/>
          <w:sz w:val="21"/>
        </w:rPr>
        <w:t>27</w:t>
      </w:r>
    </w:p>
    <w:p>
      <w:pPr>
        <w:framePr w:w="526" w:wrap="around" w:vAnchor="margin" w:hAnchor="text" w:x="4213" w:y="3358"/>
        <w:widowControl w:val="0"/>
        <w:autoSpaceDE w:val="0"/>
        <w:autoSpaceDN w:val="0"/>
        <w:spacing w:before="0" w:after="0" w:line="3443" w:lineRule="exact"/>
        <w:ind w:left="0" w:right="0"/>
        <w:jc w:val="left"/>
        <w:rPr>
          <w:rFonts w:ascii="Times New Roman"/>
          <w:color w:val="000000"/>
          <w:spacing w:val="0"/>
          <w:sz w:val="21"/>
        </w:rPr>
      </w:pPr>
      <w:r>
        <w:rPr>
          <w:rFonts w:ascii="Times New Roman"/>
          <w:color w:val="000000"/>
          <w:spacing w:val="0"/>
          <w:sz w:val="21"/>
        </w:rPr>
        <w:t>28</w:t>
      </w:r>
    </w:p>
    <w:p>
      <w:pPr>
        <w:framePr w:w="2418" w:wrap="around" w:vAnchor="margin" w:hAnchor="text" w:x="4640"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渤海证券股份有限公司</w:t>
      </w:r>
    </w:p>
    <w:p>
      <w:pPr>
        <w:framePr w:w="2418" w:wrap="around" w:vAnchor="margin" w:hAnchor="text" w:x="4640" w:y="3367"/>
        <w:widowControl w:val="0"/>
        <w:autoSpaceDE w:val="0"/>
        <w:autoSpaceDN w:val="0"/>
        <w:spacing w:before="0" w:after="0" w:line="344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平安证券股份有限公司</w:t>
      </w:r>
    </w:p>
    <w:p>
      <w:pPr>
        <w:framePr w:w="2418" w:wrap="around" w:vAnchor="margin" w:hAnchor="text" w:x="4640" w:y="3367"/>
        <w:widowControl w:val="0"/>
        <w:autoSpaceDE w:val="0"/>
        <w:autoSpaceDN w:val="0"/>
        <w:spacing w:before="0" w:after="0" w:line="344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国都证券股份有限公司</w:t>
      </w:r>
    </w:p>
    <w:p>
      <w:pPr>
        <w:framePr w:w="2418" w:wrap="around" w:vAnchor="margin" w:hAnchor="text" w:x="4640" w:y="3367"/>
        <w:widowControl w:val="0"/>
        <w:autoSpaceDE w:val="0"/>
        <w:autoSpaceDN w:val="0"/>
        <w:spacing w:before="0" w:after="0" w:line="344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东吴证券股份有限公司</w:t>
      </w:r>
    </w:p>
    <w:p>
      <w:pPr>
        <w:framePr w:w="3020"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注册地址：天津市经济技术开</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发区第二大街 </w:t>
      </w:r>
      <w:r>
        <w:rPr>
          <w:rFonts w:ascii="Times New Roman"/>
          <w:color w:val="000000"/>
          <w:spacing w:val="0"/>
          <w:sz w:val="21"/>
        </w:rPr>
        <w:t>42</w:t>
      </w:r>
      <w:r>
        <w:rPr>
          <w:rFonts w:ascii="SKJVQB+å®ä½" w:hAnsi="SKJVQB+å®ä½" w:cs="SKJVQB+å®ä½"/>
          <w:color w:val="000000"/>
          <w:spacing w:val="0"/>
          <w:sz w:val="21"/>
        </w:rPr>
        <w:t>号写字楼</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101</w:t>
      </w:r>
      <w:r>
        <w:rPr>
          <w:rFonts w:ascii="SKJVQB+å®ä½" w:hAnsi="SKJVQB+å®ä½" w:cs="SKJVQB+å®ä½"/>
          <w:color w:val="000000"/>
          <w:spacing w:val="0"/>
          <w:sz w:val="21"/>
        </w:rPr>
        <w:t>室</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办公地址：天津市南开区宾水</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西道 </w:t>
      </w:r>
      <w:r>
        <w:rPr>
          <w:rFonts w:ascii="Times New Roman"/>
          <w:color w:val="000000"/>
          <w:spacing w:val="0"/>
          <w:sz w:val="21"/>
        </w:rPr>
        <w:t>8</w:t>
      </w:r>
      <w:r>
        <w:rPr>
          <w:rFonts w:ascii="SKJVQB+å®ä½" w:hAnsi="SKJVQB+å®ä½" w:cs="SKJVQB+å®ä½"/>
          <w:color w:val="000000"/>
          <w:spacing w:val="0"/>
          <w:sz w:val="21"/>
        </w:rPr>
        <w:t>号</w:t>
      </w:r>
    </w:p>
    <w:p>
      <w:pPr>
        <w:framePr w:w="2209"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法定代表人：安志勇</w:t>
      </w:r>
    </w:p>
    <w:p>
      <w:pPr>
        <w:framePr w:w="2209"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王星</w:t>
      </w:r>
    </w:p>
    <w:p>
      <w:pPr>
        <w:framePr w:w="3020"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022-28451922</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022-28451892</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400-651-5988</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www.ewww.com.cn</w:t>
      </w:r>
    </w:p>
    <w:p>
      <w:pPr>
        <w:framePr w:w="3020"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注册地址：深圳市福田中心区</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金田路 </w:t>
      </w:r>
      <w:r>
        <w:rPr>
          <w:rFonts w:ascii="Times New Roman"/>
          <w:color w:val="000000"/>
          <w:spacing w:val="0"/>
          <w:sz w:val="21"/>
        </w:rPr>
        <w:t>4036</w:t>
      </w:r>
      <w:r>
        <w:rPr>
          <w:rFonts w:ascii="SKJVQB+å®ä½" w:hAnsi="SKJVQB+å®ä½" w:cs="SKJVQB+å®ä½"/>
          <w:color w:val="000000"/>
          <w:spacing w:val="0"/>
          <w:sz w:val="21"/>
        </w:rPr>
        <w:t>号荣超大厦</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16-20</w:t>
      </w:r>
      <w:r>
        <w:rPr>
          <w:rFonts w:ascii="SKJVQB+å®ä½" w:hAnsi="SKJVQB+å®ä½" w:cs="SKJVQB+å®ä½"/>
          <w:color w:val="000000"/>
          <w:spacing w:val="0"/>
          <w:sz w:val="21"/>
        </w:rPr>
        <w:t>层</w:t>
      </w:r>
    </w:p>
    <w:p>
      <w:pPr>
        <w:framePr w:w="3020"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办公地址：深圳市福田中心区</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金田路 </w:t>
      </w:r>
      <w:r>
        <w:rPr>
          <w:rFonts w:ascii="Times New Roman"/>
          <w:color w:val="000000"/>
          <w:spacing w:val="0"/>
          <w:sz w:val="21"/>
        </w:rPr>
        <w:t>4036</w:t>
      </w:r>
      <w:r>
        <w:rPr>
          <w:rFonts w:ascii="SKJVQB+å®ä½" w:hAnsi="SKJVQB+å®ä½" w:cs="SKJVQB+å®ä½"/>
          <w:color w:val="000000"/>
          <w:spacing w:val="0"/>
          <w:sz w:val="21"/>
        </w:rPr>
        <w:t>号荣超大厦</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16-20</w:t>
      </w:r>
      <w:r>
        <w:rPr>
          <w:rFonts w:ascii="SKJVQB+å®ä½" w:hAnsi="SKJVQB+å®ä½" w:cs="SKJVQB+å®ä½"/>
          <w:color w:val="000000"/>
          <w:spacing w:val="0"/>
          <w:sz w:val="21"/>
        </w:rPr>
        <w:t>层</w:t>
      </w:r>
    </w:p>
    <w:p>
      <w:pPr>
        <w:framePr w:w="2209"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法定代表人：何之江</w:t>
      </w:r>
    </w:p>
    <w:p>
      <w:pPr>
        <w:framePr w:w="2209"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王阳</w:t>
      </w:r>
    </w:p>
    <w:p>
      <w:pPr>
        <w:framePr w:w="2449"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:021-38637436</w:t>
      </w:r>
    </w:p>
    <w:p>
      <w:pPr>
        <w:framePr w:w="2449"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:95511-8</w:t>
      </w:r>
    </w:p>
    <w:p>
      <w:pPr>
        <w:framePr w:w="3023" w:wrap="around" w:vAnchor="margin" w:hAnchor="text" w:x="7482" w:y="992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stock.pingan.com</w:t>
      </w:r>
    </w:p>
    <w:p>
      <w:pPr>
        <w:framePr w:w="3023" w:wrap="around" w:vAnchor="margin" w:hAnchor="text" w:x="7482" w:y="992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注册地址：北京市东城区东直</w:t>
      </w:r>
    </w:p>
    <w:p>
      <w:pPr>
        <w:framePr w:w="3023" w:wrap="around" w:vAnchor="margin" w:hAnchor="text" w:x="7482" w:y="9923"/>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 xml:space="preserve">门南大街 </w:t>
      </w:r>
      <w:r>
        <w:rPr>
          <w:rFonts w:ascii="Times New Roman"/>
          <w:color w:val="000000"/>
          <w:spacing w:val="0"/>
          <w:sz w:val="21"/>
        </w:rPr>
        <w:t>3</w:t>
      </w:r>
      <w:r>
        <w:rPr>
          <w:rFonts w:ascii="SKJVQB+å®ä½" w:hAnsi="SKJVQB+å®ä½" w:cs="SKJVQB+å®ä½"/>
          <w:color w:val="000000"/>
          <w:spacing w:val="0"/>
          <w:sz w:val="21"/>
        </w:rPr>
        <w:t xml:space="preserve">号国华投资大厦 </w:t>
      </w:r>
      <w:r>
        <w:rPr>
          <w:rFonts w:ascii="Times New Roman"/>
          <w:color w:val="000000"/>
          <w:spacing w:val="0"/>
          <w:sz w:val="21"/>
        </w:rPr>
        <w:t xml:space="preserve"> 9</w:t>
      </w:r>
    </w:p>
    <w:p>
      <w:pPr>
        <w:framePr w:w="3023" w:wrap="around" w:vAnchor="margin" w:hAnchor="text" w:x="7482" w:y="992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10</w:t>
      </w:r>
      <w:r>
        <w:rPr>
          <w:rFonts w:ascii="SKJVQB+å®ä½" w:hAnsi="SKJVQB+å®ä½" w:cs="SKJVQB+å®ä½"/>
          <w:color w:val="000000"/>
          <w:spacing w:val="0"/>
          <w:sz w:val="21"/>
        </w:rPr>
        <w:t>层</w:t>
      </w:r>
    </w:p>
    <w:p>
      <w:pPr>
        <w:framePr w:w="3023" w:wrap="around" w:vAnchor="margin" w:hAnchor="text" w:x="7482"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办公地址：北京市东城区东直</w:t>
      </w:r>
    </w:p>
    <w:p>
      <w:pPr>
        <w:framePr w:w="3023" w:wrap="around" w:vAnchor="margin" w:hAnchor="text" w:x="7482" w:y="1119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门南大街 </w:t>
      </w:r>
      <w:r>
        <w:rPr>
          <w:rFonts w:ascii="Times New Roman"/>
          <w:color w:val="000000"/>
          <w:spacing w:val="0"/>
          <w:sz w:val="21"/>
        </w:rPr>
        <w:t>3</w:t>
      </w:r>
      <w:r>
        <w:rPr>
          <w:rFonts w:ascii="SKJVQB+å®ä½" w:hAnsi="SKJVQB+å®ä½" w:cs="SKJVQB+å®ä½"/>
          <w:color w:val="000000"/>
          <w:spacing w:val="0"/>
          <w:sz w:val="21"/>
        </w:rPr>
        <w:t xml:space="preserve">号国华投资大厦 </w:t>
      </w:r>
      <w:r>
        <w:rPr>
          <w:rFonts w:ascii="Times New Roman"/>
          <w:color w:val="000000"/>
          <w:spacing w:val="0"/>
          <w:sz w:val="21"/>
        </w:rPr>
        <w:t xml:space="preserve"> 9</w:t>
      </w:r>
    </w:p>
    <w:p>
      <w:pPr>
        <w:framePr w:w="3023" w:wrap="around" w:vAnchor="margin" w:hAnchor="text" w:x="7482"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10</w:t>
      </w:r>
      <w:r>
        <w:rPr>
          <w:rFonts w:ascii="SKJVQB+å®ä½" w:hAnsi="SKJVQB+å®ä½" w:cs="SKJVQB+å®ä½"/>
          <w:color w:val="000000"/>
          <w:spacing w:val="0"/>
          <w:sz w:val="21"/>
        </w:rPr>
        <w:t>层</w:t>
      </w:r>
    </w:p>
    <w:p>
      <w:pPr>
        <w:framePr w:w="1578" w:wrap="around" w:vAnchor="margin" w:hAnchor="text" w:x="7482"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联系人：黄静</w:t>
      </w:r>
    </w:p>
    <w:p>
      <w:pPr>
        <w:framePr w:w="3020"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010-84183333</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010-84183311-3389</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400-818-8118</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www.guodu.com</w:t>
      </w:r>
    </w:p>
    <w:p>
      <w:pPr>
        <w:framePr w:w="3020" w:wrap="around" w:vAnchor="margin" w:hAnchor="text" w:x="7482" w:y="1243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注册地址：苏州工业园区星阳</w:t>
      </w:r>
    </w:p>
    <w:p>
      <w:pPr>
        <w:framePr w:w="302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5</w:t>
      </w:r>
      <w:r>
        <w:rPr>
          <w:rFonts w:ascii="SKJVQB+å®ä½" w:hAnsi="SKJVQB+å®ä½" w:cs="SKJVQB+å®ä½"/>
          <w:color w:val="000000"/>
          <w:spacing w:val="0"/>
          <w:sz w:val="21"/>
        </w:rPr>
        <w:t>号</w:t>
      </w:r>
    </w:p>
    <w:p>
      <w:pPr>
        <w:framePr w:w="3020" w:wrap="around" w:vAnchor="margin" w:hAnchor="text" w:x="7482"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办公地址：苏州工业园区星阳</w:t>
      </w:r>
    </w:p>
    <w:p>
      <w:pPr>
        <w:framePr w:w="3020" w:wrap="around" w:vAnchor="margin" w:hAnchor="text" w:x="7482"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5</w:t>
      </w:r>
      <w:r>
        <w:rPr>
          <w:rFonts w:ascii="SKJVQB+å®ä½" w:hAnsi="SKJVQB+å®ä½" w:cs="SKJVQB+å®ä½"/>
          <w:color w:val="000000"/>
          <w:spacing w:val="0"/>
          <w:sz w:val="21"/>
        </w:rPr>
        <w:t>号</w:t>
      </w:r>
    </w:p>
    <w:p>
      <w:pPr>
        <w:framePr w:w="1998" w:wrap="around" w:vAnchor="margin" w:hAnchor="text" w:x="7482"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法定代表人：范力</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42</w:t>
      </w:r>
    </w:p>
    <w:p>
      <w:pPr>
        <w:spacing w:before="0" w:after="0" w:line="0" w:lineRule="exact"/>
        <w:ind w:left="0" w:right="0"/>
        <w:jc w:val="left"/>
        <w:rPr>
          <w:rFonts w:ascii="Arial"/>
          <w:color w:val="FF0000"/>
          <w:spacing w:val="0"/>
          <w:sz w:val="2"/>
        </w:rPr>
      </w:pPr>
      <w:r>
        <w:pict>
          <v:shape id="_x000089" o:spid="_x0000_s111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76" o:title=""/>
            <o:lock v:ext="edit" aspectratio="t"/>
          </v:shape>
        </w:pict>
      </w:r>
      <w:r>
        <w:pict>
          <v:shape id="_x000090" o:spid="_x0000_s1116"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7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578"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联系人：陆晓</w:t>
      </w:r>
    </w:p>
    <w:p>
      <w:pPr>
        <w:framePr w:w="2284"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0512-62938521</w:t>
      </w:r>
    </w:p>
    <w:p>
      <w:pPr>
        <w:framePr w:w="2284"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0512-65588021</w:t>
      </w:r>
    </w:p>
    <w:p>
      <w:pPr>
        <w:framePr w:w="2284"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95330</w:t>
      </w:r>
    </w:p>
    <w:p>
      <w:pPr>
        <w:framePr w:w="2582"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www.dwzq.com.cn</w:t>
      </w:r>
    </w:p>
    <w:p>
      <w:pPr>
        <w:framePr w:w="526" w:wrap="around" w:vAnchor="margin" w:hAnchor="text" w:x="4213"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29</w:t>
      </w:r>
    </w:p>
    <w:p>
      <w:pPr>
        <w:framePr w:w="2901"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中信证券华南股份有限公司</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5</w:t>
      </w:r>
      <w:r>
        <w:rPr>
          <w:rFonts w:ascii="SKJVQB+å®ä½" w:hAnsi="SKJVQB+å®ä½" w:cs="SKJVQB+å®ä½"/>
          <w:color w:val="000000"/>
          <w:spacing w:val="0"/>
          <w:sz w:val="21"/>
        </w:rPr>
        <w:t>号广州国际金融中心</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主塔 </w:t>
      </w:r>
      <w:r>
        <w:rPr>
          <w:rFonts w:ascii="Times New Roman"/>
          <w:color w:val="000000"/>
          <w:spacing w:val="0"/>
          <w:sz w:val="21"/>
        </w:rPr>
        <w:t>19</w:t>
      </w:r>
      <w:r>
        <w:rPr>
          <w:rFonts w:ascii="SKJVQB+å®ä½" w:hAnsi="SKJVQB+å®ä½" w:cs="SKJVQB+å®ä½"/>
          <w:color w:val="000000"/>
          <w:spacing w:val="0"/>
          <w:sz w:val="21"/>
        </w:rPr>
        <w:t>楼、</w:t>
      </w:r>
      <w:r>
        <w:rPr>
          <w:rFonts w:ascii="Times New Roman"/>
          <w:color w:val="000000"/>
          <w:spacing w:val="0"/>
          <w:sz w:val="21"/>
        </w:rPr>
        <w:t>20</w:t>
      </w:r>
      <w:r>
        <w:rPr>
          <w:rFonts w:ascii="SKJVQB+å®ä½" w:hAnsi="SKJVQB+å®ä½" w:cs="SKJVQB+å®ä½"/>
          <w:color w:val="000000"/>
          <w:spacing w:val="0"/>
          <w:sz w:val="21"/>
        </w:rPr>
        <w:t>楼</w:t>
      </w:r>
    </w:p>
    <w:p>
      <w:pPr>
        <w:framePr w:w="3020"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5</w:t>
      </w:r>
      <w:r>
        <w:rPr>
          <w:rFonts w:ascii="SKJVQB+å®ä½" w:hAnsi="SKJVQB+å®ä½" w:cs="SKJVQB+å®ä½"/>
          <w:color w:val="000000"/>
          <w:spacing w:val="0"/>
          <w:sz w:val="21"/>
        </w:rPr>
        <w:t>号广州国际金融中心</w:t>
      </w:r>
    </w:p>
    <w:p>
      <w:pPr>
        <w:framePr w:w="3020" w:wrap="around" w:vAnchor="margin" w:hAnchor="text" w:x="7482" w:y="399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主塔 </w:t>
      </w:r>
      <w:r>
        <w:rPr>
          <w:rFonts w:ascii="Times New Roman"/>
          <w:color w:val="000000"/>
          <w:spacing w:val="0"/>
          <w:sz w:val="21"/>
        </w:rPr>
        <w:t>19</w:t>
      </w:r>
      <w:r>
        <w:rPr>
          <w:rFonts w:ascii="SKJVQB+å®ä½" w:hAnsi="SKJVQB+å®ä½" w:cs="SKJVQB+å®ä½"/>
          <w:color w:val="000000"/>
          <w:spacing w:val="0"/>
          <w:sz w:val="21"/>
        </w:rPr>
        <w:t>楼、</w:t>
      </w:r>
      <w:r>
        <w:rPr>
          <w:rFonts w:ascii="Times New Roman"/>
          <w:color w:val="000000"/>
          <w:spacing w:val="0"/>
          <w:sz w:val="21"/>
        </w:rPr>
        <w:t>20</w:t>
      </w:r>
      <w:r>
        <w:rPr>
          <w:rFonts w:ascii="SKJVQB+å®ä½" w:hAnsi="SKJVQB+å®ä½" w:cs="SKJVQB+å®ä½"/>
          <w:color w:val="000000"/>
          <w:spacing w:val="0"/>
          <w:sz w:val="21"/>
        </w:rPr>
        <w:t>楼</w:t>
      </w:r>
    </w:p>
    <w:p>
      <w:pPr>
        <w:framePr w:w="2209"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法定代表人：胡伏云</w:t>
      </w:r>
    </w:p>
    <w:p>
      <w:pPr>
        <w:framePr w:w="2209"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联系人：梁微</w:t>
      </w:r>
    </w:p>
    <w:p>
      <w:pPr>
        <w:framePr w:w="2626"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020-88836999</w:t>
      </w:r>
    </w:p>
    <w:p>
      <w:pPr>
        <w:framePr w:w="2626"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 95396</w:t>
      </w:r>
    </w:p>
    <w:p>
      <w:pPr>
        <w:framePr w:w="2901"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www.gzs.com.cn</w:t>
      </w:r>
    </w:p>
    <w:p>
      <w:pPr>
        <w:framePr w:w="2901" w:wrap="around" w:vAnchor="margin" w:hAnchor="text" w:x="7482" w:y="616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注册地址：南京市江东中路</w:t>
      </w:r>
    </w:p>
    <w:p>
      <w:pPr>
        <w:framePr w:w="2901"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389</w:t>
      </w:r>
      <w:r>
        <w:rPr>
          <w:rFonts w:ascii="SKJVQB+å®ä½" w:hAnsi="SKJVQB+å®ä½" w:cs="SKJVQB+å®ä½"/>
          <w:color w:val="000000"/>
          <w:spacing w:val="0"/>
          <w:sz w:val="21"/>
        </w:rPr>
        <w:t>号</w:t>
      </w:r>
    </w:p>
    <w:p>
      <w:pPr>
        <w:framePr w:w="526" w:wrap="around" w:vAnchor="margin" w:hAnchor="text" w:x="4213" w:y="648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30</w:t>
      </w:r>
    </w:p>
    <w:p>
      <w:pPr>
        <w:framePr w:w="2418" w:wrap="around" w:vAnchor="margin" w:hAnchor="text" w:x="4640"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南京证券股份有限公司</w:t>
      </w:r>
    </w:p>
    <w:p>
      <w:pPr>
        <w:framePr w:w="2901"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办公地址：南京市江东中路</w:t>
      </w:r>
    </w:p>
    <w:p>
      <w:pPr>
        <w:framePr w:w="2901"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389</w:t>
      </w:r>
      <w:r>
        <w:rPr>
          <w:rFonts w:ascii="SKJVQB+å®ä½" w:hAnsi="SKJVQB+å®ä½" w:cs="SKJVQB+å®ä½"/>
          <w:color w:val="000000"/>
          <w:spacing w:val="0"/>
          <w:sz w:val="21"/>
        </w:rPr>
        <w:t>号</w:t>
      </w:r>
    </w:p>
    <w:p>
      <w:pPr>
        <w:framePr w:w="2209"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法定代表人：歩国旬</w:t>
      </w:r>
    </w:p>
    <w:p>
      <w:pPr>
        <w:framePr w:w="2209"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联系人：王万君</w:t>
      </w:r>
    </w:p>
    <w:p>
      <w:pPr>
        <w:framePr w:w="2626"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025-58519523</w:t>
      </w:r>
    </w:p>
    <w:p>
      <w:pPr>
        <w:framePr w:w="2626"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95386</w:t>
      </w:r>
    </w:p>
    <w:p>
      <w:pPr>
        <w:framePr w:w="3020"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www.njzq.com.cn</w:t>
      </w:r>
    </w:p>
    <w:p>
      <w:pPr>
        <w:framePr w:w="3020" w:wrap="around" w:vAnchor="margin" w:hAnchor="text" w:x="7482" w:y="898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注册地址：安徽省合肥市政务</w:t>
      </w:r>
    </w:p>
    <w:p>
      <w:pPr>
        <w:framePr w:w="3020"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文化新区天鹅湖路 </w:t>
      </w:r>
      <w:r>
        <w:rPr>
          <w:rFonts w:ascii="Times New Roman"/>
          <w:color w:val="000000"/>
          <w:spacing w:val="0"/>
          <w:sz w:val="21"/>
        </w:rPr>
        <w:t>198</w:t>
      </w:r>
      <w:r>
        <w:rPr>
          <w:rFonts w:ascii="SKJVQB+å®ä½" w:hAnsi="SKJVQB+å®ä½" w:cs="SKJVQB+å®ä½"/>
          <w:color w:val="000000"/>
          <w:spacing w:val="0"/>
          <w:sz w:val="21"/>
        </w:rPr>
        <w:t>号</w:t>
      </w:r>
    </w:p>
    <w:p>
      <w:pPr>
        <w:framePr w:w="3020"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办公地址：安徽省合肥市政务</w:t>
      </w:r>
    </w:p>
    <w:p>
      <w:pPr>
        <w:framePr w:w="3020"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文化新区天鹅湖路 </w:t>
      </w:r>
      <w:r>
        <w:rPr>
          <w:rFonts w:ascii="Times New Roman"/>
          <w:color w:val="000000"/>
          <w:spacing w:val="0"/>
          <w:sz w:val="21"/>
        </w:rPr>
        <w:t>198</w:t>
      </w:r>
      <w:r>
        <w:rPr>
          <w:rFonts w:ascii="SKJVQB+å®ä½" w:hAnsi="SKJVQB+å®ä½" w:cs="SKJVQB+å®ä½"/>
          <w:color w:val="000000"/>
          <w:spacing w:val="0"/>
          <w:sz w:val="21"/>
        </w:rPr>
        <w:t>号财</w:t>
      </w:r>
    </w:p>
    <w:p>
      <w:pPr>
        <w:framePr w:w="3020" w:wrap="around" w:vAnchor="margin" w:hAnchor="text" w:x="7482" w:y="8987"/>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智中心 </w:t>
      </w:r>
      <w:r>
        <w:rPr>
          <w:rFonts w:ascii="Times New Roman"/>
          <w:color w:val="000000"/>
          <w:spacing w:val="0"/>
          <w:sz w:val="21"/>
        </w:rPr>
        <w:t>B1</w:t>
      </w:r>
      <w:r>
        <w:rPr>
          <w:rFonts w:ascii="SKJVQB+å®ä½" w:hAnsi="SKJVQB+å®ä½" w:cs="SKJVQB+å®ä½"/>
          <w:color w:val="000000"/>
          <w:spacing w:val="0"/>
          <w:sz w:val="21"/>
        </w:rPr>
        <w:t>座</w:t>
      </w:r>
    </w:p>
    <w:p>
      <w:pPr>
        <w:framePr w:w="526" w:wrap="around" w:vAnchor="margin" w:hAnchor="text" w:x="4213" w:y="930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31</w:t>
      </w:r>
    </w:p>
    <w:p>
      <w:pPr>
        <w:framePr w:w="2418" w:wrap="around" w:vAnchor="margin" w:hAnchor="text" w:x="4640"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华安证券股份有限公司</w:t>
      </w:r>
    </w:p>
    <w:p>
      <w:pPr>
        <w:framePr w:w="2209"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法定代表人：章宏韬</w:t>
      </w:r>
    </w:p>
    <w:p>
      <w:pPr>
        <w:framePr w:w="2209" w:wrap="around" w:vAnchor="margin" w:hAnchor="text" w:x="7482"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联系人：范超</w:t>
      </w:r>
    </w:p>
    <w:p>
      <w:pPr>
        <w:framePr w:w="2747" w:wrap="around" w:vAnchor="margin" w:hAnchor="text" w:x="7482" w:y="1149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0551-65161821</w:t>
      </w:r>
    </w:p>
    <w:p>
      <w:pPr>
        <w:framePr w:w="2747" w:wrap="around" w:vAnchor="margin" w:hAnchor="text" w:x="7482" w:y="1149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95318</w:t>
      </w:r>
    </w:p>
    <w:p>
      <w:pPr>
        <w:framePr w:w="3020"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www.hazq.com</w:t>
      </w:r>
    </w:p>
    <w:p>
      <w:pPr>
        <w:framePr w:w="3020" w:wrap="around" w:vAnchor="margin" w:hAnchor="text" w:x="7482" w:y="1211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贸易试验区世纪大道 </w:t>
      </w:r>
      <w:r>
        <w:rPr>
          <w:rFonts w:ascii="Times New Roman"/>
          <w:color w:val="000000"/>
          <w:spacing w:val="0"/>
          <w:sz w:val="21"/>
        </w:rPr>
        <w:t>100</w:t>
      </w:r>
      <w:r>
        <w:rPr>
          <w:rFonts w:ascii="SKJVQB+å®ä½" w:hAnsi="SKJVQB+å®ä½" w:cs="SKJVQB+å®ä½"/>
          <w:color w:val="000000"/>
          <w:spacing w:val="0"/>
          <w:sz w:val="21"/>
        </w:rPr>
        <w:t>号</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57</w:t>
      </w:r>
      <w:r>
        <w:rPr>
          <w:rFonts w:ascii="SKJVQB+å®ä½" w:hAnsi="SKJVQB+å®ä½" w:cs="SKJVQB+å®ä½"/>
          <w:color w:val="000000"/>
          <w:spacing w:val="0"/>
          <w:sz w:val="21"/>
        </w:rPr>
        <w:t>层</w:t>
      </w:r>
    </w:p>
    <w:p>
      <w:pPr>
        <w:framePr w:w="526" w:wrap="around" w:vAnchor="margin" w:hAnchor="text" w:x="4213" w:y="124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32</w:t>
      </w:r>
    </w:p>
    <w:p>
      <w:pPr>
        <w:framePr w:w="2418" w:wrap="around" w:vAnchor="margin" w:hAnchor="text" w:x="4640"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华宝证券有限责任公司</w:t>
      </w:r>
    </w:p>
    <w:p>
      <w:pPr>
        <w:framePr w:w="3020" w:wrap="around" w:vAnchor="margin" w:hAnchor="text" w:x="7482"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办公地址：中国（上海）自由</w:t>
      </w:r>
    </w:p>
    <w:p>
      <w:pPr>
        <w:framePr w:w="3020" w:wrap="around" w:vAnchor="margin" w:hAnchor="text" w:x="7482" w:y="133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贸易试验区世纪大道 </w:t>
      </w:r>
      <w:r>
        <w:rPr>
          <w:rFonts w:ascii="Times New Roman"/>
          <w:color w:val="000000"/>
          <w:spacing w:val="0"/>
          <w:sz w:val="21"/>
        </w:rPr>
        <w:t>100</w:t>
      </w:r>
      <w:r>
        <w:rPr>
          <w:rFonts w:ascii="SKJVQB+å®ä½" w:hAnsi="SKJVQB+å®ä½" w:cs="SKJVQB+å®ä½"/>
          <w:color w:val="000000"/>
          <w:spacing w:val="0"/>
          <w:sz w:val="21"/>
        </w:rPr>
        <w:t>号</w:t>
      </w:r>
    </w:p>
    <w:p>
      <w:pPr>
        <w:framePr w:w="3020" w:wrap="around" w:vAnchor="margin" w:hAnchor="text" w:x="7482" w:y="133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57</w:t>
      </w:r>
      <w:r>
        <w:rPr>
          <w:rFonts w:ascii="SKJVQB+å®ä½" w:hAnsi="SKJVQB+å®ä½" w:cs="SKJVQB+å®ä½"/>
          <w:color w:val="000000"/>
          <w:spacing w:val="0"/>
          <w:sz w:val="21"/>
        </w:rPr>
        <w:t>层</w:t>
      </w:r>
    </w:p>
    <w:p>
      <w:pPr>
        <w:framePr w:w="1998" w:wrap="around" w:vAnchor="margin" w:hAnchor="text" w:x="7482"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法定代表人：陈林</w:t>
      </w:r>
    </w:p>
    <w:p>
      <w:pPr>
        <w:framePr w:w="1789"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联系人：刘闻川</w:t>
      </w:r>
    </w:p>
    <w:p>
      <w:pPr>
        <w:framePr w:w="2178" w:wrap="around" w:vAnchor="margin" w:hAnchor="text" w:x="7482" w:y="1493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021-20657517</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43</w:t>
      </w:r>
    </w:p>
    <w:p>
      <w:pPr>
        <w:spacing w:before="0" w:after="0" w:line="0" w:lineRule="exact"/>
        <w:ind w:left="0" w:right="0"/>
        <w:jc w:val="left"/>
        <w:rPr>
          <w:rFonts w:ascii="Arial"/>
          <w:color w:val="FF0000"/>
          <w:spacing w:val="0"/>
          <w:sz w:val="2"/>
        </w:rPr>
      </w:pPr>
      <w:r>
        <w:pict>
          <v:shape id="_x000091" o:spid="_x0000_s111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72" o:title=""/>
            <o:lock v:ext="edit" aspectratio="t"/>
          </v:shape>
        </w:pict>
      </w:r>
      <w:r>
        <w:pict>
          <v:shape id="_x000092" o:spid="_x0000_s111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7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754"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021-68408217-7517</w:t>
      </w:r>
    </w:p>
    <w:p>
      <w:pPr>
        <w:framePr w:w="2754"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4008209898</w:t>
      </w:r>
    </w:p>
    <w:p>
      <w:pPr>
        <w:framePr w:w="2754"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www.cnhbstock.com</w:t>
      </w:r>
    </w:p>
    <w:p>
      <w:pPr>
        <w:framePr w:w="526" w:wrap="around" w:vAnchor="margin" w:hAnchor="text" w:x="4213" w:y="242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33</w:t>
      </w:r>
    </w:p>
    <w:p>
      <w:pPr>
        <w:framePr w:w="2418" w:wrap="around" w:vAnchor="margin" w:hAnchor="text" w:x="4640"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山西证券股份有限公司</w:t>
      </w:r>
    </w:p>
    <w:p>
      <w:pPr>
        <w:framePr w:w="3021"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注册地址：山西省太原市府西</w:t>
      </w:r>
    </w:p>
    <w:p>
      <w:pPr>
        <w:framePr w:w="3021"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69</w:t>
      </w:r>
      <w:r>
        <w:rPr>
          <w:rFonts w:ascii="SKJVQB+å®ä½" w:hAnsi="SKJVQB+å®ä½" w:cs="SKJVQB+å®ä½"/>
          <w:color w:val="000000"/>
          <w:spacing w:val="0"/>
          <w:sz w:val="21"/>
        </w:rPr>
        <w:t>号山西国际贸易中心东</w:t>
      </w:r>
    </w:p>
    <w:p>
      <w:pPr>
        <w:framePr w:w="3021"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塔楼</w:t>
      </w:r>
    </w:p>
    <w:p>
      <w:pPr>
        <w:framePr w:w="3021"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办公地址：山西省太原市府西</w:t>
      </w:r>
    </w:p>
    <w:p>
      <w:pPr>
        <w:framePr w:w="3021"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69</w:t>
      </w:r>
      <w:r>
        <w:rPr>
          <w:rFonts w:ascii="SKJVQB+å®ä½" w:hAnsi="SKJVQB+å®ä½" w:cs="SKJVQB+å®ä½"/>
          <w:color w:val="000000"/>
          <w:spacing w:val="0"/>
          <w:sz w:val="21"/>
        </w:rPr>
        <w:t>号山西国际贸易中心东</w:t>
      </w:r>
    </w:p>
    <w:p>
      <w:pPr>
        <w:framePr w:w="3021"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塔楼</w:t>
      </w:r>
    </w:p>
    <w:p>
      <w:pPr>
        <w:framePr w:w="1998"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法定代表人：侯巍</w:t>
      </w:r>
    </w:p>
    <w:p>
      <w:pPr>
        <w:framePr w:w="1578"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联系人：郭熠</w:t>
      </w:r>
    </w:p>
    <w:p>
      <w:pPr>
        <w:framePr w:w="2831"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0351</w:t>
      </w:r>
      <w:r>
        <w:rPr>
          <w:rFonts w:ascii="SKJVQB+å®ä½" w:hAnsi="SKJVQB+å®ä½" w:cs="SKJVQB+å®ä½"/>
          <w:color w:val="000000"/>
          <w:spacing w:val="0"/>
          <w:sz w:val="21"/>
        </w:rPr>
        <w:t>－</w:t>
      </w:r>
      <w:r>
        <w:rPr>
          <w:rFonts w:ascii="Times New Roman"/>
          <w:color w:val="000000"/>
          <w:spacing w:val="0"/>
          <w:sz w:val="21"/>
        </w:rPr>
        <w:t>8686659</w:t>
      </w:r>
    </w:p>
    <w:p>
      <w:pPr>
        <w:framePr w:w="2831"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400-666-1618</w:t>
      </w:r>
      <w:r>
        <w:rPr>
          <w:rFonts w:ascii="SKJVQB+å®ä½" w:hAnsi="SKJVQB+å®ä½" w:cs="SKJVQB+å®ä½"/>
          <w:color w:val="000000"/>
          <w:spacing w:val="0"/>
          <w:sz w:val="21"/>
        </w:rPr>
        <w:t>，</w:t>
      </w:r>
    </w:p>
    <w:p>
      <w:pPr>
        <w:framePr w:w="2831" w:wrap="around" w:vAnchor="margin" w:hAnchor="text" w:x="7482" w:y="4921"/>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95573</w:t>
      </w:r>
    </w:p>
    <w:p>
      <w:pPr>
        <w:framePr w:w="2969" w:wrap="around" w:vAnchor="margin" w:hAnchor="text" w:x="7482" w:y="585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www.i618.com.cn</w:t>
      </w:r>
    </w:p>
    <w:p>
      <w:pPr>
        <w:framePr w:w="2969" w:wrap="around" w:vAnchor="margin" w:hAnchor="text" w:x="7482" w:y="585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深圳市福田区福华</w:t>
      </w:r>
    </w:p>
    <w:p>
      <w:pPr>
        <w:framePr w:w="2969"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115</w:t>
      </w:r>
      <w:r>
        <w:rPr>
          <w:rFonts w:ascii="SKJVQB+å®ä½" w:hAnsi="SKJVQB+å®ä½" w:cs="SKJVQB+å®ä½"/>
          <w:color w:val="000000"/>
          <w:spacing w:val="0"/>
          <w:sz w:val="21"/>
        </w:rPr>
        <w:t xml:space="preserve">号投行大厦  </w:t>
      </w:r>
      <w:r>
        <w:rPr>
          <w:rFonts w:ascii="Times New Roman"/>
          <w:color w:val="000000"/>
          <w:spacing w:val="0"/>
          <w:sz w:val="21"/>
        </w:rPr>
        <w:t>20</w:t>
      </w:r>
      <w:r>
        <w:rPr>
          <w:rFonts w:ascii="SKJVQB+å®ä½" w:hAnsi="SKJVQB+å®ä½" w:cs="SKJVQB+å®ä½"/>
          <w:color w:val="000000"/>
          <w:spacing w:val="0"/>
          <w:sz w:val="21"/>
        </w:rPr>
        <w:t>楼</w:t>
      </w:r>
    </w:p>
    <w:p>
      <w:pPr>
        <w:framePr w:w="2969"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深圳市福田区福华</w:t>
      </w:r>
    </w:p>
    <w:p>
      <w:pPr>
        <w:framePr w:w="2969"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115</w:t>
      </w:r>
      <w:r>
        <w:rPr>
          <w:rFonts w:ascii="SKJVQB+å®ä½" w:hAnsi="SKJVQB+å®ä½" w:cs="SKJVQB+å®ä½"/>
          <w:color w:val="000000"/>
          <w:spacing w:val="0"/>
          <w:sz w:val="21"/>
        </w:rPr>
        <w:t xml:space="preserve">号投行大厦  </w:t>
      </w:r>
      <w:r>
        <w:rPr>
          <w:rFonts w:ascii="Times New Roman"/>
          <w:color w:val="000000"/>
          <w:spacing w:val="0"/>
          <w:sz w:val="21"/>
        </w:rPr>
        <w:t>18</w:t>
      </w:r>
      <w:r>
        <w:rPr>
          <w:rFonts w:ascii="SKJVQB+å®ä½" w:hAnsi="SKJVQB+å®ä½" w:cs="SKJVQB+å®ä½"/>
          <w:color w:val="000000"/>
          <w:spacing w:val="0"/>
          <w:sz w:val="21"/>
        </w:rPr>
        <w:t>楼</w:t>
      </w:r>
    </w:p>
    <w:p>
      <w:pPr>
        <w:framePr w:w="2969"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刘学民</w:t>
      </w:r>
    </w:p>
    <w:p>
      <w:pPr>
        <w:framePr w:w="526" w:wrap="around" w:vAnchor="margin" w:hAnchor="text" w:x="4213" w:y="61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34</w:t>
      </w:r>
    </w:p>
    <w:p>
      <w:pPr>
        <w:framePr w:w="2901" w:wrap="around" w:vAnchor="margin" w:hAnchor="text" w:x="4640"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第一创业证券股份有限公司</w:t>
      </w:r>
    </w:p>
    <w:p>
      <w:pPr>
        <w:framePr w:w="1430" w:wrap="around" w:vAnchor="margin" w:hAnchor="text" w:x="7482" w:y="773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吴军</w:t>
      </w:r>
    </w:p>
    <w:p>
      <w:pPr>
        <w:framePr w:w="2571" w:wrap="around" w:vAnchor="margin" w:hAnchor="text" w:x="7482" w:y="80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:0755-23838751</w:t>
      </w:r>
    </w:p>
    <w:p>
      <w:pPr>
        <w:framePr w:w="2571"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95358</w:t>
      </w:r>
    </w:p>
    <w:p>
      <w:pPr>
        <w:framePr w:w="3020" w:wrap="around" w:vAnchor="margin" w:hAnchor="text" w:x="7482" w:y="86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:www.firstcapital.com.cn</w:t>
      </w:r>
    </w:p>
    <w:p>
      <w:pPr>
        <w:framePr w:w="3020" w:wrap="around" w:vAnchor="margin" w:hAnchor="text" w:x="7482" w:y="8675"/>
        <w:widowControl w:val="0"/>
        <w:autoSpaceDE w:val="0"/>
        <w:autoSpaceDN w:val="0"/>
        <w:spacing w:before="0" w:after="0" w:line="324"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注册地址：福州市五四路 </w:t>
      </w:r>
      <w:r>
        <w:rPr>
          <w:rFonts w:ascii="Times New Roman"/>
          <w:color w:val="000000"/>
          <w:spacing w:val="0"/>
          <w:sz w:val="21"/>
        </w:rPr>
        <w:t xml:space="preserve"> 157</w:t>
      </w:r>
    </w:p>
    <w:p>
      <w:pPr>
        <w:framePr w:w="3020" w:wrap="around" w:vAnchor="margin" w:hAnchor="text" w:x="7482" w:y="86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号新天地大厦 </w:t>
      </w:r>
      <w:r>
        <w:rPr>
          <w:rFonts w:ascii="Times New Roman"/>
          <w:color w:val="000000"/>
          <w:spacing w:val="0"/>
          <w:sz w:val="21"/>
        </w:rPr>
        <w:t>7</w:t>
      </w:r>
      <w:r>
        <w:rPr>
          <w:rFonts w:ascii="SKJVQB+å®ä½" w:hAnsi="SKJVQB+å®ä½" w:cs="SKJVQB+å®ä½"/>
          <w:color w:val="000000"/>
          <w:spacing w:val="0"/>
          <w:sz w:val="21"/>
        </w:rPr>
        <w:t>、</w:t>
      </w:r>
      <w:r>
        <w:rPr>
          <w:rFonts w:ascii="Times New Roman"/>
          <w:color w:val="000000"/>
          <w:spacing w:val="0"/>
          <w:sz w:val="21"/>
        </w:rPr>
        <w:t>8</w:t>
      </w:r>
      <w:r>
        <w:rPr>
          <w:rFonts w:ascii="SKJVQB+å®ä½" w:hAnsi="SKJVQB+å®ä½" w:cs="SKJVQB+å®ä½"/>
          <w:color w:val="000000"/>
          <w:spacing w:val="0"/>
          <w:sz w:val="21"/>
        </w:rPr>
        <w:t>层</w:t>
      </w:r>
    </w:p>
    <w:p>
      <w:pPr>
        <w:framePr w:w="3020" w:wrap="around" w:vAnchor="margin" w:hAnchor="text" w:x="7482" w:y="86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办公地址：上海市浦东新区陆</w:t>
      </w:r>
    </w:p>
    <w:p>
      <w:pPr>
        <w:framePr w:w="3020" w:wrap="around" w:vAnchor="margin" w:hAnchor="text" w:x="7482" w:y="86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1088</w:t>
      </w:r>
      <w:r>
        <w:rPr>
          <w:rFonts w:ascii="SKJVQB+å®ä½" w:hAnsi="SKJVQB+å®ä½" w:cs="SKJVQB+å®ä½"/>
          <w:color w:val="000000"/>
          <w:spacing w:val="0"/>
          <w:sz w:val="21"/>
        </w:rPr>
        <w:t>号招商银行大</w:t>
      </w:r>
    </w:p>
    <w:p>
      <w:pPr>
        <w:framePr w:w="3020" w:wrap="around" w:vAnchor="margin" w:hAnchor="text" w:x="7482" w:y="86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18</w:t>
      </w:r>
      <w:r>
        <w:rPr>
          <w:rFonts w:ascii="SKJVQB+å®ä½" w:hAnsi="SKJVQB+å®ä½" w:cs="SKJVQB+å®ä½"/>
          <w:color w:val="000000"/>
          <w:spacing w:val="0"/>
          <w:sz w:val="21"/>
        </w:rPr>
        <w:t>楼</w:t>
      </w:r>
    </w:p>
    <w:p>
      <w:pPr>
        <w:framePr w:w="526" w:wrap="around" w:vAnchor="margin" w:hAnchor="text" w:x="4213" w:y="89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35</w:t>
      </w:r>
    </w:p>
    <w:p>
      <w:pPr>
        <w:framePr w:w="2418" w:wrap="around" w:vAnchor="margin" w:hAnchor="text" w:x="4640"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华福证券有限责任公司</w:t>
      </w:r>
    </w:p>
    <w:p>
      <w:pPr>
        <w:framePr w:w="2209"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法定代表人：黄金琳</w:t>
      </w:r>
    </w:p>
    <w:p>
      <w:pPr>
        <w:framePr w:w="2209" w:wrap="around" w:vAnchor="margin" w:hAnchor="text" w:x="7482"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联系人：王虹</w:t>
      </w:r>
    </w:p>
    <w:p>
      <w:pPr>
        <w:framePr w:w="3023"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021-20655183</w:t>
      </w:r>
    </w:p>
    <w:p>
      <w:pPr>
        <w:framePr w:w="3023"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021-20655196</w:t>
      </w:r>
    </w:p>
    <w:p>
      <w:pPr>
        <w:framePr w:w="3023"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96326</w:t>
      </w:r>
      <w:r>
        <w:rPr>
          <w:rFonts w:ascii="SKJVQB+å®ä½" w:hAnsi="SKJVQB+å®ä½" w:cs="SKJVQB+å®ä½"/>
          <w:color w:val="000000"/>
          <w:spacing w:val="0"/>
          <w:sz w:val="21"/>
        </w:rPr>
        <w:t>（福建省外</w:t>
      </w:r>
    </w:p>
    <w:p>
      <w:pPr>
        <w:framePr w:w="3023"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请先拨 </w:t>
      </w:r>
      <w:r>
        <w:rPr>
          <w:rFonts w:ascii="Times New Roman"/>
          <w:color w:val="000000"/>
          <w:spacing w:val="0"/>
          <w:sz w:val="21"/>
        </w:rPr>
        <w:t>0591</w:t>
      </w:r>
      <w:r>
        <w:rPr>
          <w:rFonts w:ascii="SKJVQB+å®ä½" w:hAnsi="SKJVQB+å®ä½" w:cs="SKJVQB+å®ä½"/>
          <w:color w:val="000000"/>
          <w:spacing w:val="0"/>
          <w:sz w:val="21"/>
        </w:rPr>
        <w:t>）</w:t>
      </w:r>
    </w:p>
    <w:p>
      <w:pPr>
        <w:framePr w:w="3081"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www.hfzq.com.cn</w:t>
      </w:r>
    </w:p>
    <w:p>
      <w:pPr>
        <w:framePr w:w="3081" w:wrap="around" w:vAnchor="margin" w:hAnchor="text" w:x="7482" w:y="1243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注册地址：深圳市南山区创业</w:t>
      </w:r>
    </w:p>
    <w:p>
      <w:pPr>
        <w:framePr w:w="3081"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1777</w:t>
      </w:r>
      <w:r>
        <w:rPr>
          <w:rFonts w:ascii="SKJVQB+å®ä½" w:hAnsi="SKJVQB+å®ä½" w:cs="SKJVQB+å®ä½"/>
          <w:color w:val="000000"/>
          <w:spacing w:val="0"/>
          <w:sz w:val="21"/>
        </w:rPr>
        <w:t xml:space="preserve">号海信南方大厦  </w:t>
      </w:r>
      <w:r>
        <w:rPr>
          <w:rFonts w:ascii="Times New Roman"/>
          <w:color w:val="000000"/>
          <w:spacing w:val="0"/>
          <w:sz w:val="21"/>
        </w:rPr>
        <w:t>21</w:t>
      </w:r>
      <w:r>
        <w:rPr>
          <w:rFonts w:ascii="SKJVQB+å®ä½" w:hAnsi="SKJVQB+å®ä½" w:cs="SKJVQB+å®ä½"/>
          <w:color w:val="000000"/>
          <w:spacing w:val="0"/>
          <w:sz w:val="21"/>
        </w:rPr>
        <w:t>、</w:t>
      </w:r>
    </w:p>
    <w:p>
      <w:pPr>
        <w:framePr w:w="3081"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22</w:t>
      </w:r>
      <w:r>
        <w:rPr>
          <w:rFonts w:ascii="SKJVQB+å®ä½" w:hAnsi="SKJVQB+å®ä½" w:cs="SKJVQB+å®ä½"/>
          <w:color w:val="000000"/>
          <w:spacing w:val="0"/>
          <w:sz w:val="21"/>
        </w:rPr>
        <w:t>层</w:t>
      </w:r>
    </w:p>
    <w:p>
      <w:pPr>
        <w:framePr w:w="526" w:wrap="around" w:vAnchor="margin" w:hAnchor="text" w:x="4213" w:y="1275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36</w:t>
      </w:r>
    </w:p>
    <w:p>
      <w:pPr>
        <w:framePr w:w="2418" w:wrap="around" w:vAnchor="margin" w:hAnchor="text" w:x="4640"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中山证券有限责任公司</w:t>
      </w:r>
    </w:p>
    <w:p>
      <w:pPr>
        <w:framePr w:w="3081"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办公地址：深圳市南山区创业</w:t>
      </w:r>
    </w:p>
    <w:p>
      <w:pPr>
        <w:framePr w:w="3081"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1777</w:t>
      </w:r>
      <w:r>
        <w:rPr>
          <w:rFonts w:ascii="SKJVQB+å®ä½" w:hAnsi="SKJVQB+å®ä½" w:cs="SKJVQB+å®ä½"/>
          <w:color w:val="000000"/>
          <w:spacing w:val="0"/>
          <w:sz w:val="21"/>
        </w:rPr>
        <w:t xml:space="preserve">号海信南方大厦  </w:t>
      </w:r>
      <w:r>
        <w:rPr>
          <w:rFonts w:ascii="Times New Roman"/>
          <w:color w:val="000000"/>
          <w:spacing w:val="0"/>
          <w:sz w:val="21"/>
        </w:rPr>
        <w:t>21</w:t>
      </w:r>
      <w:r>
        <w:rPr>
          <w:rFonts w:ascii="SKJVQB+å®ä½" w:hAnsi="SKJVQB+å®ä½" w:cs="SKJVQB+å®ä½"/>
          <w:color w:val="000000"/>
          <w:spacing w:val="0"/>
          <w:sz w:val="21"/>
        </w:rPr>
        <w:t>、</w:t>
      </w:r>
    </w:p>
    <w:p>
      <w:pPr>
        <w:framePr w:w="3081"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22</w:t>
      </w:r>
      <w:r>
        <w:rPr>
          <w:rFonts w:ascii="SKJVQB+å®ä½" w:hAnsi="SKJVQB+å®ä½" w:cs="SKJVQB+å®ä½"/>
          <w:color w:val="000000"/>
          <w:spacing w:val="0"/>
          <w:sz w:val="21"/>
        </w:rPr>
        <w:t>层</w:t>
      </w:r>
    </w:p>
    <w:p>
      <w:pPr>
        <w:framePr w:w="2209"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法定代表人：林炳城</w:t>
      </w:r>
    </w:p>
    <w:p>
      <w:pPr>
        <w:framePr w:w="2209" w:wrap="around" w:vAnchor="margin" w:hAnchor="text" w:x="7482" w:y="146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联系人：罗艺琳</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44</w:t>
      </w:r>
    </w:p>
    <w:p>
      <w:pPr>
        <w:spacing w:before="0" w:after="0" w:line="0" w:lineRule="exact"/>
        <w:ind w:left="0" w:right="0"/>
        <w:jc w:val="left"/>
        <w:rPr>
          <w:rFonts w:ascii="Arial"/>
          <w:color w:val="FF0000"/>
          <w:spacing w:val="0"/>
          <w:sz w:val="2"/>
        </w:rPr>
      </w:pPr>
      <w:r>
        <w:pict>
          <v:shape id="_x000093" o:spid="_x0000_s111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79" o:title=""/>
            <o:lock v:ext="edit" aspectratio="t"/>
          </v:shape>
        </w:pict>
      </w:r>
      <w:r>
        <w:pict>
          <v:shape id="_x000094" o:spid="_x0000_s112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8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747"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0755-82570586</w:t>
      </w:r>
    </w:p>
    <w:p>
      <w:pPr>
        <w:framePr w:w="2747"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95329</w:t>
      </w:r>
    </w:p>
    <w:p>
      <w:pPr>
        <w:framePr w:w="2230"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www.zszq.com</w:t>
      </w:r>
    </w:p>
    <w:p>
      <w:pPr>
        <w:framePr w:w="526" w:wrap="around" w:vAnchor="margin" w:hAnchor="text" w:x="4213" w:y="242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37</w:t>
      </w:r>
    </w:p>
    <w:p>
      <w:pPr>
        <w:framePr w:w="2418" w:wrap="around" w:vAnchor="margin" w:hAnchor="text" w:x="4640"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西南证券股份有限公司</w:t>
      </w:r>
    </w:p>
    <w:p>
      <w:pPr>
        <w:framePr w:w="3020"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注册地址：重庆市江北区桥北</w:t>
      </w:r>
    </w:p>
    <w:p>
      <w:pPr>
        <w:framePr w:w="3020"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苑 </w:t>
      </w:r>
      <w:r>
        <w:rPr>
          <w:rFonts w:ascii="Times New Roman"/>
          <w:color w:val="000000"/>
          <w:spacing w:val="0"/>
          <w:sz w:val="21"/>
        </w:rPr>
        <w:t>8</w:t>
      </w:r>
      <w:r>
        <w:rPr>
          <w:rFonts w:ascii="SKJVQB+å®ä½" w:hAnsi="SKJVQB+å®ä½" w:cs="SKJVQB+å®ä½"/>
          <w:color w:val="000000"/>
          <w:spacing w:val="0"/>
          <w:sz w:val="21"/>
        </w:rPr>
        <w:t>号</w:t>
      </w:r>
    </w:p>
    <w:p>
      <w:pPr>
        <w:framePr w:w="2209"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法定代表人：廖庆轩</w:t>
      </w:r>
    </w:p>
    <w:p>
      <w:pPr>
        <w:framePr w:w="2209"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联系人：周青</w:t>
      </w:r>
    </w:p>
    <w:p>
      <w:pPr>
        <w:framePr w:w="3020" w:wrap="around" w:vAnchor="margin" w:hAnchor="text" w:x="7482" w:y="367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023-63786633</w:t>
      </w:r>
    </w:p>
    <w:p>
      <w:pPr>
        <w:framePr w:w="3020"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4008096096</w:t>
      </w:r>
    </w:p>
    <w:p>
      <w:pPr>
        <w:framePr w:w="3020"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www.swsc.com.cn</w:t>
      </w:r>
    </w:p>
    <w:p>
      <w:pPr>
        <w:framePr w:w="3020" w:wrap="around" w:vAnchor="margin" w:hAnchor="text" w:x="7482" w:y="3672"/>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注册地址：上海市普陀区曹杨</w:t>
      </w:r>
    </w:p>
    <w:p>
      <w:pPr>
        <w:framePr w:w="3020" w:wrap="around" w:vAnchor="margin" w:hAnchor="text" w:x="7482" w:y="36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510</w:t>
      </w:r>
      <w:r>
        <w:rPr>
          <w:rFonts w:ascii="SKJVQB+å®ä½" w:hAnsi="SKJVQB+å®ä½" w:cs="SKJVQB+å®ä½"/>
          <w:color w:val="000000"/>
          <w:spacing w:val="0"/>
          <w:sz w:val="21"/>
        </w:rPr>
        <w:t xml:space="preserve">号南半幢  </w:t>
      </w:r>
      <w:r>
        <w:rPr>
          <w:rFonts w:ascii="Times New Roman"/>
          <w:color w:val="000000"/>
          <w:spacing w:val="0"/>
          <w:sz w:val="21"/>
        </w:rPr>
        <w:t>9</w:t>
      </w:r>
      <w:r>
        <w:rPr>
          <w:rFonts w:ascii="SKJVQB+å®ä½" w:hAnsi="SKJVQB+å®ä½" w:cs="SKJVQB+å®ä½"/>
          <w:color w:val="000000"/>
          <w:spacing w:val="0"/>
          <w:sz w:val="21"/>
        </w:rPr>
        <w:t>楼</w:t>
      </w:r>
    </w:p>
    <w:p>
      <w:pPr>
        <w:framePr w:w="3020" w:wrap="around" w:vAnchor="margin" w:hAnchor="text" w:x="7482" w:y="36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办公地址：上海市浦东新区福</w:t>
      </w:r>
    </w:p>
    <w:p>
      <w:pPr>
        <w:framePr w:w="3020"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山路 </w:t>
      </w:r>
      <w:r>
        <w:rPr>
          <w:rFonts w:ascii="Times New Roman"/>
          <w:color w:val="000000"/>
          <w:spacing w:val="0"/>
          <w:sz w:val="21"/>
        </w:rPr>
        <w:t>500</w:t>
      </w:r>
      <w:r>
        <w:rPr>
          <w:rFonts w:ascii="SKJVQB+å®ä½" w:hAnsi="SKJVQB+å®ä½" w:cs="SKJVQB+å®ä½"/>
          <w:color w:val="000000"/>
          <w:spacing w:val="0"/>
          <w:sz w:val="21"/>
        </w:rPr>
        <w:t xml:space="preserve">号城建国际中心  </w:t>
      </w:r>
      <w:r>
        <w:rPr>
          <w:rFonts w:ascii="Times New Roman"/>
          <w:color w:val="000000"/>
          <w:spacing w:val="0"/>
          <w:sz w:val="21"/>
        </w:rPr>
        <w:t xml:space="preserve"> 26</w:t>
      </w:r>
    </w:p>
    <w:p>
      <w:pPr>
        <w:framePr w:w="3020" w:wrap="around" w:vAnchor="margin" w:hAnchor="text" w:x="7482" w:y="36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526" w:wrap="around" w:vAnchor="margin" w:hAnchor="text" w:x="4213" w:y="461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38</w:t>
      </w:r>
    </w:p>
    <w:p>
      <w:pPr>
        <w:framePr w:w="2418" w:wrap="around" w:vAnchor="margin" w:hAnchor="text" w:x="4640" w:y="462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德邦证券股份有限公司</w:t>
      </w:r>
    </w:p>
    <w:p>
      <w:pPr>
        <w:framePr w:w="2209" w:wrap="around" w:vAnchor="margin" w:hAnchor="text" w:x="7482"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法定代表人：武晓春</w:t>
      </w:r>
    </w:p>
    <w:p>
      <w:pPr>
        <w:framePr w:w="2209"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联系人：刘熠</w:t>
      </w:r>
    </w:p>
    <w:p>
      <w:pPr>
        <w:framePr w:w="3020" w:wrap="around" w:vAnchor="margin" w:hAnchor="text" w:x="7482" w:y="680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021-68761616</w:t>
      </w:r>
    </w:p>
    <w:p>
      <w:pPr>
        <w:framePr w:w="3020" w:wrap="around" w:vAnchor="margin" w:hAnchor="text" w:x="7482" w:y="680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021-68767032</w:t>
      </w:r>
    </w:p>
    <w:p>
      <w:pPr>
        <w:framePr w:w="3020" w:wrap="around" w:vAnchor="margin" w:hAnchor="text" w:x="7482" w:y="680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4008888128</w:t>
      </w:r>
    </w:p>
    <w:p>
      <w:pPr>
        <w:framePr w:w="3020" w:wrap="around" w:vAnchor="margin" w:hAnchor="text" w:x="7482" w:y="680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www.tebon.com.cn</w:t>
      </w:r>
    </w:p>
    <w:p>
      <w:pPr>
        <w:framePr w:w="3020" w:wrap="around" w:vAnchor="margin" w:hAnchor="text" w:x="7482" w:y="6802"/>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注册地址：南昌市红谷滩新区</w:t>
      </w:r>
    </w:p>
    <w:p>
      <w:pPr>
        <w:framePr w:w="3020" w:wrap="around" w:vAnchor="margin" w:hAnchor="text" w:x="7482" w:y="68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红谷中大道 </w:t>
      </w:r>
      <w:r>
        <w:rPr>
          <w:rFonts w:ascii="Times New Roman"/>
          <w:color w:val="000000"/>
          <w:spacing w:val="0"/>
          <w:sz w:val="21"/>
        </w:rPr>
        <w:t>1619</w:t>
      </w:r>
      <w:r>
        <w:rPr>
          <w:rFonts w:ascii="SKJVQB+å®ä½" w:hAnsi="SKJVQB+å®ä½" w:cs="SKJVQB+å®ä½"/>
          <w:color w:val="000000"/>
          <w:spacing w:val="0"/>
          <w:sz w:val="21"/>
        </w:rPr>
        <w:t>号国际金融</w:t>
      </w:r>
    </w:p>
    <w:p>
      <w:pPr>
        <w:framePr w:w="3020" w:wrap="around" w:vAnchor="margin" w:hAnchor="text" w:x="7482" w:y="68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41</w:t>
      </w:r>
      <w:r>
        <w:rPr>
          <w:rFonts w:ascii="SKJVQB+å®ä½" w:hAnsi="SKJVQB+å®ä½" w:cs="SKJVQB+å®ä½"/>
          <w:color w:val="000000"/>
          <w:spacing w:val="0"/>
          <w:sz w:val="21"/>
        </w:rPr>
        <w:t>楼</w:t>
      </w:r>
    </w:p>
    <w:p>
      <w:pPr>
        <w:framePr w:w="526" w:wrap="around" w:vAnchor="margin" w:hAnchor="text" w:x="4213" w:y="806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39</w:t>
      </w:r>
    </w:p>
    <w:p>
      <w:pPr>
        <w:framePr w:w="1998" w:wrap="around" w:vAnchor="margin" w:hAnchor="text" w:x="4640" w:y="80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中航证券有限公司</w:t>
      </w:r>
    </w:p>
    <w:p>
      <w:pPr>
        <w:framePr w:w="3020" w:wrap="around" w:vAnchor="margin" w:hAnchor="text" w:x="7482"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framePr w:w="3020" w:wrap="around" w:vAnchor="margin" w:hAnchor="text" w:x="7482"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 </w:t>
      </w:r>
      <w:r>
        <w:rPr>
          <w:rFonts w:ascii="Times New Roman"/>
          <w:color w:val="000000"/>
          <w:spacing w:val="0"/>
          <w:sz w:val="21"/>
        </w:rPr>
        <w:t>2</w:t>
      </w:r>
      <w:r>
        <w:rPr>
          <w:rFonts w:ascii="SKJVQB+å®ä½" w:hAnsi="SKJVQB+å®ä½" w:cs="SKJVQB+å®ä½"/>
          <w:color w:val="000000"/>
          <w:spacing w:val="0"/>
          <w:sz w:val="21"/>
        </w:rPr>
        <w:t xml:space="preserve"> 号中航资本大厦</w:t>
      </w:r>
    </w:p>
    <w:p>
      <w:pPr>
        <w:framePr w:w="3020" w:wrap="around" w:vAnchor="margin" w:hAnchor="text" w:x="7482"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35</w:t>
      </w:r>
      <w:r>
        <w:rPr>
          <w:rFonts w:ascii="SKJVQB+å®ä½" w:hAnsi="SKJVQB+å®ä½" w:cs="SKJVQB+å®ä½"/>
          <w:color w:val="000000"/>
          <w:spacing w:val="0"/>
          <w:sz w:val="21"/>
        </w:rPr>
        <w:t>层</w:t>
      </w:r>
    </w:p>
    <w:p>
      <w:pPr>
        <w:framePr w:w="2209"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法定代表人：王晓峰</w:t>
      </w:r>
    </w:p>
    <w:p>
      <w:pPr>
        <w:framePr w:w="2209" w:wrap="around" w:vAnchor="margin" w:hAnchor="text" w:x="7482" w:y="994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联系人：王紫雯</w:t>
      </w:r>
    </w:p>
    <w:p>
      <w:pPr>
        <w:framePr w:w="2178" w:wrap="around" w:vAnchor="margin" w:hAnchor="text" w:x="7482" w:y="1055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010-59562468</w:t>
      </w:r>
    </w:p>
    <w:p>
      <w:pPr>
        <w:framePr w:w="2178"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010-59562637</w:t>
      </w:r>
    </w:p>
    <w:p>
      <w:pPr>
        <w:framePr w:w="2178"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95335</w:t>
      </w:r>
    </w:p>
    <w:p>
      <w:pPr>
        <w:framePr w:w="3123" w:wrap="around" w:vAnchor="margin" w:hAnchor="text" w:x="7482" w:y="1149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http://www.avicsec.com/</w:t>
      </w:r>
    </w:p>
    <w:p>
      <w:pPr>
        <w:framePr w:w="3123" w:wrap="around" w:vAnchor="margin" w:hAnchor="text" w:x="7482" w:y="1149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注册地址：北京市建国门外大</w:t>
      </w:r>
    </w:p>
    <w:p>
      <w:pPr>
        <w:framePr w:w="3123" w:wrap="around" w:vAnchor="margin" w:hAnchor="text" w:x="7482" w:y="1149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w:t>
      </w:r>
      <w:r>
        <w:rPr>
          <w:rFonts w:ascii="SKJVQB+å®ä½" w:hAnsi="SKJVQB+å®ä½" w:cs="SKJVQB+å®ä½"/>
          <w:color w:val="000000"/>
          <w:spacing w:val="0"/>
          <w:sz w:val="21"/>
        </w:rPr>
        <w:t xml:space="preserve">号国贸大厦  </w:t>
      </w:r>
      <w:r>
        <w:rPr>
          <w:rFonts w:ascii="Times New Roman"/>
          <w:color w:val="000000"/>
          <w:spacing w:val="0"/>
          <w:sz w:val="21"/>
        </w:rPr>
        <w:t>2</w:t>
      </w:r>
      <w:r>
        <w:rPr>
          <w:rFonts w:ascii="SKJVQB+å®ä½" w:hAnsi="SKJVQB+å®ä½" w:cs="SKJVQB+å®ä½"/>
          <w:color w:val="000000"/>
          <w:spacing w:val="0"/>
          <w:sz w:val="21"/>
        </w:rPr>
        <w:t xml:space="preserve">座  </w:t>
      </w:r>
      <w:r>
        <w:rPr>
          <w:rFonts w:ascii="Times New Roman"/>
          <w:color w:val="000000"/>
          <w:spacing w:val="0"/>
          <w:sz w:val="21"/>
        </w:rPr>
        <w:t>27</w:t>
      </w:r>
      <w:r>
        <w:rPr>
          <w:rFonts w:ascii="SKJVQB+å®ä½" w:hAnsi="SKJVQB+å®ä½" w:cs="SKJVQB+å®ä½"/>
          <w:color w:val="000000"/>
          <w:spacing w:val="0"/>
          <w:sz w:val="21"/>
        </w:rPr>
        <w:t>层及</w:t>
      </w:r>
    </w:p>
    <w:p>
      <w:pPr>
        <w:framePr w:w="3123" w:wrap="around" w:vAnchor="margin" w:hAnchor="text" w:x="7482" w:y="1149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28</w:t>
      </w:r>
      <w:r>
        <w:rPr>
          <w:rFonts w:ascii="SKJVQB+å®ä½" w:hAnsi="SKJVQB+å®ä½" w:cs="SKJVQB+å®ä½"/>
          <w:color w:val="000000"/>
          <w:spacing w:val="0"/>
          <w:sz w:val="21"/>
        </w:rPr>
        <w:t>层</w:t>
      </w:r>
    </w:p>
    <w:p>
      <w:pPr>
        <w:framePr w:w="526" w:wrap="around" w:vAnchor="margin" w:hAnchor="text" w:x="4213" w:y="1181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40</w:t>
      </w:r>
    </w:p>
    <w:p>
      <w:pPr>
        <w:framePr w:w="2901" w:wrap="around" w:vAnchor="margin" w:hAnchor="text" w:x="4640" w:y="1182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中国国际金融股份有限公司</w:t>
      </w:r>
    </w:p>
    <w:p>
      <w:pPr>
        <w:framePr w:w="3020" w:wrap="around" w:vAnchor="margin" w:hAnchor="text" w:x="7482"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办公地址：北京市建国门外大</w:t>
      </w:r>
    </w:p>
    <w:p>
      <w:pPr>
        <w:framePr w:w="3020" w:wrap="around" w:vAnchor="margin" w:hAnchor="text" w:x="7482" w:y="1276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街甲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SK</w:t>
      </w:r>
      <w:r>
        <w:rPr>
          <w:rFonts w:ascii="SKJVQB+å®ä½" w:hAnsi="SKJVQB+å®ä½" w:cs="SKJVQB+å®ä½"/>
          <w:color w:val="000000"/>
          <w:spacing w:val="0"/>
          <w:sz w:val="21"/>
        </w:rPr>
        <w:t>大厦</w:t>
      </w:r>
    </w:p>
    <w:p>
      <w:pPr>
        <w:framePr w:w="1789" w:wrap="around" w:vAnchor="margin" w:hAnchor="text" w:x="7482"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联系人：杨涵宇</w:t>
      </w:r>
    </w:p>
    <w:p>
      <w:pPr>
        <w:framePr w:w="3020" w:wrap="around" w:vAnchor="margin" w:hAnchor="text" w:x="7482" w:y="1368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010-65051166</w:t>
      </w:r>
    </w:p>
    <w:p>
      <w:pPr>
        <w:framePr w:w="3020" w:wrap="around" w:vAnchor="margin" w:hAnchor="text" w:x="7482" w:y="1368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400-910-1166</w:t>
      </w:r>
    </w:p>
    <w:p>
      <w:pPr>
        <w:framePr w:w="3020" w:wrap="around" w:vAnchor="margin" w:hAnchor="text" w:x="7482" w:y="1368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www.cicc.com.cn</w:t>
      </w:r>
    </w:p>
    <w:p>
      <w:pPr>
        <w:framePr w:w="3020" w:wrap="around" w:vAnchor="margin" w:hAnchor="text" w:x="7482" w:y="1368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注册地址：大同市城区迎宾街</w:t>
      </w:r>
    </w:p>
    <w:p>
      <w:pPr>
        <w:framePr w:w="3020" w:wrap="around" w:vAnchor="margin" w:hAnchor="text" w:x="7482" w:y="1368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15</w:t>
      </w:r>
      <w:r>
        <w:rPr>
          <w:rFonts w:ascii="SKJVQB+å®ä½" w:hAnsi="SKJVQB+å®ä½" w:cs="SKJVQB+å®ä½"/>
          <w:color w:val="000000"/>
          <w:spacing w:val="0"/>
          <w:sz w:val="21"/>
        </w:rPr>
        <w:t xml:space="preserve">号桐城中央  </w:t>
      </w:r>
      <w:r>
        <w:rPr>
          <w:rFonts w:ascii="Times New Roman"/>
          <w:color w:val="000000"/>
          <w:spacing w:val="0"/>
          <w:sz w:val="21"/>
        </w:rPr>
        <w:t>21</w:t>
      </w:r>
      <w:r>
        <w:rPr>
          <w:rFonts w:ascii="SKJVQB+å®ä½" w:hAnsi="SKJVQB+å®ä½" w:cs="SKJVQB+å®ä½"/>
          <w:color w:val="000000"/>
          <w:spacing w:val="0"/>
          <w:sz w:val="21"/>
        </w:rPr>
        <w:t>层</w:t>
      </w:r>
    </w:p>
    <w:p>
      <w:pPr>
        <w:framePr w:w="526" w:wrap="around" w:vAnchor="margin" w:hAnchor="text" w:x="4213" w:y="1463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41</w:t>
      </w:r>
    </w:p>
    <w:p>
      <w:pPr>
        <w:framePr w:w="2418" w:wrap="around" w:vAnchor="margin" w:hAnchor="text" w:x="4640" w:y="1464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大同证券有限责任公司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45</w:t>
      </w:r>
    </w:p>
    <w:p>
      <w:pPr>
        <w:spacing w:before="0" w:after="0" w:line="0" w:lineRule="exact"/>
        <w:ind w:left="0" w:right="0"/>
        <w:jc w:val="left"/>
        <w:rPr>
          <w:rFonts w:ascii="Arial"/>
          <w:color w:val="FF0000"/>
          <w:spacing w:val="0"/>
          <w:sz w:val="2"/>
        </w:rPr>
      </w:pPr>
      <w:r>
        <w:pict>
          <v:shape id="_x000095" o:spid="_x0000_s112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81" o:title=""/>
            <o:lock v:ext="edit" aspectratio="t"/>
          </v:shape>
        </w:pict>
      </w:r>
      <w:r>
        <w:pict>
          <v:shape id="_x000096" o:spid="_x0000_s1122"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8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办公地址：山西省太原市长治</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111</w:t>
      </w:r>
      <w:r>
        <w:rPr>
          <w:rFonts w:ascii="SKJVQB+å®ä½" w:hAnsi="SKJVQB+å®ä½" w:cs="SKJVQB+å®ä½"/>
          <w:color w:val="000000"/>
          <w:spacing w:val="0"/>
          <w:sz w:val="21"/>
        </w:rPr>
        <w:t xml:space="preserve">号山西世贸中心  </w:t>
      </w:r>
      <w:r>
        <w:rPr>
          <w:rFonts w:ascii="Times New Roman"/>
          <w:color w:val="000000"/>
          <w:spacing w:val="0"/>
          <w:sz w:val="21"/>
        </w:rPr>
        <w:t>A</w:t>
      </w:r>
      <w:r>
        <w:rPr>
          <w:rFonts w:ascii="SKJVQB+å®ä½" w:hAnsi="SKJVQB+å®ä½" w:cs="SKJVQB+å®ä½"/>
          <w:color w:val="000000"/>
          <w:spacing w:val="0"/>
          <w:sz w:val="21"/>
        </w:rPr>
        <w:t>座</w:t>
      </w:r>
    </w:p>
    <w:p>
      <w:pPr>
        <w:framePr w:w="3020" w:wrap="around" w:vAnchor="margin" w:hAnchor="text" w:x="7482" w:y="1485"/>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F12</w:t>
      </w:r>
      <w:r>
        <w:rPr>
          <w:rFonts w:ascii="SKJVQB+å®ä½" w:hAnsi="SKJVQB+å®ä½" w:cs="SKJVQB+å®ä½"/>
          <w:color w:val="000000"/>
          <w:spacing w:val="0"/>
          <w:sz w:val="21"/>
        </w:rPr>
        <w:t>、</w:t>
      </w:r>
      <w:r>
        <w:rPr>
          <w:rFonts w:ascii="Times New Roman"/>
          <w:color w:val="000000"/>
          <w:spacing w:val="0"/>
          <w:sz w:val="21"/>
        </w:rPr>
        <w:t>F13</w:t>
      </w:r>
    </w:p>
    <w:p>
      <w:pPr>
        <w:framePr w:w="1998"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法定代表人：董祥</w:t>
      </w:r>
    </w:p>
    <w:p>
      <w:pPr>
        <w:framePr w:w="1998" w:wrap="around" w:vAnchor="margin" w:hAnchor="text" w:x="7482" w:y="24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联系人：薛津</w:t>
      </w:r>
    </w:p>
    <w:p>
      <w:pPr>
        <w:framePr w:w="2421"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0351-4130322</w:t>
      </w:r>
    </w:p>
    <w:p>
      <w:pPr>
        <w:framePr w:w="2421"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0351-4192803</w:t>
      </w:r>
    </w:p>
    <w:p>
      <w:pPr>
        <w:framePr w:w="2421"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4007121212</w:t>
      </w:r>
    </w:p>
    <w:p>
      <w:pPr>
        <w:framePr w:w="2421" w:wrap="around" w:vAnchor="margin" w:hAnchor="text" w:x="7482" w:y="30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418" w:wrap="around" w:vAnchor="margin" w:hAnchor="text" w:x="7482" w:y="428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http://www.dtsbc.com.cn</w:t>
      </w:r>
    </w:p>
    <w:p>
      <w:pPr>
        <w:framePr w:w="526" w:wrap="around" w:vAnchor="margin" w:hAnchor="text" w:x="4213" w:y="460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42</w:t>
      </w:r>
    </w:p>
    <w:p>
      <w:pPr>
        <w:framePr w:w="2418" w:wrap="around" w:vAnchor="margin" w:hAnchor="text" w:x="4640"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方正证券股份有限公司</w:t>
      </w:r>
    </w:p>
    <w:p>
      <w:pPr>
        <w:framePr w:w="3020"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注册地址：湖南省长沙市天心</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区湘江中路二段 </w:t>
      </w:r>
      <w:r>
        <w:rPr>
          <w:rFonts w:ascii="Times New Roman"/>
          <w:color w:val="000000"/>
          <w:spacing w:val="0"/>
          <w:sz w:val="21"/>
        </w:rPr>
        <w:t>36</w:t>
      </w:r>
      <w:r>
        <w:rPr>
          <w:rFonts w:ascii="SKJVQB+å®ä½" w:hAnsi="SKJVQB+å®ä½" w:cs="SKJVQB+å®ä½"/>
          <w:color w:val="000000"/>
          <w:spacing w:val="0"/>
          <w:sz w:val="21"/>
        </w:rPr>
        <w:t>号华远华</w:t>
      </w:r>
    </w:p>
    <w:p>
      <w:pPr>
        <w:framePr w:w="3020" w:wrap="around" w:vAnchor="margin" w:hAnchor="text" w:x="7482" w:y="46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中心 </w:t>
      </w:r>
      <w:r>
        <w:rPr>
          <w:rFonts w:ascii="Times New Roman"/>
          <w:color w:val="000000"/>
          <w:spacing w:val="0"/>
          <w:sz w:val="21"/>
        </w:rPr>
        <w:t>4</w:t>
      </w:r>
      <w:r>
        <w:rPr>
          <w:rFonts w:ascii="SKJVQB+å®ä½" w:hAnsi="SKJVQB+å®ä½" w:cs="SKJVQB+å®ä½"/>
          <w:color w:val="000000"/>
          <w:spacing w:val="0"/>
          <w:sz w:val="21"/>
        </w:rPr>
        <w:t>、</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3701-3717</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办公地址：北京市朝阳区北四</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环中路盘古大观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40</w:t>
      </w:r>
      <w:r>
        <w:rPr>
          <w:rFonts w:ascii="SKJVQB+å®ä½" w:hAnsi="SKJVQB+å®ä½" w:cs="SKJVQB+å®ä½"/>
          <w:color w:val="000000"/>
          <w:spacing w:val="0"/>
          <w:sz w:val="21"/>
        </w:rPr>
        <w:t>层</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法定代表人：施华</w:t>
      </w:r>
    </w:p>
    <w:p>
      <w:pPr>
        <w:framePr w:w="1789" w:wrap="around" w:vAnchor="margin" w:hAnchor="text" w:x="7482" w:y="648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联系人：程博怡</w:t>
      </w:r>
    </w:p>
    <w:p>
      <w:pPr>
        <w:framePr w:w="2626" w:wrap="around" w:vAnchor="margin" w:hAnchor="text" w:x="7482" w:y="679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010-59355997</w:t>
      </w:r>
    </w:p>
    <w:p>
      <w:pPr>
        <w:framePr w:w="2626" w:wrap="around" w:vAnchor="margin" w:hAnchor="text" w:x="7482" w:y="679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95571</w:t>
      </w:r>
    </w:p>
    <w:p>
      <w:pPr>
        <w:framePr w:w="3020" w:wrap="around" w:vAnchor="margin" w:hAnchor="text" w:x="7482" w:y="741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www.foundersc.com</w:t>
      </w:r>
    </w:p>
    <w:p>
      <w:pPr>
        <w:framePr w:w="3020" w:wrap="around" w:vAnchor="margin" w:hAnchor="text" w:x="7482" w:y="741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注册地址：江苏省常州市延陵</w:t>
      </w:r>
    </w:p>
    <w:p>
      <w:pPr>
        <w:framePr w:w="3020"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23</w:t>
      </w:r>
      <w:r>
        <w:rPr>
          <w:rFonts w:ascii="SKJVQB+å®ä½" w:hAnsi="SKJVQB+å®ä½" w:cs="SKJVQB+å®ä½"/>
          <w:color w:val="000000"/>
          <w:spacing w:val="0"/>
          <w:sz w:val="21"/>
        </w:rPr>
        <w:t xml:space="preserve">号投资广场  </w:t>
      </w:r>
      <w:r>
        <w:rPr>
          <w:rFonts w:ascii="Times New Roman"/>
          <w:color w:val="000000"/>
          <w:spacing w:val="0"/>
          <w:sz w:val="21"/>
        </w:rPr>
        <w:t>18</w:t>
      </w:r>
      <w:r>
        <w:rPr>
          <w:rFonts w:ascii="SKJVQB+å®ä½" w:hAnsi="SKJVQB+å®ä½" w:cs="SKJVQB+å®ä½"/>
          <w:color w:val="000000"/>
          <w:spacing w:val="0"/>
          <w:sz w:val="21"/>
        </w:rPr>
        <w:t>楼</w:t>
      </w:r>
    </w:p>
    <w:p>
      <w:pPr>
        <w:framePr w:w="3020"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办公地址：上海市浦东新区东</w:t>
      </w:r>
    </w:p>
    <w:p>
      <w:pPr>
        <w:framePr w:w="3020"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方路 </w:t>
      </w:r>
      <w:r>
        <w:rPr>
          <w:rFonts w:ascii="Times New Roman"/>
          <w:color w:val="000000"/>
          <w:spacing w:val="0"/>
          <w:sz w:val="21"/>
        </w:rPr>
        <w:t>1928</w:t>
      </w:r>
      <w:r>
        <w:rPr>
          <w:rFonts w:ascii="SKJVQB+å®ä½" w:hAnsi="SKJVQB+å®ä½" w:cs="SKJVQB+å®ä½"/>
          <w:color w:val="000000"/>
          <w:spacing w:val="0"/>
          <w:sz w:val="21"/>
        </w:rPr>
        <w:t>号东海证券大厦</w:t>
      </w:r>
    </w:p>
    <w:p>
      <w:pPr>
        <w:framePr w:w="3020"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法定代表人：陈耀庭</w:t>
      </w:r>
    </w:p>
    <w:p>
      <w:pPr>
        <w:framePr w:w="3020"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联系人：王一彦</w:t>
      </w:r>
    </w:p>
    <w:p>
      <w:pPr>
        <w:framePr w:w="526" w:wrap="around" w:vAnchor="margin" w:hAnchor="text" w:x="4213" w:y="77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43</w:t>
      </w:r>
    </w:p>
    <w:p>
      <w:pPr>
        <w:framePr w:w="2418"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东海证券股份有限公司</w:t>
      </w:r>
    </w:p>
    <w:p>
      <w:pPr>
        <w:framePr w:w="2106" w:wrap="around" w:vAnchor="margin" w:hAnchor="text" w:x="7482" w:y="9611"/>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95531</w:t>
      </w:r>
      <w:r>
        <w:rPr>
          <w:rFonts w:ascii="SKJVQB+å®ä½" w:hAnsi="SKJVQB+å®ä½" w:cs="SKJVQB+å®ä½"/>
          <w:color w:val="000000"/>
          <w:spacing w:val="0"/>
          <w:sz w:val="21"/>
        </w:rPr>
        <w:t>；</w:t>
      </w:r>
    </w:p>
    <w:p>
      <w:pPr>
        <w:framePr w:w="1512" w:wrap="around" w:vAnchor="margin" w:hAnchor="text" w:x="7482" w:y="992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400-8888-588</w:t>
      </w:r>
    </w:p>
    <w:p>
      <w:pPr>
        <w:framePr w:w="3020"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www.longone.com.cn</w:t>
      </w:r>
    </w:p>
    <w:p>
      <w:pPr>
        <w:framePr w:w="3020" w:wrap="around" w:vAnchor="margin" w:hAnchor="text" w:x="7482" w:y="10235"/>
        <w:widowControl w:val="0"/>
        <w:autoSpaceDE w:val="0"/>
        <w:autoSpaceDN w:val="0"/>
        <w:spacing w:before="0" w:after="0" w:line="325"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注册地址：陕西省西安市东新</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319</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幢  </w:t>
      </w:r>
      <w:r>
        <w:rPr>
          <w:rFonts w:ascii="Times New Roman"/>
          <w:color w:val="000000"/>
          <w:spacing w:val="0"/>
          <w:sz w:val="21"/>
        </w:rPr>
        <w:t>10000</w:t>
      </w:r>
      <w:r>
        <w:rPr>
          <w:rFonts w:ascii="SKJVQB+å®ä½" w:hAnsi="SKJVQB+å®ä½" w:cs="SKJVQB+å®ä½"/>
          <w:color w:val="000000"/>
          <w:spacing w:val="0"/>
          <w:sz w:val="21"/>
        </w:rPr>
        <w:t>室</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办公地址：陕西省西安市东新</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319</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幢  </w:t>
      </w:r>
      <w:r>
        <w:rPr>
          <w:rFonts w:ascii="Times New Roman"/>
          <w:color w:val="000000"/>
          <w:spacing w:val="0"/>
          <w:sz w:val="21"/>
        </w:rPr>
        <w:t>10000</w:t>
      </w:r>
      <w:r>
        <w:rPr>
          <w:rFonts w:ascii="SKJVQB+å®ä½" w:hAnsi="SKJVQB+å®ä½" w:cs="SKJVQB+å®ä½"/>
          <w:color w:val="000000"/>
          <w:spacing w:val="0"/>
          <w:sz w:val="21"/>
        </w:rPr>
        <w:t>室</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法定代表人：徐朝晖</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联系人：梁承华</w:t>
      </w:r>
    </w:p>
    <w:p>
      <w:pPr>
        <w:framePr w:w="526" w:wrap="around" w:vAnchor="margin" w:hAnchor="text" w:x="4213" w:y="105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44</w:t>
      </w:r>
    </w:p>
    <w:p>
      <w:pPr>
        <w:framePr w:w="2418" w:wrap="around" w:vAnchor="margin" w:hAnchor="text" w:x="4640"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西部证券股份有限公司</w:t>
      </w:r>
    </w:p>
    <w:p>
      <w:pPr>
        <w:framePr w:w="2171"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029-87211526</w:t>
      </w:r>
    </w:p>
    <w:p>
      <w:pPr>
        <w:framePr w:w="2171" w:wrap="around" w:vAnchor="margin" w:hAnchor="text" w:x="7482" w:y="1274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029-87211478</w:t>
      </w:r>
    </w:p>
    <w:p>
      <w:pPr>
        <w:framePr w:w="1894" w:wrap="around" w:vAnchor="margin" w:hAnchor="text" w:x="7482" w:y="1305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95582</w:t>
      </w:r>
    </w:p>
    <w:p>
      <w:pPr>
        <w:framePr w:w="949" w:wrap="around" w:vAnchor="margin" w:hAnchor="text" w:x="7482" w:y="1337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969" w:wrap="around" w:vAnchor="margin" w:hAnchor="text" w:x="7482" w:y="1367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http://www.westsecu.com/</w:t>
      </w:r>
    </w:p>
    <w:p>
      <w:pPr>
        <w:framePr w:w="2969" w:wrap="around" w:vAnchor="margin" w:hAnchor="text" w:x="7482" w:y="1367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北京市海淀区北三</w:t>
      </w:r>
    </w:p>
    <w:p>
      <w:pPr>
        <w:framePr w:w="2969" w:wrap="around" w:vAnchor="margin" w:hAnchor="text" w:x="7482" w:y="1367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环西路 </w:t>
      </w:r>
      <w:r>
        <w:rPr>
          <w:rFonts w:ascii="Times New Roman"/>
          <w:color w:val="000000"/>
          <w:spacing w:val="0"/>
          <w:sz w:val="21"/>
        </w:rPr>
        <w:t>99</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层</w:t>
      </w:r>
    </w:p>
    <w:p>
      <w:pPr>
        <w:framePr w:w="2969" w:wrap="around" w:vAnchor="margin" w:hAnchor="text" w:x="7482" w:y="13677"/>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1501</w:t>
      </w:r>
    </w:p>
    <w:p>
      <w:pPr>
        <w:framePr w:w="526" w:wrap="around" w:vAnchor="margin" w:hAnchor="text" w:x="4213" w:y="1399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45</w:t>
      </w:r>
    </w:p>
    <w:p>
      <w:pPr>
        <w:framePr w:w="2661" w:wrap="around" w:vAnchor="margin" w:hAnchor="text" w:x="4640"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新时代证券股份有限公司</w:t>
      </w:r>
    </w:p>
    <w:p>
      <w:pPr>
        <w:framePr w:w="2969" w:wrap="around" w:vAnchor="margin" w:hAnchor="text" w:x="7482" w:y="14937"/>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北京市海淀区北三</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46</w:t>
      </w:r>
    </w:p>
    <w:p>
      <w:pPr>
        <w:spacing w:before="0" w:after="0" w:line="0" w:lineRule="exact"/>
        <w:ind w:left="0" w:right="0"/>
        <w:jc w:val="left"/>
        <w:rPr>
          <w:rFonts w:ascii="Arial"/>
          <w:color w:val="FF0000"/>
          <w:spacing w:val="0"/>
          <w:sz w:val="2"/>
        </w:rPr>
      </w:pPr>
      <w:r>
        <w:pict>
          <v:shape id="_x000097" o:spid="_x0000_s112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83" o:title=""/>
            <o:lock v:ext="edit" aspectratio="t"/>
          </v:shape>
        </w:pict>
      </w:r>
      <w:r>
        <w:pict>
          <v:shape id="_x000098" o:spid="_x0000_s1124"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8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901"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环西路 </w:t>
      </w:r>
      <w:r>
        <w:rPr>
          <w:rFonts w:ascii="Times New Roman"/>
          <w:color w:val="000000"/>
          <w:spacing w:val="0"/>
          <w:sz w:val="21"/>
        </w:rPr>
        <w:t>99</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层</w:t>
      </w:r>
    </w:p>
    <w:p>
      <w:pPr>
        <w:framePr w:w="2901" w:wrap="around" w:vAnchor="margin" w:hAnchor="text" w:x="7482" w:y="147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1501</w:t>
      </w:r>
    </w:p>
    <w:p>
      <w:pPr>
        <w:framePr w:w="2209" w:wrap="around" w:vAnchor="margin" w:hAnchor="text" w:x="7482" w:y="21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法定代表人：叶顺德</w:t>
      </w:r>
    </w:p>
    <w:p>
      <w:pPr>
        <w:framePr w:w="2209" w:wrap="around" w:vAnchor="margin" w:hAnchor="text" w:x="7482" w:y="21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联系人：田芳芳</w:t>
      </w:r>
    </w:p>
    <w:p>
      <w:pPr>
        <w:framePr w:w="2618"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010-83561146</w:t>
      </w:r>
    </w:p>
    <w:p>
      <w:pPr>
        <w:framePr w:w="2618"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95399</w:t>
      </w:r>
    </w:p>
    <w:p>
      <w:pPr>
        <w:framePr w:w="2618"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www.xsdzq.cn</w:t>
      </w:r>
    </w:p>
    <w:p>
      <w:pPr>
        <w:framePr w:w="526" w:wrap="around" w:vAnchor="margin" w:hAnchor="text" w:x="4213"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46</w:t>
      </w:r>
    </w:p>
    <w:p>
      <w:pPr>
        <w:framePr w:w="2418"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瑞银证券有限责任公司</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7</w:t>
      </w:r>
      <w:r>
        <w:rPr>
          <w:rFonts w:ascii="SKJVQB+å®ä½" w:hAnsi="SKJVQB+å®ä½" w:cs="SKJVQB+å®ä½"/>
          <w:color w:val="000000"/>
          <w:spacing w:val="0"/>
          <w:sz w:val="21"/>
        </w:rPr>
        <w:t>号英蓝国际金融中心</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r>
        <w:rPr>
          <w:rFonts w:ascii="Times New Roman"/>
          <w:color w:val="000000"/>
          <w:spacing w:val="0"/>
          <w:sz w:val="21"/>
        </w:rPr>
        <w:t>15</w:t>
      </w:r>
      <w:r>
        <w:rPr>
          <w:rFonts w:ascii="SKJVQB+å®ä½" w:hAnsi="SKJVQB+å®ä½" w:cs="SKJVQB+å®ä½"/>
          <w:color w:val="000000"/>
          <w:spacing w:val="0"/>
          <w:sz w:val="21"/>
        </w:rPr>
        <w:t>层</w:t>
      </w:r>
    </w:p>
    <w:p>
      <w:pPr>
        <w:framePr w:w="3020"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7</w:t>
      </w:r>
      <w:r>
        <w:rPr>
          <w:rFonts w:ascii="SKJVQB+å®ä½" w:hAnsi="SKJVQB+å®ä½" w:cs="SKJVQB+å®ä½"/>
          <w:color w:val="000000"/>
          <w:spacing w:val="0"/>
          <w:sz w:val="21"/>
        </w:rPr>
        <w:t>号英蓝国际金融中心</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r>
        <w:rPr>
          <w:rFonts w:ascii="Times New Roman"/>
          <w:color w:val="000000"/>
          <w:spacing w:val="0"/>
          <w:sz w:val="21"/>
        </w:rPr>
        <w:t>15</w:t>
      </w:r>
      <w:r>
        <w:rPr>
          <w:rFonts w:ascii="SKJVQB+å®ä½" w:hAnsi="SKJVQB+å®ä½" w:cs="SKJVQB+å®ä½"/>
          <w:color w:val="000000"/>
          <w:spacing w:val="0"/>
          <w:sz w:val="21"/>
        </w:rPr>
        <w:t>层</w:t>
      </w:r>
    </w:p>
    <w:p>
      <w:pPr>
        <w:framePr w:w="2209" w:wrap="around" w:vAnchor="margin" w:hAnchor="text" w:x="7482" w:y="555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法定代表人：程宜荪</w:t>
      </w:r>
    </w:p>
    <w:p>
      <w:pPr>
        <w:framePr w:w="2209" w:wrap="around" w:vAnchor="margin" w:hAnchor="text" w:x="7482" w:y="555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联系人：冯爽</w:t>
      </w:r>
    </w:p>
    <w:p>
      <w:pPr>
        <w:framePr w:w="3019"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010-58328373</w:t>
      </w:r>
    </w:p>
    <w:p>
      <w:pPr>
        <w:framePr w:w="3019"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400-887-8827</w:t>
      </w:r>
    </w:p>
    <w:p>
      <w:pPr>
        <w:framePr w:w="3019"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www.ubssecurities.com</w:t>
      </w:r>
    </w:p>
    <w:p>
      <w:pPr>
        <w:framePr w:w="3019" w:wrap="around" w:vAnchor="margin" w:hAnchor="text" w:x="7482" w:y="6169"/>
        <w:widowControl w:val="0"/>
        <w:autoSpaceDE w:val="0"/>
        <w:autoSpaceDN w:val="0"/>
        <w:spacing w:before="0" w:after="0" w:line="322"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注册地址：海口市南宝路 </w:t>
      </w:r>
      <w:r>
        <w:rPr>
          <w:rFonts w:ascii="Times New Roman"/>
          <w:color w:val="000000"/>
          <w:spacing w:val="0"/>
          <w:sz w:val="21"/>
        </w:rPr>
        <w:t xml:space="preserve"> 36</w:t>
      </w:r>
    </w:p>
    <w:p>
      <w:pPr>
        <w:framePr w:w="3019"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号证券大厦 </w:t>
      </w:r>
      <w:r>
        <w:rPr>
          <w:rFonts w:ascii="Times New Roman"/>
          <w:color w:val="000000"/>
          <w:spacing w:val="0"/>
          <w:sz w:val="21"/>
        </w:rPr>
        <w:t>4</w:t>
      </w:r>
      <w:r>
        <w:rPr>
          <w:rFonts w:ascii="SKJVQB+å®ä½" w:hAnsi="SKJVQB+å®ä½" w:cs="SKJVQB+å®ä½"/>
          <w:color w:val="000000"/>
          <w:spacing w:val="0"/>
          <w:sz w:val="21"/>
        </w:rPr>
        <w:t>楼</w:t>
      </w:r>
    </w:p>
    <w:p>
      <w:pPr>
        <w:framePr w:w="526" w:wrap="around" w:vAnchor="margin" w:hAnchor="text" w:x="4213" w:y="711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47</w:t>
      </w:r>
    </w:p>
    <w:p>
      <w:pPr>
        <w:framePr w:w="2418" w:wrap="around" w:vAnchor="margin" w:hAnchor="text" w:x="4640"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金元证券股份有限公司</w:t>
      </w:r>
    </w:p>
    <w:p>
      <w:pPr>
        <w:framePr w:w="2901"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办公地址：深圳市深南大道</w:t>
      </w:r>
    </w:p>
    <w:p>
      <w:pPr>
        <w:framePr w:w="2901"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4001</w:t>
      </w:r>
      <w:r>
        <w:rPr>
          <w:rFonts w:ascii="SKJVQB+å®ä½" w:hAnsi="SKJVQB+å®ä½" w:cs="SKJVQB+å®ä½"/>
          <w:color w:val="000000"/>
          <w:spacing w:val="0"/>
          <w:sz w:val="21"/>
        </w:rPr>
        <w:t xml:space="preserve">号时代金融中心  </w:t>
      </w:r>
      <w:r>
        <w:rPr>
          <w:rFonts w:ascii="Times New Roman"/>
          <w:color w:val="000000"/>
          <w:spacing w:val="0"/>
          <w:sz w:val="21"/>
        </w:rPr>
        <w:t>17</w:t>
      </w:r>
      <w:r>
        <w:rPr>
          <w:rFonts w:ascii="SKJVQB+å®ä½" w:hAnsi="SKJVQB+å®ä½" w:cs="SKJVQB+å®ä½"/>
          <w:color w:val="000000"/>
          <w:spacing w:val="0"/>
          <w:sz w:val="21"/>
        </w:rPr>
        <w:t>层</w:t>
      </w:r>
    </w:p>
    <w:p>
      <w:pPr>
        <w:framePr w:w="2901"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法定代表人：王作义</w:t>
      </w:r>
    </w:p>
    <w:p>
      <w:pPr>
        <w:framePr w:w="2901"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联系人：刘萍</w:t>
      </w:r>
    </w:p>
    <w:p>
      <w:pPr>
        <w:framePr w:w="2747"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0755-83025693</w:t>
      </w:r>
    </w:p>
    <w:p>
      <w:pPr>
        <w:framePr w:w="2747"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95372</w:t>
      </w:r>
    </w:p>
    <w:p>
      <w:pPr>
        <w:framePr w:w="2051"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www.jyzq.cn</w:t>
      </w:r>
    </w:p>
    <w:p>
      <w:pPr>
        <w:framePr w:w="526" w:wrap="around" w:vAnchor="margin" w:hAnchor="text" w:x="4213" w:y="993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48</w:t>
      </w:r>
    </w:p>
    <w:p>
      <w:pPr>
        <w:framePr w:w="2418" w:wrap="around" w:vAnchor="margin" w:hAnchor="text" w:x="4640"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万联证券股份有限公司</w:t>
      </w:r>
    </w:p>
    <w:p>
      <w:pPr>
        <w:framePr w:w="3021"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framePr w:w="3021" w:wrap="around" w:vAnchor="margin" w:hAnchor="text" w:x="7482" w:y="994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11</w:t>
      </w:r>
      <w:r>
        <w:rPr>
          <w:rFonts w:ascii="SKJVQB+å®ä½" w:hAnsi="SKJVQB+å®ä½" w:cs="SKJVQB+å®ä½"/>
          <w:color w:val="000000"/>
          <w:spacing w:val="0"/>
          <w:sz w:val="21"/>
        </w:rPr>
        <w:t xml:space="preserve">号高德置地广场  </w:t>
      </w:r>
      <w:r>
        <w:rPr>
          <w:rFonts w:ascii="Times New Roman"/>
          <w:color w:val="000000"/>
          <w:spacing w:val="0"/>
          <w:sz w:val="21"/>
        </w:rPr>
        <w:t>F</w:t>
      </w:r>
      <w:r>
        <w:rPr>
          <w:rFonts w:ascii="SKJVQB+å®ä½" w:hAnsi="SKJVQB+å®ä½" w:cs="SKJVQB+å®ä½"/>
          <w:color w:val="000000"/>
          <w:spacing w:val="0"/>
          <w:sz w:val="21"/>
        </w:rPr>
        <w:t>栋</w:t>
      </w:r>
    </w:p>
    <w:p>
      <w:pPr>
        <w:framePr w:w="3021" w:wrap="around" w:vAnchor="margin" w:hAnchor="text" w:x="7482" w:y="994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Times New Roman"/>
          <w:color w:val="000000"/>
          <w:spacing w:val="0"/>
          <w:sz w:val="21"/>
        </w:rPr>
        <w:t>18</w:t>
      </w:r>
      <w:r>
        <w:rPr>
          <w:rFonts w:ascii="SKJVQB+å®ä½" w:hAnsi="SKJVQB+å®ä½" w:cs="SKJVQB+å®ä½"/>
          <w:color w:val="000000"/>
          <w:spacing w:val="0"/>
          <w:sz w:val="21"/>
        </w:rPr>
        <w:t>、</w:t>
      </w:r>
      <w:r>
        <w:rPr>
          <w:rFonts w:ascii="Times New Roman"/>
          <w:color w:val="000000"/>
          <w:spacing w:val="0"/>
          <w:sz w:val="21"/>
        </w:rPr>
        <w:t>19</w:t>
      </w:r>
      <w:r>
        <w:rPr>
          <w:rFonts w:ascii="SKJVQB+å®ä½" w:hAnsi="SKJVQB+å®ä½" w:cs="SKJVQB+å®ä½"/>
          <w:color w:val="000000"/>
          <w:spacing w:val="0"/>
          <w:sz w:val="21"/>
        </w:rPr>
        <w:t>层</w:t>
      </w:r>
    </w:p>
    <w:p>
      <w:pPr>
        <w:framePr w:w="3021"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framePr w:w="3021" w:wrap="around" w:vAnchor="margin" w:hAnchor="text" w:x="7482"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13</w:t>
      </w:r>
      <w:r>
        <w:rPr>
          <w:rFonts w:ascii="SKJVQB+å®ä½" w:hAnsi="SKJVQB+å®ä½" w:cs="SKJVQB+å®ä½"/>
          <w:color w:val="000000"/>
          <w:spacing w:val="0"/>
          <w:sz w:val="21"/>
        </w:rPr>
        <w:t xml:space="preserve">号高德置地广场  </w:t>
      </w:r>
      <w:r>
        <w:rPr>
          <w:rFonts w:ascii="Times New Roman"/>
          <w:color w:val="000000"/>
          <w:spacing w:val="0"/>
          <w:sz w:val="21"/>
        </w:rPr>
        <w:t>E</w:t>
      </w:r>
      <w:r>
        <w:rPr>
          <w:rFonts w:ascii="SKJVQB+å®ä½" w:hAnsi="SKJVQB+å®ä½" w:cs="SKJVQB+å®ä½"/>
          <w:color w:val="000000"/>
          <w:spacing w:val="0"/>
          <w:sz w:val="21"/>
        </w:rPr>
        <w:t>栋</w:t>
      </w:r>
    </w:p>
    <w:p>
      <w:pPr>
        <w:framePr w:w="3021" w:wrap="around" w:vAnchor="margin" w:hAnchor="text" w:x="7482"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p>
    <w:p>
      <w:pPr>
        <w:framePr w:w="2209"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法定代表人：罗钦城</w:t>
      </w:r>
    </w:p>
    <w:p>
      <w:pPr>
        <w:framePr w:w="2209"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甘蕾</w:t>
      </w:r>
    </w:p>
    <w:p>
      <w:pPr>
        <w:framePr w:w="2626"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020-38286026</w:t>
      </w:r>
    </w:p>
    <w:p>
      <w:pPr>
        <w:framePr w:w="2626"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:95322</w:t>
      </w:r>
    </w:p>
    <w:p>
      <w:pPr>
        <w:framePr w:w="3020" w:wrap="around" w:vAnchor="margin" w:hAnchor="text" w:x="7482" w:y="1305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www.wlzq.cn</w:t>
      </w:r>
    </w:p>
    <w:p>
      <w:pPr>
        <w:framePr w:w="3020" w:wrap="around" w:vAnchor="margin" w:hAnchor="text" w:x="7482" w:y="1305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注册地址：成都市东城根上街</w:t>
      </w:r>
    </w:p>
    <w:p>
      <w:pPr>
        <w:framePr w:w="3020" w:wrap="around" w:vAnchor="margin" w:hAnchor="text" w:x="7482" w:y="1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95</w:t>
      </w:r>
      <w:r>
        <w:rPr>
          <w:rFonts w:ascii="SKJVQB+å®ä½" w:hAnsi="SKJVQB+å®ä½" w:cs="SKJVQB+å®ä½"/>
          <w:color w:val="000000"/>
          <w:spacing w:val="0"/>
          <w:sz w:val="21"/>
        </w:rPr>
        <w:t>号</w:t>
      </w:r>
    </w:p>
    <w:p>
      <w:pPr>
        <w:framePr w:w="526" w:wrap="around" w:vAnchor="margin" w:hAnchor="text" w:x="4213" w:y="1337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49</w:t>
      </w:r>
    </w:p>
    <w:p>
      <w:pPr>
        <w:framePr w:w="2418" w:wrap="around" w:vAnchor="margin" w:hAnchor="text" w:x="4640"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国金证券股份有限公司</w:t>
      </w:r>
    </w:p>
    <w:p>
      <w:pPr>
        <w:framePr w:w="3020"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办公地址：成都市东城根上街</w:t>
      </w:r>
    </w:p>
    <w:p>
      <w:pPr>
        <w:framePr w:w="3020"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95</w:t>
      </w:r>
      <w:r>
        <w:rPr>
          <w:rFonts w:ascii="SKJVQB+å®ä½" w:hAnsi="SKJVQB+å®ä½" w:cs="SKJVQB+å®ä½"/>
          <w:color w:val="000000"/>
          <w:spacing w:val="0"/>
          <w:sz w:val="21"/>
        </w:rPr>
        <w:t>号</w:t>
      </w:r>
    </w:p>
    <w:p>
      <w:pPr>
        <w:framePr w:w="1998"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法定代表人：冉云</w:t>
      </w:r>
    </w:p>
    <w:p>
      <w:pPr>
        <w:framePr w:w="2418" w:wrap="around" w:vAnchor="margin" w:hAnchor="text" w:x="7482"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联系人：刘婧漪、贾鹏</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47</w:t>
      </w:r>
    </w:p>
    <w:p>
      <w:pPr>
        <w:spacing w:before="0" w:after="0" w:line="0" w:lineRule="exact"/>
        <w:ind w:left="0" w:right="0"/>
        <w:jc w:val="left"/>
        <w:rPr>
          <w:rFonts w:ascii="Arial"/>
          <w:color w:val="FF0000"/>
          <w:spacing w:val="0"/>
          <w:sz w:val="2"/>
        </w:rPr>
      </w:pPr>
      <w:r>
        <w:pict>
          <v:shape id="_x000099" o:spid="_x0000_s112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85" o:title=""/>
            <o:lock v:ext="edit" aspectratio="t"/>
          </v:shape>
        </w:pict>
      </w:r>
      <w:r>
        <w:pict>
          <v:shape id="_x0000100" o:spid="_x0000_s1126"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8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869"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028-86690057</w:t>
      </w:r>
      <w:r>
        <w:rPr>
          <w:rFonts w:ascii="SKJVQB+å®ä½" w:hAnsi="SKJVQB+å®ä½" w:cs="SKJVQB+å®ä½"/>
          <w:color w:val="000000"/>
          <w:spacing w:val="0"/>
          <w:sz w:val="21"/>
        </w:rPr>
        <w:t>、</w:t>
      </w:r>
    </w:p>
    <w:p>
      <w:pPr>
        <w:framePr w:w="2869" w:wrap="around" w:vAnchor="margin" w:hAnchor="text" w:x="7482" w:y="147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028-86690058</w:t>
      </w:r>
    </w:p>
    <w:p>
      <w:pPr>
        <w:framePr w:w="2178"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028-86690126</w:t>
      </w:r>
    </w:p>
    <w:p>
      <w:pPr>
        <w:framePr w:w="2178"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95310</w:t>
      </w:r>
    </w:p>
    <w:p>
      <w:pPr>
        <w:framePr w:w="2474"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www.gjzq.com.cn</w:t>
      </w:r>
    </w:p>
    <w:p>
      <w:pPr>
        <w:framePr w:w="526" w:wrap="around" w:vAnchor="margin" w:hAnchor="text" w:x="4213"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50</w:t>
      </w:r>
    </w:p>
    <w:p>
      <w:pPr>
        <w:framePr w:w="526" w:wrap="around" w:vAnchor="margin" w:hAnchor="text" w:x="4213" w:y="3046"/>
        <w:widowControl w:val="0"/>
        <w:autoSpaceDE w:val="0"/>
        <w:autoSpaceDN w:val="0"/>
        <w:spacing w:before="0" w:after="0" w:line="3442" w:lineRule="exact"/>
        <w:ind w:left="0" w:right="0"/>
        <w:jc w:val="left"/>
        <w:rPr>
          <w:rFonts w:ascii="Times New Roman"/>
          <w:color w:val="000000"/>
          <w:spacing w:val="0"/>
          <w:sz w:val="21"/>
        </w:rPr>
      </w:pPr>
      <w:r>
        <w:rPr>
          <w:rFonts w:ascii="Times New Roman"/>
          <w:color w:val="000000"/>
          <w:spacing w:val="0"/>
          <w:sz w:val="21"/>
        </w:rPr>
        <w:t>51</w:t>
      </w:r>
    </w:p>
    <w:p>
      <w:pPr>
        <w:framePr w:w="526" w:wrap="around" w:vAnchor="margin" w:hAnchor="text" w:x="4213" w:y="3046"/>
        <w:widowControl w:val="0"/>
        <w:autoSpaceDE w:val="0"/>
        <w:autoSpaceDN w:val="0"/>
        <w:spacing w:before="0" w:after="0" w:line="3444" w:lineRule="exact"/>
        <w:ind w:left="0" w:right="0"/>
        <w:jc w:val="left"/>
        <w:rPr>
          <w:rFonts w:ascii="Times New Roman"/>
          <w:color w:val="000000"/>
          <w:spacing w:val="0"/>
          <w:sz w:val="21"/>
        </w:rPr>
      </w:pPr>
      <w:r>
        <w:rPr>
          <w:rFonts w:ascii="Times New Roman"/>
          <w:color w:val="000000"/>
          <w:spacing w:val="0"/>
          <w:sz w:val="21"/>
        </w:rPr>
        <w:t>52</w:t>
      </w:r>
    </w:p>
    <w:p>
      <w:pPr>
        <w:framePr w:w="2418"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财富证券有限责任公司</w:t>
      </w:r>
    </w:p>
    <w:p>
      <w:pPr>
        <w:framePr w:w="2418" w:wrap="around" w:vAnchor="margin" w:hAnchor="text" w:x="4640" w:y="3055"/>
        <w:widowControl w:val="0"/>
        <w:autoSpaceDE w:val="0"/>
        <w:autoSpaceDN w:val="0"/>
        <w:spacing w:before="0" w:after="0" w:line="344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华龙证券股份有限公司</w:t>
      </w:r>
    </w:p>
    <w:p>
      <w:pPr>
        <w:framePr w:w="2418" w:wrap="around" w:vAnchor="margin" w:hAnchor="text" w:x="4640" w:y="3055"/>
        <w:widowControl w:val="0"/>
        <w:autoSpaceDE w:val="0"/>
        <w:autoSpaceDN w:val="0"/>
        <w:spacing w:before="0" w:after="0" w:line="344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华鑫证券有限责任公司</w:t>
      </w:r>
    </w:p>
    <w:p>
      <w:pPr>
        <w:framePr w:w="3021"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注册地址：长沙市芙蓉中路二</w:t>
      </w:r>
    </w:p>
    <w:p>
      <w:pPr>
        <w:framePr w:w="3021" w:wrap="around" w:vAnchor="margin" w:hAnchor="text" w:x="7482" w:y="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段 </w:t>
      </w:r>
      <w:r>
        <w:rPr>
          <w:rFonts w:ascii="Times New Roman"/>
          <w:color w:val="000000"/>
          <w:spacing w:val="0"/>
          <w:sz w:val="21"/>
        </w:rPr>
        <w:t>80</w:t>
      </w:r>
      <w:r>
        <w:rPr>
          <w:rFonts w:ascii="SKJVQB+å®ä½" w:hAnsi="SKJVQB+å®ä½" w:cs="SKJVQB+å®ä½"/>
          <w:color w:val="000000"/>
          <w:spacing w:val="0"/>
          <w:sz w:val="21"/>
        </w:rPr>
        <w:t xml:space="preserve">号顺天国际财富中心 </w:t>
      </w:r>
      <w:r>
        <w:rPr>
          <w:rFonts w:ascii="Times New Roman"/>
          <w:color w:val="000000"/>
          <w:spacing w:val="0"/>
          <w:sz w:val="21"/>
        </w:rPr>
        <w:t xml:space="preserve"> 26</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3021"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办公地址：长沙市芙蓉中路二</w:t>
      </w:r>
    </w:p>
    <w:p>
      <w:pPr>
        <w:framePr w:w="3021" w:wrap="around" w:vAnchor="margin" w:hAnchor="text" w:x="7482" w:y="39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段 </w:t>
      </w:r>
      <w:r>
        <w:rPr>
          <w:rFonts w:ascii="Times New Roman"/>
          <w:color w:val="000000"/>
          <w:spacing w:val="0"/>
          <w:sz w:val="21"/>
        </w:rPr>
        <w:t>80</w:t>
      </w:r>
      <w:r>
        <w:rPr>
          <w:rFonts w:ascii="SKJVQB+å®ä½" w:hAnsi="SKJVQB+å®ä½" w:cs="SKJVQB+å®ä½"/>
          <w:color w:val="000000"/>
          <w:spacing w:val="0"/>
          <w:sz w:val="21"/>
        </w:rPr>
        <w:t xml:space="preserve">号顺天国际财富中心 </w:t>
      </w:r>
      <w:r>
        <w:rPr>
          <w:rFonts w:ascii="Times New Roman"/>
          <w:color w:val="000000"/>
          <w:spacing w:val="0"/>
          <w:sz w:val="21"/>
        </w:rPr>
        <w:t xml:space="preserve"> 26</w:t>
      </w:r>
    </w:p>
    <w:p>
      <w:pPr>
        <w:framePr w:w="3021" w:wrap="around" w:vAnchor="margin" w:hAnchor="text" w:x="7482" w:y="399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209"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法定代表人：刘宛晨</w:t>
      </w:r>
    </w:p>
    <w:p>
      <w:pPr>
        <w:framePr w:w="2209"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联系人：郭静</w:t>
      </w:r>
    </w:p>
    <w:p>
      <w:pPr>
        <w:framePr w:w="2747"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0731-84403347</w:t>
      </w:r>
    </w:p>
    <w:p>
      <w:pPr>
        <w:framePr w:w="2747"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客服电话：  </w:t>
      </w:r>
      <w:r>
        <w:rPr>
          <w:rFonts w:ascii="Times New Roman"/>
          <w:color w:val="000000"/>
          <w:spacing w:val="0"/>
          <w:sz w:val="21"/>
        </w:rPr>
        <w:t>95317</w:t>
      </w:r>
    </w:p>
    <w:p>
      <w:pPr>
        <w:framePr w:w="3020"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:www.cfzq.com</w:t>
      </w:r>
    </w:p>
    <w:p>
      <w:pPr>
        <w:framePr w:w="3020" w:wrap="around" w:vAnchor="margin" w:hAnchor="text" w:x="7482" w:y="616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注册地址：兰州市城关区东岗</w:t>
      </w:r>
    </w:p>
    <w:p>
      <w:pPr>
        <w:framePr w:w="3020"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638</w:t>
      </w:r>
      <w:r>
        <w:rPr>
          <w:rFonts w:ascii="SKJVQB+å®ä½" w:hAnsi="SKJVQB+å®ä½" w:cs="SKJVQB+å®ä½"/>
          <w:color w:val="000000"/>
          <w:spacing w:val="0"/>
          <w:sz w:val="21"/>
        </w:rPr>
        <w:t xml:space="preserve">号兰州财富中心  </w:t>
      </w:r>
      <w:r>
        <w:rPr>
          <w:rFonts w:ascii="Times New Roman"/>
          <w:color w:val="000000"/>
          <w:spacing w:val="0"/>
          <w:sz w:val="21"/>
        </w:rPr>
        <w:t xml:space="preserve"> 21</w:t>
      </w:r>
    </w:p>
    <w:p>
      <w:pPr>
        <w:framePr w:w="3020"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3020"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办公地址：兰州市城关区东岗</w:t>
      </w:r>
    </w:p>
    <w:p>
      <w:pPr>
        <w:framePr w:w="3020" w:wrap="around" w:vAnchor="margin" w:hAnchor="text" w:x="7482"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638</w:t>
      </w:r>
      <w:r>
        <w:rPr>
          <w:rFonts w:ascii="SKJVQB+å®ä½" w:hAnsi="SKJVQB+å®ä½" w:cs="SKJVQB+å®ä½"/>
          <w:color w:val="000000"/>
          <w:spacing w:val="0"/>
          <w:sz w:val="21"/>
        </w:rPr>
        <w:t xml:space="preserve">号  </w:t>
      </w:r>
      <w:r>
        <w:rPr>
          <w:rFonts w:ascii="Times New Roman"/>
          <w:color w:val="000000"/>
          <w:spacing w:val="0"/>
          <w:sz w:val="21"/>
        </w:rPr>
        <w:t>19</w:t>
      </w:r>
      <w:r>
        <w:rPr>
          <w:rFonts w:ascii="SKJVQB+å®ä½" w:hAnsi="SKJVQB+å®ä½" w:cs="SKJVQB+å®ä½"/>
          <w:color w:val="000000"/>
          <w:spacing w:val="0"/>
          <w:sz w:val="21"/>
        </w:rPr>
        <w:t>楼</w:t>
      </w:r>
    </w:p>
    <w:p>
      <w:pPr>
        <w:framePr w:w="2209" w:wrap="around" w:vAnchor="margin" w:hAnchor="text" w:x="7482"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法定代表人：陈牧原</w:t>
      </w:r>
    </w:p>
    <w:p>
      <w:pPr>
        <w:framePr w:w="2209" w:wrap="around" w:vAnchor="margin" w:hAnchor="text" w:x="7482" w:y="80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联系人：范坤</w:t>
      </w:r>
    </w:p>
    <w:p>
      <w:pPr>
        <w:framePr w:w="2178" w:wrap="around" w:vAnchor="margin" w:hAnchor="text" w:x="7482" w:y="86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0931-4890208</w:t>
      </w:r>
    </w:p>
    <w:p>
      <w:pPr>
        <w:framePr w:w="2178" w:wrap="around" w:vAnchor="margin" w:hAnchor="text" w:x="7482" w:y="86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0931-4890628</w:t>
      </w:r>
    </w:p>
    <w:p>
      <w:pPr>
        <w:framePr w:w="2178" w:wrap="around" w:vAnchor="margin" w:hAnchor="text" w:x="7482" w:y="86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95368</w:t>
      </w:r>
    </w:p>
    <w:p>
      <w:pPr>
        <w:framePr w:w="3020"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www.hlzq.com</w:t>
      </w:r>
    </w:p>
    <w:p>
      <w:pPr>
        <w:framePr w:w="3020" w:wrap="around" w:vAnchor="margin" w:hAnchor="text" w:x="7482" w:y="961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注册地址：深圳市福田区莲花</w:t>
      </w:r>
    </w:p>
    <w:p>
      <w:pPr>
        <w:framePr w:w="3020"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街道福中社区深南大道 </w:t>
      </w:r>
      <w:r>
        <w:rPr>
          <w:rFonts w:ascii="Times New Roman"/>
          <w:color w:val="000000"/>
          <w:spacing w:val="0"/>
          <w:sz w:val="21"/>
        </w:rPr>
        <w:t xml:space="preserve"> 2008</w:t>
      </w:r>
    </w:p>
    <w:p>
      <w:pPr>
        <w:framePr w:w="3020" w:wrap="around" w:vAnchor="margin" w:hAnchor="text" w:x="7482" w:y="9611"/>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 xml:space="preserve">号中国凤凰大厦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20C-1</w:t>
      </w:r>
    </w:p>
    <w:p>
      <w:pPr>
        <w:framePr w:w="3020"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房</w:t>
      </w:r>
    </w:p>
    <w:p>
      <w:pPr>
        <w:framePr w:w="3020" w:wrap="around" w:vAnchor="margin" w:hAnchor="text" w:x="7482"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办公地址：上海市徐汇区宛平</w:t>
      </w:r>
    </w:p>
    <w:p>
      <w:pPr>
        <w:framePr w:w="3020" w:wrap="around" w:vAnchor="margin" w:hAnchor="text" w:x="7482"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w:t>
      </w:r>
      <w:r>
        <w:rPr>
          <w:rFonts w:ascii="SKJVQB+å®ä½" w:hAnsi="SKJVQB+å®ä½" w:cs="SKJVQB+å®ä½"/>
          <w:color w:val="000000"/>
          <w:spacing w:val="0"/>
          <w:sz w:val="21"/>
        </w:rPr>
        <w:t>号</w:t>
      </w:r>
    </w:p>
    <w:p>
      <w:pPr>
        <w:framePr w:w="1998"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法定代表人：俞洋</w:t>
      </w:r>
    </w:p>
    <w:p>
      <w:pPr>
        <w:framePr w:w="1789" w:wrap="around" w:vAnchor="margin" w:hAnchor="text" w:x="7482"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联系人：杨莉娟</w:t>
      </w:r>
    </w:p>
    <w:p>
      <w:pPr>
        <w:framePr w:w="3266"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021-54967552</w:t>
      </w:r>
    </w:p>
    <w:p>
      <w:pPr>
        <w:framePr w:w="3266"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021-54967032</w:t>
      </w:r>
    </w:p>
    <w:p>
      <w:pPr>
        <w:framePr w:w="3266"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95323</w:t>
      </w:r>
      <w:r>
        <w:rPr>
          <w:rFonts w:ascii="SKJVQB+å®ä½" w:hAnsi="SKJVQB+å®ä½" w:cs="SKJVQB+å®ä½"/>
          <w:color w:val="000000"/>
          <w:spacing w:val="0"/>
          <w:sz w:val="21"/>
        </w:rPr>
        <w:t>，</w:t>
      </w:r>
      <w:r>
        <w:rPr>
          <w:rFonts w:ascii="Times New Roman"/>
          <w:color w:val="000000"/>
          <w:spacing w:val="0"/>
          <w:sz w:val="21"/>
        </w:rPr>
        <w:t>4001099918</w:t>
      </w:r>
    </w:p>
    <w:p>
      <w:pPr>
        <w:framePr w:w="3266"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www.cfsc.com.cn</w:t>
      </w:r>
    </w:p>
    <w:p>
      <w:pPr>
        <w:framePr w:w="3266" w:wrap="around" w:vAnchor="margin" w:hAnchor="text" w:x="7482" w:y="1243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注册地址：沈阳市和平区光荣</w:t>
      </w:r>
    </w:p>
    <w:p>
      <w:pPr>
        <w:framePr w:w="3266"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23</w:t>
      </w:r>
      <w:r>
        <w:rPr>
          <w:rFonts w:ascii="SKJVQB+å®ä½" w:hAnsi="SKJVQB+å®ä½" w:cs="SKJVQB+å®ä½"/>
          <w:color w:val="000000"/>
          <w:spacing w:val="0"/>
          <w:sz w:val="21"/>
        </w:rPr>
        <w:t>甲</w:t>
      </w:r>
    </w:p>
    <w:p>
      <w:pPr>
        <w:framePr w:w="526" w:wrap="around" w:vAnchor="margin" w:hAnchor="text" w:x="4213" w:y="1368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53</w:t>
      </w:r>
    </w:p>
    <w:p>
      <w:pPr>
        <w:framePr w:w="2418" w:wrap="around" w:vAnchor="margin" w:hAnchor="text" w:x="4640"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中天证券股份有限公司</w:t>
      </w:r>
    </w:p>
    <w:p>
      <w:pPr>
        <w:framePr w:w="3020" w:wrap="around" w:vAnchor="margin" w:hAnchor="text" w:x="7482"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办公地址：沈阳市和平区南五</w:t>
      </w:r>
    </w:p>
    <w:p>
      <w:pPr>
        <w:framePr w:w="3020" w:wrap="around" w:vAnchor="margin" w:hAnchor="text" w:x="7482"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马路</w:t>
      </w:r>
      <w:r>
        <w:rPr>
          <w:rFonts w:ascii="Times New Roman"/>
          <w:color w:val="000000"/>
          <w:spacing w:val="0"/>
          <w:sz w:val="21"/>
        </w:rPr>
        <w:t>121</w:t>
      </w:r>
      <w:r>
        <w:rPr>
          <w:rFonts w:ascii="SKJVQB+å®ä½" w:hAnsi="SKJVQB+å®ä½" w:cs="SKJVQB+å®ä½"/>
          <w:color w:val="000000"/>
          <w:spacing w:val="0"/>
          <w:sz w:val="21"/>
        </w:rPr>
        <w:t>号万丽城晶座</w:t>
      </w:r>
      <w:r>
        <w:rPr>
          <w:rFonts w:ascii="Times New Roman"/>
          <w:color w:val="000000"/>
          <w:spacing w:val="0"/>
          <w:sz w:val="21"/>
        </w:rPr>
        <w:t>4</w:t>
      </w:r>
      <w:r>
        <w:rPr>
          <w:rFonts w:ascii="SKJVQB+å®ä½" w:hAnsi="SKJVQB+å®ä½" w:cs="SKJVQB+å®ä½"/>
          <w:color w:val="000000"/>
          <w:spacing w:val="0"/>
          <w:sz w:val="21"/>
        </w:rPr>
        <w:t>楼中</w:t>
      </w:r>
    </w:p>
    <w:p>
      <w:pPr>
        <w:framePr w:w="3020" w:wrap="around" w:vAnchor="margin" w:hAnchor="text" w:x="7482"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天证券经纪事业部</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48</w:t>
      </w:r>
    </w:p>
    <w:p>
      <w:pPr>
        <w:spacing w:before="0" w:after="0" w:line="0" w:lineRule="exact"/>
        <w:ind w:left="0" w:right="0"/>
        <w:jc w:val="left"/>
        <w:rPr>
          <w:rFonts w:ascii="Arial"/>
          <w:color w:val="FF0000"/>
          <w:spacing w:val="0"/>
          <w:sz w:val="2"/>
        </w:rPr>
      </w:pPr>
      <w:r>
        <w:pict>
          <v:shape id="_x0000101" o:spid="_x0000_s112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81" o:title=""/>
            <o:lock v:ext="edit" aspectratio="t"/>
          </v:shape>
        </w:pict>
      </w:r>
      <w:r>
        <w:pict>
          <v:shape id="_x0000102" o:spid="_x0000_s112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8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0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法定代表人：马功勋</w:t>
      </w:r>
    </w:p>
    <w:p>
      <w:pPr>
        <w:framePr w:w="2209"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联系人：李泓灏</w:t>
      </w:r>
    </w:p>
    <w:p>
      <w:pPr>
        <w:framePr w:w="2820"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024-23280806</w:t>
      </w:r>
    </w:p>
    <w:p>
      <w:pPr>
        <w:framePr w:w="2820"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024-95346</w:t>
      </w:r>
    </w:p>
    <w:p>
      <w:pPr>
        <w:framePr w:w="2820"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http://www.iztzq.com</w:t>
      </w:r>
    </w:p>
    <w:p>
      <w:pPr>
        <w:framePr w:w="526" w:wrap="around" w:vAnchor="margin" w:hAnchor="text" w:x="4213"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54</w:t>
      </w:r>
    </w:p>
    <w:p>
      <w:pPr>
        <w:framePr w:w="1998"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五矿证券有限公司</w:t>
      </w:r>
    </w:p>
    <w:p>
      <w:pPr>
        <w:framePr w:w="3021"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注册地址：深圳市福田区金田</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4028</w:t>
      </w:r>
      <w:r>
        <w:rPr>
          <w:rFonts w:ascii="SKJVQB+å®ä½" w:hAnsi="SKJVQB+å®ä½" w:cs="SKJVQB+å®ä½"/>
          <w:color w:val="000000"/>
          <w:spacing w:val="0"/>
          <w:sz w:val="21"/>
        </w:rPr>
        <w:t>号荣超经贸中心办公</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47</w:t>
      </w:r>
      <w:r>
        <w:rPr>
          <w:rFonts w:ascii="SKJVQB+å®ä½" w:hAnsi="SKJVQB+å®ä½" w:cs="SKJVQB+å®ä½"/>
          <w:color w:val="000000"/>
          <w:spacing w:val="0"/>
          <w:sz w:val="21"/>
        </w:rPr>
        <w:t xml:space="preserve">层  </w:t>
      </w:r>
      <w:r>
        <w:rPr>
          <w:rFonts w:ascii="Times New Roman"/>
          <w:color w:val="000000"/>
          <w:spacing w:val="0"/>
          <w:sz w:val="21"/>
        </w:rPr>
        <w:t>01</w:t>
      </w:r>
      <w:r>
        <w:rPr>
          <w:rFonts w:ascii="SKJVQB+å®ä½" w:hAnsi="SKJVQB+å®ä½" w:cs="SKJVQB+å®ä½"/>
          <w:color w:val="000000"/>
          <w:spacing w:val="0"/>
          <w:sz w:val="21"/>
        </w:rPr>
        <w:t>单元</w:t>
      </w:r>
    </w:p>
    <w:p>
      <w:pPr>
        <w:framePr w:w="3021"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办公地址：深圳市福田区金田</w:t>
      </w:r>
    </w:p>
    <w:p>
      <w:pPr>
        <w:framePr w:w="3021"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4028</w:t>
      </w:r>
      <w:r>
        <w:rPr>
          <w:rFonts w:ascii="SKJVQB+å®ä½" w:hAnsi="SKJVQB+å®ä½" w:cs="SKJVQB+å®ä½"/>
          <w:color w:val="000000"/>
          <w:spacing w:val="0"/>
          <w:sz w:val="21"/>
        </w:rPr>
        <w:t>号荣超经贸中心办公</w:t>
      </w:r>
    </w:p>
    <w:p>
      <w:pPr>
        <w:framePr w:w="3021" w:wrap="around" w:vAnchor="margin" w:hAnchor="text" w:x="7482" w:y="399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47</w:t>
      </w:r>
      <w:r>
        <w:rPr>
          <w:rFonts w:ascii="SKJVQB+å®ä½" w:hAnsi="SKJVQB+å®ä½" w:cs="SKJVQB+å®ä½"/>
          <w:color w:val="000000"/>
          <w:spacing w:val="0"/>
          <w:sz w:val="21"/>
        </w:rPr>
        <w:t xml:space="preserve">层  </w:t>
      </w:r>
      <w:r>
        <w:rPr>
          <w:rFonts w:ascii="Times New Roman"/>
          <w:color w:val="000000"/>
          <w:spacing w:val="0"/>
          <w:sz w:val="21"/>
        </w:rPr>
        <w:t>01</w:t>
      </w:r>
      <w:r>
        <w:rPr>
          <w:rFonts w:ascii="SKJVQB+å®ä½" w:hAnsi="SKJVQB+å®ä½" w:cs="SKJVQB+å®ä½"/>
          <w:color w:val="000000"/>
          <w:spacing w:val="0"/>
          <w:sz w:val="21"/>
        </w:rPr>
        <w:t>单元</w:t>
      </w:r>
    </w:p>
    <w:p>
      <w:pPr>
        <w:framePr w:w="2209"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法定代表人：赵立功</w:t>
      </w:r>
    </w:p>
    <w:p>
      <w:pPr>
        <w:framePr w:w="2209"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联系人：马国栋</w:t>
      </w:r>
    </w:p>
    <w:p>
      <w:pPr>
        <w:framePr w:w="3020"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0755-82560892</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0755-82545500</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40018-40028</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www.wkzq.com.cn</w:t>
      </w:r>
    </w:p>
    <w:p>
      <w:pPr>
        <w:framePr w:w="3020"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19</w:t>
      </w:r>
      <w:r>
        <w:rPr>
          <w:rFonts w:ascii="SKJVQB+å®ä½" w:hAnsi="SKJVQB+å®ä½" w:cs="SKJVQB+å®ä½"/>
          <w:color w:val="000000"/>
          <w:spacing w:val="0"/>
          <w:sz w:val="21"/>
        </w:rPr>
        <w:t xml:space="preserve">号富凯大厦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 xml:space="preserve"> 701</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办公地址：北京市西城区新街</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口外大街 </w:t>
      </w:r>
      <w:r>
        <w:rPr>
          <w:rFonts w:ascii="Times New Roman"/>
          <w:color w:val="000000"/>
          <w:spacing w:val="0"/>
          <w:sz w:val="21"/>
        </w:rPr>
        <w:t>28</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法定代表人：林义相</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联系人：谭磊</w:t>
      </w:r>
    </w:p>
    <w:p>
      <w:pPr>
        <w:framePr w:w="526" w:wrap="around" w:vAnchor="margin" w:hAnchor="text" w:x="4213"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55</w:t>
      </w:r>
    </w:p>
    <w:p>
      <w:pPr>
        <w:framePr w:w="2418"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天相投资顾问有限公司</w:t>
      </w:r>
    </w:p>
    <w:p>
      <w:pPr>
        <w:framePr w:w="2626" w:wrap="around" w:vAnchor="margin" w:hAnchor="text" w:x="7482" w:y="86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010-66045678</w:t>
      </w:r>
    </w:p>
    <w:p>
      <w:pPr>
        <w:framePr w:w="2626" w:wrap="around" w:vAnchor="margin" w:hAnchor="text" w:x="7482" w:y="86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010-66045518</w:t>
      </w:r>
    </w:p>
    <w:p>
      <w:pPr>
        <w:framePr w:w="2847"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http://www.txsec.com</w:t>
      </w:r>
    </w:p>
    <w:p>
      <w:pPr>
        <w:framePr w:w="2847"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公司基金网网址：</w:t>
      </w:r>
    </w:p>
    <w:p>
      <w:pPr>
        <w:framePr w:w="2112" w:wrap="around" w:vAnchor="margin" w:hAnchor="text" w:x="7482" w:y="992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http://jijin.txsec.com/</w:t>
      </w:r>
    </w:p>
    <w:p>
      <w:pPr>
        <w:framePr w:w="526" w:wrap="around" w:vAnchor="margin" w:hAnchor="text" w:x="4213" w:y="1024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56</w:t>
      </w:r>
    </w:p>
    <w:p>
      <w:pPr>
        <w:framePr w:w="2418" w:wrap="around" w:vAnchor="margin" w:hAnchor="text" w:x="4746"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粤开证券股份有限公司</w:t>
      </w:r>
    </w:p>
    <w:p>
      <w:pPr>
        <w:framePr w:w="3021" w:wrap="around" w:vAnchor="margin" w:hAnchor="text" w:x="7482" w:y="10253"/>
        <w:widowControl w:val="0"/>
        <w:autoSpaceDE w:val="0"/>
        <w:autoSpaceDN w:val="0"/>
        <w:spacing w:before="0" w:after="0" w:line="211" w:lineRule="exact"/>
        <w:ind w:left="106" w:right="0"/>
        <w:jc w:val="left"/>
        <w:rPr>
          <w:rFonts w:ascii="SKJVQB+å®ä½" w:hAnsi="SKJVQB+å®ä½" w:cs="SKJVQB+å®ä½"/>
          <w:color w:val="000000"/>
          <w:spacing w:val="0"/>
          <w:sz w:val="21"/>
        </w:rPr>
      </w:pPr>
      <w:r>
        <w:rPr>
          <w:rFonts w:ascii="SKJVQB+å®ä½" w:hAnsi="SKJVQB+å®ä½" w:cs="SKJVQB+å®ä½"/>
          <w:color w:val="000000"/>
          <w:spacing w:val="0"/>
          <w:sz w:val="21"/>
        </w:rPr>
        <w:t>注册地址：惠州市江北东江</w:t>
      </w:r>
    </w:p>
    <w:p>
      <w:pPr>
        <w:framePr w:w="3021" w:wrap="around" w:vAnchor="margin" w:hAnchor="text" w:x="7482" w:y="1025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55</w:t>
      </w:r>
      <w:r>
        <w:rPr>
          <w:rFonts w:ascii="SKJVQB+å®ä½" w:hAnsi="SKJVQB+å®ä½" w:cs="SKJVQB+å®ä½"/>
          <w:color w:val="000000"/>
          <w:spacing w:val="0"/>
          <w:sz w:val="21"/>
        </w:rPr>
        <w:t>号广播电视新闻中心</w:t>
      </w:r>
    </w:p>
    <w:p>
      <w:pPr>
        <w:framePr w:w="3021" w:wrap="around" w:vAnchor="margin" w:hAnchor="text" w:x="7482" w:y="102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西面一层大堂和三、四层</w:t>
      </w:r>
    </w:p>
    <w:p>
      <w:pPr>
        <w:framePr w:w="3021" w:wrap="around" w:vAnchor="margin" w:hAnchor="text" w:x="7482" w:y="10253"/>
        <w:widowControl w:val="0"/>
        <w:autoSpaceDE w:val="0"/>
        <w:autoSpaceDN w:val="0"/>
        <w:spacing w:before="0" w:after="0" w:line="312" w:lineRule="exact"/>
        <w:ind w:left="106"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办公地址：北京市朝阳区红</w:t>
      </w:r>
    </w:p>
    <w:p>
      <w:pPr>
        <w:framePr w:w="3021" w:wrap="around" w:vAnchor="margin" w:hAnchor="text" w:x="7482" w:y="102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军营南路天畅园 </w:t>
      </w:r>
      <w:r>
        <w:rPr>
          <w:rFonts w:ascii="Times New Roman"/>
          <w:color w:val="000000"/>
          <w:spacing w:val="0"/>
          <w:sz w:val="21"/>
        </w:rPr>
        <w:t>6</w:t>
      </w:r>
      <w:r>
        <w:rPr>
          <w:rFonts w:ascii="SKJVQB+å®ä½" w:hAnsi="SKJVQB+å®ä½" w:cs="SKJVQB+å®ä½"/>
          <w:color w:val="000000"/>
          <w:spacing w:val="0"/>
          <w:sz w:val="21"/>
        </w:rPr>
        <w:t>号楼</w:t>
      </w:r>
    </w:p>
    <w:p>
      <w:pPr>
        <w:framePr w:w="3021" w:wrap="around" w:vAnchor="margin" w:hAnchor="text" w:x="7482" w:y="10253"/>
        <w:widowControl w:val="0"/>
        <w:autoSpaceDE w:val="0"/>
        <w:autoSpaceDN w:val="0"/>
        <w:spacing w:before="0" w:after="0" w:line="312" w:lineRule="exact"/>
        <w:ind w:left="106"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法定代表人：严亦斌</w:t>
      </w:r>
    </w:p>
    <w:p>
      <w:pPr>
        <w:framePr w:w="3021" w:wrap="around" w:vAnchor="margin" w:hAnchor="text" w:x="7482" w:y="10253"/>
        <w:widowControl w:val="0"/>
        <w:autoSpaceDE w:val="0"/>
        <w:autoSpaceDN w:val="0"/>
        <w:spacing w:before="0" w:after="0" w:line="312" w:lineRule="exact"/>
        <w:ind w:left="106" w:right="0"/>
        <w:jc w:val="left"/>
        <w:rPr>
          <w:rFonts w:ascii="SKJVQB+å®ä½" w:hAnsi="SKJVQB+å®ä½" w:cs="SKJVQB+å®ä½"/>
          <w:color w:val="000000"/>
          <w:spacing w:val="0"/>
          <w:sz w:val="21"/>
        </w:rPr>
      </w:pPr>
      <w:r>
        <w:rPr>
          <w:rFonts w:ascii="SKJVQB+å®ä½" w:hAnsi="SKJVQB+å®ä½" w:cs="SKJVQB+å®ä½"/>
          <w:color w:val="000000"/>
          <w:spacing w:val="0"/>
          <w:sz w:val="21"/>
        </w:rPr>
        <w:t>联系人：郭晴</w:t>
      </w:r>
    </w:p>
    <w:p>
      <w:pPr>
        <w:framePr w:w="2623" w:wrap="around" w:vAnchor="margin" w:hAnchor="text" w:x="7588"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010-64408842</w:t>
      </w:r>
    </w:p>
    <w:p>
      <w:pPr>
        <w:framePr w:w="2623" w:wrap="around" w:vAnchor="margin" w:hAnchor="text" w:x="7588"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客户服务电话：</w:t>
      </w:r>
      <w:r>
        <w:rPr>
          <w:rFonts w:ascii="Times New Roman"/>
          <w:color w:val="000000"/>
          <w:spacing w:val="0"/>
          <w:sz w:val="21"/>
        </w:rPr>
        <w:t>95564</w:t>
      </w:r>
    </w:p>
    <w:p>
      <w:pPr>
        <w:framePr w:w="2623" w:wrap="around" w:vAnchor="margin" w:hAnchor="text" w:x="7588"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公司网址：</w:t>
      </w:r>
    </w:p>
    <w:p>
      <w:pPr>
        <w:framePr w:w="2133" w:wrap="around" w:vAnchor="margin" w:hAnchor="text" w:x="7482" w:y="1336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http://www.ykzq.com</w:t>
      </w:r>
    </w:p>
    <w:p>
      <w:pPr>
        <w:framePr w:w="526" w:wrap="around" w:vAnchor="margin" w:hAnchor="text" w:x="4213" w:y="1399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57</w:t>
      </w:r>
    </w:p>
    <w:p>
      <w:pPr>
        <w:framePr w:w="2418" w:wrap="around" w:vAnchor="margin" w:hAnchor="text" w:x="4640"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开源证券股份有限公司</w:t>
      </w:r>
    </w:p>
    <w:p>
      <w:pPr>
        <w:framePr w:w="3020"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注册地址：西安市高新区锦业</w:t>
      </w:r>
    </w:p>
    <w:p>
      <w:pPr>
        <w:framePr w:w="3020"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号都市之门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3020"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办公地址：西安市高新区锦业</w:t>
      </w:r>
    </w:p>
    <w:p>
      <w:pPr>
        <w:framePr w:w="3020"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号都市之门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49</w:t>
      </w:r>
    </w:p>
    <w:p>
      <w:pPr>
        <w:spacing w:before="0" w:after="0" w:line="0" w:lineRule="exact"/>
        <w:ind w:left="0" w:right="0"/>
        <w:jc w:val="left"/>
        <w:rPr>
          <w:rFonts w:ascii="Arial"/>
          <w:color w:val="FF0000"/>
          <w:spacing w:val="0"/>
          <w:sz w:val="2"/>
        </w:rPr>
      </w:pPr>
      <w:r>
        <w:pict>
          <v:shape id="_x0000103" o:spid="_x0000_s112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88" o:title=""/>
            <o:lock v:ext="edit" aspectratio="t"/>
          </v:shape>
        </w:pict>
      </w:r>
      <w:r>
        <w:pict>
          <v:shape id="_x0000104" o:spid="_x0000_s113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8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998"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法定代表人：李刚</w:t>
      </w:r>
    </w:p>
    <w:p>
      <w:pPr>
        <w:framePr w:w="1998"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联系人：张梦薇</w:t>
      </w:r>
    </w:p>
    <w:p>
      <w:pPr>
        <w:framePr w:w="2178"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029-88365805</w:t>
      </w:r>
    </w:p>
    <w:p>
      <w:pPr>
        <w:framePr w:w="2178"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029-88365835</w:t>
      </w:r>
    </w:p>
    <w:p>
      <w:pPr>
        <w:framePr w:w="2178"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95325</w:t>
      </w:r>
    </w:p>
    <w:p>
      <w:pPr>
        <w:framePr w:w="2178"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www.kysec.cn</w:t>
      </w:r>
    </w:p>
    <w:p>
      <w:pPr>
        <w:framePr w:w="526" w:wrap="around" w:vAnchor="margin" w:hAnchor="text" w:x="4213" w:y="335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58</w:t>
      </w:r>
    </w:p>
    <w:p>
      <w:pPr>
        <w:framePr w:w="2661" w:wrap="around" w:vAnchor="margin" w:hAnchor="text" w:x="4640"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太平洋证券股份有限公司</w:t>
      </w:r>
    </w:p>
    <w:p>
      <w:pPr>
        <w:framePr w:w="3020"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注册地址：云南省昆明市青年</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389</w:t>
      </w:r>
      <w:r>
        <w:rPr>
          <w:rFonts w:ascii="SKJVQB+å®ä½" w:hAnsi="SKJVQB+å®ä½" w:cs="SKJVQB+å®ä½"/>
          <w:color w:val="000000"/>
          <w:spacing w:val="0"/>
          <w:sz w:val="21"/>
        </w:rPr>
        <w:t xml:space="preserve">号志远大厦  </w:t>
      </w:r>
      <w:r>
        <w:rPr>
          <w:rFonts w:ascii="Times New Roman"/>
          <w:color w:val="000000"/>
          <w:spacing w:val="0"/>
          <w:sz w:val="21"/>
        </w:rPr>
        <w:t>18</w:t>
      </w:r>
      <w:r>
        <w:rPr>
          <w:rFonts w:ascii="SKJVQB+å®ä½" w:hAnsi="SKJVQB+å®ä½" w:cs="SKJVQB+å®ä½"/>
          <w:color w:val="000000"/>
          <w:spacing w:val="0"/>
          <w:sz w:val="21"/>
        </w:rPr>
        <w:t>层</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办公地址：北京市西城区北展</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北街九号华远企业号 </w:t>
      </w:r>
      <w:r>
        <w:rPr>
          <w:rFonts w:ascii="Times New Roman"/>
          <w:color w:val="000000"/>
          <w:spacing w:val="0"/>
          <w:sz w:val="21"/>
        </w:rPr>
        <w:t>D</w:t>
      </w:r>
      <w:r>
        <w:rPr>
          <w:rFonts w:ascii="SKJVQB+å®ä½" w:hAnsi="SKJVQB+å®ä½" w:cs="SKJVQB+å®ä½"/>
          <w:color w:val="000000"/>
          <w:spacing w:val="0"/>
          <w:sz w:val="21"/>
        </w:rPr>
        <w:t>座三</w:t>
      </w:r>
    </w:p>
    <w:p>
      <w:pPr>
        <w:framePr w:w="3020" w:wrap="around" w:vAnchor="margin" w:hAnchor="text" w:x="7482" w:y="3367"/>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framePr w:w="2312"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法定代表人：李长伟</w:t>
      </w:r>
    </w:p>
    <w:p>
      <w:pPr>
        <w:framePr w:w="2312"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联系人：王婧</w:t>
      </w:r>
    </w:p>
    <w:p>
      <w:pPr>
        <w:framePr w:w="3020"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010-88695182</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010-88321763</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400-665-0999</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www.tpyzq.com</w:t>
      </w:r>
    </w:p>
    <w:p>
      <w:pPr>
        <w:framePr w:w="3020"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注册地址：四川省成都市锦江</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区人民南路二段 </w:t>
      </w:r>
      <w:r>
        <w:rPr>
          <w:rFonts w:ascii="Times New Roman"/>
          <w:color w:val="000000"/>
          <w:spacing w:val="0"/>
          <w:sz w:val="21"/>
        </w:rPr>
        <w:t>18</w:t>
      </w:r>
      <w:r>
        <w:rPr>
          <w:rFonts w:ascii="SKJVQB+å®ä½" w:hAnsi="SKJVQB+å®ä½" w:cs="SKJVQB+å®ä½"/>
          <w:color w:val="000000"/>
          <w:spacing w:val="0"/>
          <w:sz w:val="21"/>
        </w:rPr>
        <w:t>号川信大</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10</w:t>
      </w:r>
      <w:r>
        <w:rPr>
          <w:rFonts w:ascii="SKJVQB+å®ä½" w:hAnsi="SKJVQB+å®ä½" w:cs="SKJVQB+å®ä½"/>
          <w:color w:val="000000"/>
          <w:spacing w:val="0"/>
          <w:sz w:val="21"/>
        </w:rPr>
        <w:t>楼</w:t>
      </w:r>
    </w:p>
    <w:p>
      <w:pPr>
        <w:framePr w:w="526" w:wrap="around" w:vAnchor="margin" w:hAnchor="text" w:x="4213"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59</w:t>
      </w:r>
    </w:p>
    <w:p>
      <w:pPr>
        <w:framePr w:w="2418"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宏信证券有限责任公司</w:t>
      </w:r>
    </w:p>
    <w:p>
      <w:pPr>
        <w:framePr w:w="3020"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办公地址：四川省成都市锦江</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区人民南路二段 </w:t>
      </w:r>
      <w:r>
        <w:rPr>
          <w:rFonts w:ascii="Times New Roman"/>
          <w:color w:val="000000"/>
          <w:spacing w:val="0"/>
          <w:sz w:val="21"/>
        </w:rPr>
        <w:t>18</w:t>
      </w:r>
      <w:r>
        <w:rPr>
          <w:rFonts w:ascii="SKJVQB+å®ä½" w:hAnsi="SKJVQB+å®ä½" w:cs="SKJVQB+å®ä½"/>
          <w:color w:val="000000"/>
          <w:spacing w:val="0"/>
          <w:sz w:val="21"/>
        </w:rPr>
        <w:t>号川信大</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10</w:t>
      </w:r>
      <w:r>
        <w:rPr>
          <w:rFonts w:ascii="SKJVQB+å®ä½" w:hAnsi="SKJVQB+å®ä½" w:cs="SKJVQB+å®ä½"/>
          <w:color w:val="000000"/>
          <w:spacing w:val="0"/>
          <w:sz w:val="21"/>
        </w:rPr>
        <w:t>楼</w:t>
      </w:r>
    </w:p>
    <w:p>
      <w:pPr>
        <w:framePr w:w="2209"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法定代表人：吴玉明</w:t>
      </w:r>
    </w:p>
    <w:p>
      <w:pPr>
        <w:framePr w:w="2209"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联系人：张鋆</w:t>
      </w:r>
    </w:p>
    <w:p>
      <w:pPr>
        <w:framePr w:w="2178"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010-64083702</w:t>
      </w:r>
    </w:p>
    <w:p>
      <w:pPr>
        <w:framePr w:w="2178"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028-86199382</w:t>
      </w:r>
    </w:p>
    <w:p>
      <w:pPr>
        <w:framePr w:w="2178"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95304</w:t>
      </w:r>
    </w:p>
    <w:p>
      <w:pPr>
        <w:framePr w:w="3020"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www.hxzq.cn</w:t>
      </w:r>
    </w:p>
    <w:p>
      <w:pPr>
        <w:framePr w:w="3020" w:wrap="around" w:vAnchor="margin" w:hAnchor="text" w:x="7482" w:y="10235"/>
        <w:widowControl w:val="0"/>
        <w:autoSpaceDE w:val="0"/>
        <w:autoSpaceDN w:val="0"/>
        <w:spacing w:before="0" w:after="0" w:line="325"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注册地址：湖北省武汉市东湖</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新技术开发区关东园路 </w:t>
      </w:r>
      <w:r>
        <w:rPr>
          <w:rFonts w:ascii="Times New Roman"/>
          <w:color w:val="000000"/>
          <w:spacing w:val="0"/>
          <w:sz w:val="21"/>
        </w:rPr>
        <w:t>2</w:t>
      </w:r>
      <w:r>
        <w:rPr>
          <w:rFonts w:ascii="SKJVQB+å®ä½" w:hAnsi="SKJVQB+å®ä½" w:cs="SKJVQB+å®ä½"/>
          <w:color w:val="000000"/>
          <w:spacing w:val="0"/>
          <w:sz w:val="21"/>
        </w:rPr>
        <w:t>号</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高科大厦四楼</w:t>
      </w:r>
    </w:p>
    <w:p>
      <w:pPr>
        <w:framePr w:w="526" w:wrap="around" w:vAnchor="margin" w:hAnchor="text" w:x="4213" w:y="105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60</w:t>
      </w:r>
    </w:p>
    <w:p>
      <w:pPr>
        <w:framePr w:w="2418" w:wrap="around" w:vAnchor="margin" w:hAnchor="text" w:x="4640"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天风证券股份有限公司</w:t>
      </w:r>
    </w:p>
    <w:p>
      <w:pPr>
        <w:framePr w:w="3020"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办公地址：湖北省武汉市武</w:t>
      </w:r>
    </w:p>
    <w:p>
      <w:pPr>
        <w:framePr w:w="3020" w:wrap="around" w:vAnchor="margin" w:hAnchor="text" w:x="7482" w:y="1150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昌区中南路 </w:t>
      </w:r>
      <w:r>
        <w:rPr>
          <w:rFonts w:ascii="Times New Roman"/>
          <w:color w:val="000000"/>
          <w:spacing w:val="0"/>
          <w:sz w:val="21"/>
        </w:rPr>
        <w:t>99</w:t>
      </w:r>
      <w:r>
        <w:rPr>
          <w:rFonts w:ascii="SKJVQB+å®ä½" w:hAnsi="SKJVQB+å®ä½" w:cs="SKJVQB+å®ä½"/>
          <w:color w:val="000000"/>
          <w:spacing w:val="0"/>
          <w:sz w:val="21"/>
        </w:rPr>
        <w:t xml:space="preserve">号保利广场  </w:t>
      </w:r>
      <w:r>
        <w:rPr>
          <w:rFonts w:ascii="Times New Roman"/>
          <w:color w:val="000000"/>
          <w:spacing w:val="0"/>
          <w:sz w:val="21"/>
        </w:rPr>
        <w:t xml:space="preserve"> A</w:t>
      </w:r>
    </w:p>
    <w:p>
      <w:pPr>
        <w:framePr w:w="3020"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座 </w:t>
      </w:r>
      <w:r>
        <w:rPr>
          <w:rFonts w:ascii="Times New Roman"/>
          <w:color w:val="000000"/>
          <w:spacing w:val="0"/>
          <w:sz w:val="21"/>
        </w:rPr>
        <w:t>48</w:t>
      </w:r>
      <w:r>
        <w:rPr>
          <w:rFonts w:ascii="SKJVQB+å®ä½" w:hAnsi="SKJVQB+å®ä½" w:cs="SKJVQB+å®ä½"/>
          <w:color w:val="000000"/>
          <w:spacing w:val="0"/>
          <w:sz w:val="21"/>
        </w:rPr>
        <w:t>楼</w:t>
      </w:r>
    </w:p>
    <w:p>
      <w:pPr>
        <w:framePr w:w="2104"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法定代表人：余磊</w:t>
      </w:r>
    </w:p>
    <w:p>
      <w:pPr>
        <w:framePr w:w="2104"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联系人：程晓英</w:t>
      </w:r>
    </w:p>
    <w:p>
      <w:pPr>
        <w:framePr w:w="2106" w:wrap="around" w:vAnchor="margin" w:hAnchor="text" w:x="7482" w:y="1305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18064091773</w:t>
      </w:r>
    </w:p>
    <w:p>
      <w:pPr>
        <w:framePr w:w="2106" w:wrap="around" w:vAnchor="margin" w:hAnchor="text" w:x="7482" w:y="1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传真：</w:t>
      </w:r>
    </w:p>
    <w:p>
      <w:pPr>
        <w:framePr w:w="2719" w:wrap="around" w:vAnchor="margin" w:hAnchor="text" w:x="7482" w:y="13680"/>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4008005000</w:t>
      </w:r>
      <w:r>
        <w:rPr>
          <w:rFonts w:ascii="SKJVQB+å®ä½" w:hAnsi="SKJVQB+å®ä½" w:cs="SKJVQB+å®ä½"/>
          <w:color w:val="000000"/>
          <w:spacing w:val="0"/>
          <w:sz w:val="21"/>
        </w:rPr>
        <w:t>或</w:t>
      </w:r>
    </w:p>
    <w:p>
      <w:pPr>
        <w:framePr w:w="2719" w:wrap="around" w:vAnchor="margin" w:hAnchor="text" w:x="7482" w:y="13680"/>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95391</w:t>
      </w:r>
    </w:p>
    <w:p>
      <w:pPr>
        <w:framePr w:w="3020" w:wrap="around" w:vAnchor="margin" w:hAnchor="text" w:x="7482" w:y="1430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www.tfzq.com</w:t>
      </w:r>
    </w:p>
    <w:p>
      <w:pPr>
        <w:framePr w:w="3020" w:wrap="around" w:vAnchor="margin" w:hAnchor="text" w:x="7482" w:y="14304"/>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注册地址：北京市西城区德</w:t>
      </w:r>
    </w:p>
    <w:p>
      <w:pPr>
        <w:framePr w:w="3020" w:wrap="around" w:vAnchor="margin" w:hAnchor="text" w:x="7482" w:y="1430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胜门外大街</w:t>
      </w:r>
      <w:r>
        <w:rPr>
          <w:rFonts w:ascii="Times New Roman"/>
          <w:color w:val="000000"/>
          <w:spacing w:val="0"/>
          <w:sz w:val="21"/>
        </w:rPr>
        <w:t>115</w:t>
      </w:r>
      <w:r>
        <w:rPr>
          <w:rFonts w:ascii="SKJVQB+å®ä½" w:hAnsi="SKJVQB+å®ä½" w:cs="SKJVQB+å®ä½"/>
          <w:color w:val="000000"/>
          <w:spacing w:val="0"/>
          <w:sz w:val="21"/>
        </w:rPr>
        <w:t>号德胜尚城</w:t>
      </w:r>
      <w:r>
        <w:rPr>
          <w:rFonts w:ascii="Times New Roman"/>
          <w:color w:val="000000"/>
          <w:spacing w:val="0"/>
          <w:sz w:val="21"/>
        </w:rPr>
        <w:t>E</w:t>
      </w:r>
    </w:p>
    <w:p>
      <w:pPr>
        <w:framePr w:w="526" w:wrap="around" w:vAnchor="margin" w:hAnchor="text" w:x="4213" w:y="1462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61</w:t>
      </w:r>
    </w:p>
    <w:p>
      <w:pPr>
        <w:framePr w:w="2418" w:wrap="around" w:vAnchor="margin" w:hAnchor="text" w:x="4640"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首创证券有限责任公司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50</w:t>
      </w:r>
    </w:p>
    <w:p>
      <w:pPr>
        <w:spacing w:before="0" w:after="0" w:line="0" w:lineRule="exact"/>
        <w:ind w:left="0" w:right="0"/>
        <w:jc w:val="left"/>
        <w:rPr>
          <w:rFonts w:ascii="Arial"/>
          <w:color w:val="FF0000"/>
          <w:spacing w:val="0"/>
          <w:sz w:val="2"/>
        </w:rPr>
      </w:pPr>
      <w:r>
        <w:pict>
          <v:shape id="_x0000105" o:spid="_x0000_s113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90" o:title=""/>
            <o:lock v:ext="edit" aspectratio="t"/>
          </v:shape>
        </w:pict>
      </w:r>
      <w:r>
        <w:pict>
          <v:shape id="_x0000106" o:spid="_x0000_s1132"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9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26"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座</w:t>
      </w:r>
    </w:p>
    <w:p>
      <w:pPr>
        <w:framePr w:w="3020"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办公地址：北京市西城区德</w:t>
      </w:r>
    </w:p>
    <w:p>
      <w:pPr>
        <w:framePr w:w="3020" w:wrap="around" w:vAnchor="margin" w:hAnchor="text" w:x="7482" w:y="179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胜门外大街</w:t>
      </w:r>
      <w:r>
        <w:rPr>
          <w:rFonts w:ascii="Times New Roman"/>
          <w:color w:val="000000"/>
          <w:spacing w:val="0"/>
          <w:sz w:val="21"/>
        </w:rPr>
        <w:t>115</w:t>
      </w:r>
      <w:r>
        <w:rPr>
          <w:rFonts w:ascii="SKJVQB+å®ä½" w:hAnsi="SKJVQB+å®ä½" w:cs="SKJVQB+å®ä½"/>
          <w:color w:val="000000"/>
          <w:spacing w:val="0"/>
          <w:sz w:val="21"/>
        </w:rPr>
        <w:t>号德胜尚城</w:t>
      </w:r>
      <w:r>
        <w:rPr>
          <w:rFonts w:ascii="Times New Roman"/>
          <w:color w:val="000000"/>
          <w:spacing w:val="0"/>
          <w:sz w:val="21"/>
        </w:rPr>
        <w:t>E</w:t>
      </w:r>
    </w:p>
    <w:p>
      <w:pPr>
        <w:framePr w:w="3020"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座</w:t>
      </w:r>
    </w:p>
    <w:p>
      <w:pPr>
        <w:framePr w:w="2209" w:wrap="around" w:vAnchor="margin" w:hAnchor="text" w:x="7482" w:y="27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法定代表人：毕劲松</w:t>
      </w:r>
    </w:p>
    <w:p>
      <w:pPr>
        <w:framePr w:w="2209" w:wrap="around" w:vAnchor="margin" w:hAnchor="text" w:x="7482" w:y="27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联系人：刘宇</w:t>
      </w:r>
    </w:p>
    <w:p>
      <w:pPr>
        <w:framePr w:w="2588"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010-59366070</w:t>
      </w:r>
    </w:p>
    <w:p>
      <w:pPr>
        <w:framePr w:w="2588"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010-59366055</w:t>
      </w:r>
    </w:p>
    <w:p>
      <w:pPr>
        <w:framePr w:w="2588"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400-620-0620</w:t>
      </w:r>
    </w:p>
    <w:p>
      <w:pPr>
        <w:framePr w:w="2588"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www.sczq.com.cn</w:t>
      </w:r>
    </w:p>
    <w:p>
      <w:pPr>
        <w:framePr w:w="526" w:wrap="around" w:vAnchor="margin" w:hAnchor="text" w:x="4213" w:y="460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62</w:t>
      </w:r>
    </w:p>
    <w:p>
      <w:pPr>
        <w:framePr w:w="2418" w:wrap="around" w:vAnchor="margin" w:hAnchor="text" w:x="4640"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联储证券有限责任公司</w:t>
      </w:r>
    </w:p>
    <w:p>
      <w:pPr>
        <w:framePr w:w="3020"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注册地址：深圳市福田区深</w:t>
      </w:r>
    </w:p>
    <w:p>
      <w:pPr>
        <w:framePr w:w="3020" w:wrap="around" w:vAnchor="margin" w:hAnchor="text" w:x="7482" w:y="46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南大道南侧金地中心大厦 </w:t>
      </w:r>
      <w:r>
        <w:rPr>
          <w:rFonts w:ascii="Times New Roman"/>
          <w:color w:val="000000"/>
          <w:spacing w:val="0"/>
          <w:sz w:val="21"/>
        </w:rPr>
        <w:t xml:space="preserve"> 9</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3020" w:wrap="around" w:vAnchor="margin" w:hAnchor="text" w:x="7482" w:y="555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办公地址：北京市朝阳区安</w:t>
      </w:r>
    </w:p>
    <w:p>
      <w:pPr>
        <w:framePr w:w="3020" w:wrap="around" w:vAnchor="margin" w:hAnchor="text" w:x="7482" w:y="555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定路</w:t>
      </w:r>
      <w:r>
        <w:rPr>
          <w:rFonts w:ascii="Times New Roman"/>
          <w:color w:val="000000"/>
          <w:spacing w:val="0"/>
          <w:sz w:val="21"/>
        </w:rPr>
        <w:t>5</w:t>
      </w:r>
      <w:r>
        <w:rPr>
          <w:rFonts w:ascii="SKJVQB+å®ä½" w:hAnsi="SKJVQB+å®ä½" w:cs="SKJVQB+å®ä½"/>
          <w:color w:val="000000"/>
          <w:spacing w:val="0"/>
          <w:sz w:val="21"/>
        </w:rPr>
        <w:t>号院</w:t>
      </w:r>
      <w:r>
        <w:rPr>
          <w:rFonts w:ascii="Times New Roman"/>
          <w:color w:val="000000"/>
          <w:spacing w:val="0"/>
          <w:sz w:val="21"/>
        </w:rPr>
        <w:t>3</w:t>
      </w:r>
      <w:r>
        <w:rPr>
          <w:rFonts w:ascii="SKJVQB+å®ä½" w:hAnsi="SKJVQB+å®ä½" w:cs="SKJVQB+å®ä½"/>
          <w:color w:val="000000"/>
          <w:spacing w:val="0"/>
          <w:sz w:val="21"/>
        </w:rPr>
        <w:t>号楼中建财富国</w:t>
      </w:r>
    </w:p>
    <w:p>
      <w:pPr>
        <w:framePr w:w="3020" w:wrap="around" w:vAnchor="margin" w:hAnchor="text" w:x="7482" w:y="555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际中心 </w:t>
      </w:r>
      <w:r>
        <w:rPr>
          <w:rFonts w:ascii="Times New Roman"/>
          <w:color w:val="000000"/>
          <w:spacing w:val="0"/>
          <w:sz w:val="21"/>
        </w:rPr>
        <w:t>27</w:t>
      </w:r>
      <w:r>
        <w:rPr>
          <w:rFonts w:ascii="SKJVQB+å®ä½" w:hAnsi="SKJVQB+å®ä½" w:cs="SKJVQB+å®ä½"/>
          <w:color w:val="000000"/>
          <w:spacing w:val="0"/>
          <w:sz w:val="21"/>
        </w:rPr>
        <w:t>层</w:t>
      </w:r>
    </w:p>
    <w:p>
      <w:pPr>
        <w:framePr w:w="2312" w:wrap="around" w:vAnchor="margin" w:hAnchor="text" w:x="7482" w:y="648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法定代表人：吕春卫</w:t>
      </w:r>
    </w:p>
    <w:p>
      <w:pPr>
        <w:framePr w:w="2312" w:wrap="around" w:vAnchor="margin" w:hAnchor="text" w:x="7482" w:y="648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联系人：丁倩云</w:t>
      </w:r>
    </w:p>
    <w:p>
      <w:pPr>
        <w:framePr w:w="3020" w:wrap="around" w:vAnchor="margin" w:hAnchor="text" w:x="7482" w:y="710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010-86499427</w:t>
      </w:r>
    </w:p>
    <w:p>
      <w:pPr>
        <w:framePr w:w="3020" w:wrap="around" w:vAnchor="margin" w:hAnchor="text" w:x="7482" w:y="710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010-86499401</w:t>
      </w:r>
    </w:p>
    <w:p>
      <w:pPr>
        <w:framePr w:w="3020" w:wrap="around" w:vAnchor="margin" w:hAnchor="text" w:x="7482" w:y="710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400-620-6868</w:t>
      </w:r>
    </w:p>
    <w:p>
      <w:pPr>
        <w:framePr w:w="3020" w:wrap="around" w:vAnchor="margin" w:hAnchor="text" w:x="7482" w:y="710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www.lczq.com</w:t>
      </w:r>
    </w:p>
    <w:p>
      <w:pPr>
        <w:framePr w:w="3020" w:wrap="around" w:vAnchor="margin" w:hAnchor="text" w:x="7482" w:y="710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注册地址：中国（四川）自</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由贸易试验区成都市高新区</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交子大道 </w:t>
      </w:r>
      <w:r>
        <w:rPr>
          <w:rFonts w:ascii="Times New Roman"/>
          <w:color w:val="000000"/>
          <w:spacing w:val="0"/>
          <w:sz w:val="21"/>
        </w:rPr>
        <w:t>177</w:t>
      </w:r>
      <w:r>
        <w:rPr>
          <w:rFonts w:ascii="SKJVQB+å®ä½" w:hAnsi="SKJVQB+å®ä½" w:cs="SKJVQB+å®ä½"/>
          <w:color w:val="000000"/>
          <w:spacing w:val="0"/>
          <w:sz w:val="21"/>
        </w:rPr>
        <w:t>号中海国际中</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心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楼</w:t>
      </w:r>
    </w:p>
    <w:p>
      <w:pPr>
        <w:framePr w:w="526" w:wrap="around" w:vAnchor="margin" w:hAnchor="text" w:x="4213" w:y="836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63</w:t>
      </w:r>
    </w:p>
    <w:p>
      <w:pPr>
        <w:framePr w:w="2418" w:wrap="around" w:vAnchor="margin" w:hAnchor="text" w:x="4640"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川财证券有限责任公司</w:t>
      </w:r>
    </w:p>
    <w:p>
      <w:pPr>
        <w:framePr w:w="3020" w:wrap="around" w:vAnchor="margin" w:hAnchor="text" w:x="7482" w:y="96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办公地址：中国（四川）自由</w:t>
      </w:r>
    </w:p>
    <w:p>
      <w:pPr>
        <w:framePr w:w="3020" w:wrap="around" w:vAnchor="margin" w:hAnchor="text" w:x="7482" w:y="96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贸易试验区成都市高新区交</w:t>
      </w:r>
    </w:p>
    <w:p>
      <w:pPr>
        <w:framePr w:w="3020" w:wrap="around" w:vAnchor="margin" w:hAnchor="text" w:x="7482" w:y="96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子大道 </w:t>
      </w:r>
      <w:r>
        <w:rPr>
          <w:rFonts w:ascii="Times New Roman"/>
          <w:color w:val="000000"/>
          <w:spacing w:val="0"/>
          <w:sz w:val="21"/>
        </w:rPr>
        <w:t>177</w:t>
      </w:r>
      <w:r>
        <w:rPr>
          <w:rFonts w:ascii="SKJVQB+å®ä½" w:hAnsi="SKJVQB+å®ä½" w:cs="SKJVQB+å®ä½"/>
          <w:color w:val="000000"/>
          <w:spacing w:val="0"/>
          <w:sz w:val="21"/>
        </w:rPr>
        <w:t>号中海国际中心</w:t>
      </w:r>
    </w:p>
    <w:p>
      <w:pPr>
        <w:framePr w:w="3020" w:wrap="around" w:vAnchor="margin" w:hAnchor="text" w:x="7482" w:y="9618"/>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楼</w:t>
      </w:r>
    </w:p>
    <w:p>
      <w:pPr>
        <w:framePr w:w="2209" w:wrap="around" w:vAnchor="margin" w:hAnchor="text" w:x="7482" w:y="108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法定代表人：孟建军</w:t>
      </w:r>
    </w:p>
    <w:p>
      <w:pPr>
        <w:framePr w:w="2209" w:wrap="around" w:vAnchor="margin" w:hAnchor="text" w:x="7482" w:y="108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联系人：匡婷</w:t>
      </w:r>
    </w:p>
    <w:p>
      <w:pPr>
        <w:framePr w:w="3144" w:wrap="around" w:vAnchor="margin" w:hAnchor="text" w:x="7482" w:y="114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028-86583053</w:t>
      </w:r>
    </w:p>
    <w:p>
      <w:pPr>
        <w:framePr w:w="3144"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028-86583002</w:t>
      </w:r>
    </w:p>
    <w:p>
      <w:pPr>
        <w:framePr w:w="3144"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95105118</w:t>
      </w:r>
    </w:p>
    <w:p>
      <w:pPr>
        <w:framePr w:w="3144"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www.cczq.com</w:t>
      </w:r>
    </w:p>
    <w:p>
      <w:pPr>
        <w:framePr w:w="3144" w:wrap="around" w:vAnchor="margin" w:hAnchor="text" w:x="7482" w:y="1148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w:t>
      </w:r>
    </w:p>
    <w:p>
      <w:pPr>
        <w:framePr w:w="3144"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国门外光华路 </w:t>
      </w:r>
      <w:r>
        <w:rPr>
          <w:rFonts w:ascii="Times New Roman"/>
          <w:color w:val="000000"/>
          <w:spacing w:val="0"/>
          <w:sz w:val="21"/>
        </w:rPr>
        <w:t>14</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framePr w:w="3144"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w:t>
      </w:r>
      <w:r>
        <w:rPr>
          <w:rFonts w:ascii="SKJVQB+å®ä½" w:hAnsi="SKJVQB+å®ä½" w:cs="SKJVQB+å®ä½"/>
          <w:color w:val="000000"/>
          <w:spacing w:val="0"/>
          <w:sz w:val="21"/>
        </w:rPr>
        <w:t>层、</w:t>
      </w:r>
      <w:r>
        <w:rPr>
          <w:rFonts w:ascii="Times New Roman"/>
          <w:color w:val="000000"/>
          <w:spacing w:val="0"/>
          <w:sz w:val="21"/>
        </w:rPr>
        <w:t>9</w:t>
      </w:r>
      <w:r>
        <w:rPr>
          <w:rFonts w:ascii="SKJVQB+å®ä½" w:hAnsi="SKJVQB+å®ä½" w:cs="SKJVQB+å®ä½"/>
          <w:color w:val="000000"/>
          <w:spacing w:val="0"/>
          <w:sz w:val="21"/>
        </w:rPr>
        <w:t>层、</w:t>
      </w:r>
      <w:r>
        <w:rPr>
          <w:rFonts w:ascii="Times New Roman"/>
          <w:color w:val="000000"/>
          <w:spacing w:val="0"/>
          <w:sz w:val="21"/>
        </w:rPr>
        <w:t>11</w:t>
      </w:r>
      <w:r>
        <w:rPr>
          <w:rFonts w:ascii="SKJVQB+å®ä½" w:hAnsi="SKJVQB+å®ä½" w:cs="SKJVQB+å®ä½"/>
          <w:color w:val="000000"/>
          <w:spacing w:val="0"/>
          <w:sz w:val="21"/>
        </w:rPr>
        <w:t>层、</w:t>
      </w:r>
      <w:r>
        <w:rPr>
          <w:rFonts w:ascii="Times New Roman"/>
          <w:color w:val="000000"/>
          <w:spacing w:val="0"/>
          <w:sz w:val="21"/>
        </w:rPr>
        <w:t>12</w:t>
      </w:r>
      <w:r>
        <w:rPr>
          <w:rFonts w:ascii="SKJVQB+å®ä½" w:hAnsi="SKJVQB+å®ä½" w:cs="SKJVQB+å®ä½"/>
          <w:color w:val="000000"/>
          <w:spacing w:val="0"/>
          <w:sz w:val="21"/>
        </w:rPr>
        <w:t>层</w:t>
      </w:r>
    </w:p>
    <w:p>
      <w:pPr>
        <w:framePr w:w="3144"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办公地址：北京市朝阳区麦</w:t>
      </w:r>
    </w:p>
    <w:p>
      <w:pPr>
        <w:framePr w:w="3144"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子店西路 </w:t>
      </w:r>
      <w:r>
        <w:rPr>
          <w:rFonts w:ascii="Times New Roman"/>
          <w:color w:val="000000"/>
          <w:spacing w:val="0"/>
          <w:sz w:val="21"/>
        </w:rPr>
        <w:t>3</w:t>
      </w:r>
      <w:r>
        <w:rPr>
          <w:rFonts w:ascii="SKJVQB+å®ä½" w:hAnsi="SKJVQB+å®ä½" w:cs="SKJVQB+å®ä½"/>
          <w:color w:val="000000"/>
          <w:spacing w:val="0"/>
          <w:sz w:val="21"/>
        </w:rPr>
        <w:t>号新恒基国际大</w:t>
      </w:r>
    </w:p>
    <w:p>
      <w:pPr>
        <w:framePr w:w="3144"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15</w:t>
      </w:r>
      <w:r>
        <w:rPr>
          <w:rFonts w:ascii="SKJVQB+å®ä½" w:hAnsi="SKJVQB+å®ä½" w:cs="SKJVQB+å®ä½"/>
          <w:color w:val="000000"/>
          <w:spacing w:val="0"/>
          <w:sz w:val="21"/>
        </w:rPr>
        <w:t>层</w:t>
      </w:r>
    </w:p>
    <w:p>
      <w:pPr>
        <w:framePr w:w="526" w:wrap="around" w:vAnchor="margin" w:hAnchor="text" w:x="4213" w:y="1274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64</w:t>
      </w:r>
    </w:p>
    <w:p>
      <w:pPr>
        <w:framePr w:w="2418" w:wrap="around" w:vAnchor="margin" w:hAnchor="text" w:x="4640" w:y="1275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中国国际期货有限公司</w:t>
      </w:r>
    </w:p>
    <w:p>
      <w:pPr>
        <w:framePr w:w="1998" w:wrap="around" w:vAnchor="margin" w:hAnchor="text" w:x="7482" w:y="1462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法定代表人：王兵</w:t>
      </w:r>
    </w:p>
    <w:p>
      <w:pPr>
        <w:framePr w:w="1789" w:wrap="around" w:vAnchor="margin" w:hAnchor="text" w:x="7482" w:y="1493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联系人：许黎婧</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51</w:t>
      </w:r>
    </w:p>
    <w:p>
      <w:pPr>
        <w:spacing w:before="0" w:after="0" w:line="0" w:lineRule="exact"/>
        <w:ind w:left="0" w:right="0"/>
        <w:jc w:val="left"/>
        <w:rPr>
          <w:rFonts w:ascii="Arial"/>
          <w:color w:val="FF0000"/>
          <w:spacing w:val="0"/>
          <w:sz w:val="2"/>
        </w:rPr>
      </w:pPr>
      <w:r>
        <w:pict>
          <v:shape id="_x0000107" o:spid="_x0000_s113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92" o:title=""/>
            <o:lock v:ext="edit" aspectratio="t"/>
          </v:shape>
        </w:pict>
      </w:r>
      <w:r>
        <w:pict>
          <v:shape id="_x0000108" o:spid="_x0000_s1134"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9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178"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010-65807848</w:t>
      </w:r>
    </w:p>
    <w:p>
      <w:pPr>
        <w:framePr w:w="2178"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010-59539985</w:t>
      </w:r>
    </w:p>
    <w:p>
      <w:pPr>
        <w:framePr w:w="2178"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95162</w:t>
      </w:r>
      <w:r>
        <w:rPr>
          <w:rFonts w:ascii="SKJVQB+å®ä½" w:hAnsi="SKJVQB+å®ä½" w:cs="SKJVQB+å®ä½"/>
          <w:color w:val="000000"/>
          <w:spacing w:val="0"/>
          <w:sz w:val="21"/>
        </w:rPr>
        <w:t>、</w:t>
      </w:r>
    </w:p>
    <w:p>
      <w:pPr>
        <w:framePr w:w="2178" w:wrap="around" w:vAnchor="margin" w:hAnchor="text" w:x="7482" w:y="147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400-8888-160</w:t>
      </w:r>
    </w:p>
    <w:p>
      <w:pPr>
        <w:framePr w:w="2172"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www.cifco.net</w:t>
      </w:r>
    </w:p>
    <w:p>
      <w:pPr>
        <w:framePr w:w="526" w:wrap="around" w:vAnchor="margin" w:hAnchor="text" w:x="4213"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65</w:t>
      </w:r>
    </w:p>
    <w:p>
      <w:pPr>
        <w:framePr w:w="2418"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中信建投期货有限公司</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注册地址：重庆市渝中区中</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山三路 </w:t>
      </w:r>
      <w:r>
        <w:rPr>
          <w:rFonts w:ascii="Times New Roman"/>
          <w:color w:val="000000"/>
          <w:spacing w:val="0"/>
          <w:sz w:val="21"/>
        </w:rPr>
        <w:t>107</w:t>
      </w:r>
      <w:r>
        <w:rPr>
          <w:rFonts w:ascii="SKJVQB+å®ä½" w:hAnsi="SKJVQB+å®ä½" w:cs="SKJVQB+å®ä½"/>
          <w:color w:val="000000"/>
          <w:spacing w:val="0"/>
          <w:sz w:val="21"/>
        </w:rPr>
        <w:t>号上站大楼平街</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11-B</w:t>
      </w:r>
      <w:r>
        <w:rPr>
          <w:rFonts w:ascii="SKJVQB+å®ä½" w:hAnsi="SKJVQB+å®ä½" w:cs="SKJVQB+å®ä½"/>
          <w:color w:val="000000"/>
          <w:spacing w:val="0"/>
          <w:sz w:val="21"/>
        </w:rPr>
        <w:t xml:space="preserve">，名义层 </w:t>
      </w:r>
      <w:r>
        <w:rPr>
          <w:rFonts w:ascii="Times New Roman"/>
          <w:color w:val="000000"/>
          <w:spacing w:val="0"/>
          <w:sz w:val="21"/>
        </w:rPr>
        <w:t>11-A</w:t>
      </w:r>
      <w:r>
        <w:rPr>
          <w:rFonts w:ascii="SKJVQB+å®ä½" w:hAnsi="SKJVQB+å®ä½" w:cs="SKJVQB+å®ä½"/>
          <w:color w:val="000000"/>
          <w:spacing w:val="0"/>
          <w:sz w:val="21"/>
        </w:rPr>
        <w:t>，</w:t>
      </w:r>
      <w:r>
        <w:rPr>
          <w:rFonts w:ascii="Times New Roman"/>
          <w:color w:val="000000"/>
          <w:spacing w:val="0"/>
          <w:sz w:val="21"/>
        </w:rPr>
        <w:t>8-B4</w:t>
      </w:r>
      <w:r>
        <w:rPr>
          <w:rFonts w:ascii="SKJVQB+å®ä½" w:hAnsi="SKJVQB+å®ä½" w:cs="SKJVQB+å®ä½"/>
          <w:color w:val="000000"/>
          <w:spacing w:val="0"/>
          <w:sz w:val="21"/>
        </w:rPr>
        <w:t>，</w:t>
      </w:r>
    </w:p>
    <w:p>
      <w:pPr>
        <w:framePr w:w="3020" w:wrap="around" w:vAnchor="margin" w:hAnchor="text" w:x="7482" w:y="3055"/>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9-B</w:t>
      </w:r>
      <w:r>
        <w:rPr>
          <w:rFonts w:ascii="SKJVQB+å®ä½" w:hAnsi="SKJVQB+å®ä½" w:cs="SKJVQB+å®ä½"/>
          <w:color w:val="000000"/>
          <w:spacing w:val="0"/>
          <w:sz w:val="21"/>
        </w:rPr>
        <w:t>、</w:t>
      </w:r>
      <w:r>
        <w:rPr>
          <w:rFonts w:ascii="Times New Roman"/>
          <w:color w:val="000000"/>
          <w:spacing w:val="0"/>
          <w:sz w:val="21"/>
        </w:rPr>
        <w:t>C</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办公地址：渝中区中山三路</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Times New Roman"/>
          <w:color w:val="000000"/>
          <w:spacing w:val="0"/>
          <w:sz w:val="21"/>
        </w:rPr>
        <w:t>107</w:t>
      </w:r>
      <w:r>
        <w:rPr>
          <w:rFonts w:ascii="SKJVQB+å®ä½" w:hAnsi="SKJVQB+å®ä½" w:cs="SKJVQB+å®ä½"/>
          <w:color w:val="000000"/>
          <w:spacing w:val="0"/>
          <w:sz w:val="21"/>
        </w:rPr>
        <w:t xml:space="preserve">号上站大楼平街  </w:t>
      </w:r>
      <w:r>
        <w:rPr>
          <w:rFonts w:ascii="Times New Roman"/>
          <w:color w:val="000000"/>
          <w:spacing w:val="0"/>
          <w:sz w:val="21"/>
        </w:rPr>
        <w:t>11-B</w:t>
      </w:r>
      <w:r>
        <w:rPr>
          <w:rFonts w:ascii="SKJVQB+å®ä½" w:hAnsi="SKJVQB+å®ä½" w:cs="SKJVQB+å®ä½"/>
          <w:color w:val="000000"/>
          <w:spacing w:val="0"/>
          <w:sz w:val="21"/>
        </w:rPr>
        <w:t>，名</w:t>
      </w:r>
    </w:p>
    <w:p>
      <w:pPr>
        <w:framePr w:w="3020" w:wrap="around" w:vAnchor="margin" w:hAnchor="text" w:x="7482" w:y="43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义层 </w:t>
      </w:r>
      <w:r>
        <w:rPr>
          <w:rFonts w:ascii="Times New Roman"/>
          <w:color w:val="000000"/>
          <w:spacing w:val="0"/>
          <w:sz w:val="21"/>
        </w:rPr>
        <w:t>11-A</w:t>
      </w:r>
      <w:r>
        <w:rPr>
          <w:rFonts w:ascii="SKJVQB+å®ä½" w:hAnsi="SKJVQB+å®ä½" w:cs="SKJVQB+å®ä½"/>
          <w:color w:val="000000"/>
          <w:spacing w:val="0"/>
          <w:sz w:val="21"/>
        </w:rPr>
        <w:t>，</w:t>
      </w:r>
      <w:r>
        <w:rPr>
          <w:rFonts w:ascii="Times New Roman"/>
          <w:color w:val="000000"/>
          <w:spacing w:val="0"/>
          <w:sz w:val="21"/>
        </w:rPr>
        <w:t>8-B4</w:t>
      </w:r>
      <w:r>
        <w:rPr>
          <w:rFonts w:ascii="SKJVQB+å®ä½" w:hAnsi="SKJVQB+å®ä½" w:cs="SKJVQB+å®ä½"/>
          <w:color w:val="000000"/>
          <w:spacing w:val="0"/>
          <w:sz w:val="21"/>
        </w:rPr>
        <w:t>，</w:t>
      </w:r>
      <w:r>
        <w:rPr>
          <w:rFonts w:ascii="Times New Roman"/>
          <w:color w:val="000000"/>
          <w:spacing w:val="0"/>
          <w:sz w:val="21"/>
        </w:rPr>
        <w:t>9-B</w:t>
      </w:r>
      <w:r>
        <w:rPr>
          <w:rFonts w:ascii="SKJVQB+å®ä½" w:hAnsi="SKJVQB+å®ä½" w:cs="SKJVQB+å®ä½"/>
          <w:color w:val="000000"/>
          <w:spacing w:val="0"/>
          <w:sz w:val="21"/>
        </w:rPr>
        <w:t>、</w:t>
      </w:r>
      <w:r>
        <w:rPr>
          <w:rFonts w:ascii="Times New Roman"/>
          <w:color w:val="000000"/>
          <w:spacing w:val="0"/>
          <w:sz w:val="21"/>
        </w:rPr>
        <w:t>C</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法定代表人：彭文德</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联系人：万恋</w:t>
      </w:r>
    </w:p>
    <w:p>
      <w:pPr>
        <w:framePr w:w="3144" w:wrap="around" w:vAnchor="margin" w:hAnchor="text" w:x="7482" w:y="585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021-68762007</w:t>
      </w:r>
    </w:p>
    <w:p>
      <w:pPr>
        <w:framePr w:w="3144"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021-68763048</w:t>
      </w:r>
    </w:p>
    <w:p>
      <w:pPr>
        <w:framePr w:w="3144"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400-8877-780</w:t>
      </w:r>
    </w:p>
    <w:p>
      <w:pPr>
        <w:framePr w:w="3144"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www.cfc108.com</w:t>
      </w:r>
    </w:p>
    <w:p>
      <w:pPr>
        <w:framePr w:w="3144" w:wrap="around" w:vAnchor="margin" w:hAnchor="text" w:x="7482" w:y="585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注册地址：深圳市福田区中心</w:t>
      </w:r>
    </w:p>
    <w:p>
      <w:pPr>
        <w:framePr w:w="3144"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8</w:t>
      </w:r>
      <w:r>
        <w:rPr>
          <w:rFonts w:ascii="SKJVQB+å®ä½" w:hAnsi="SKJVQB+å®ä½" w:cs="SKJVQB+å®ä½"/>
          <w:color w:val="000000"/>
          <w:spacing w:val="0"/>
          <w:sz w:val="21"/>
        </w:rPr>
        <w:t>号卓越时代广场（二</w:t>
      </w:r>
    </w:p>
    <w:p>
      <w:pPr>
        <w:framePr w:w="3144"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期）北座 </w:t>
      </w:r>
      <w:r>
        <w:rPr>
          <w:rFonts w:ascii="Times New Roman"/>
          <w:color w:val="000000"/>
          <w:spacing w:val="0"/>
          <w:sz w:val="21"/>
        </w:rPr>
        <w:t>13</w:t>
      </w:r>
      <w:r>
        <w:rPr>
          <w:rFonts w:ascii="SKJVQB+å®ä½" w:hAnsi="SKJVQB+å®ä½" w:cs="SKJVQB+å®ä½"/>
          <w:color w:val="000000"/>
          <w:spacing w:val="0"/>
          <w:sz w:val="21"/>
        </w:rPr>
        <w:t xml:space="preserve">层  </w:t>
      </w:r>
      <w:r>
        <w:rPr>
          <w:rFonts w:ascii="Times New Roman"/>
          <w:color w:val="000000"/>
          <w:spacing w:val="0"/>
          <w:sz w:val="21"/>
        </w:rPr>
        <w:t>1301-1305</w:t>
      </w:r>
      <w:r>
        <w:rPr>
          <w:rFonts w:ascii="SKJVQB+å®ä½" w:hAnsi="SKJVQB+å®ä½" w:cs="SKJVQB+å®ä½"/>
          <w:color w:val="000000"/>
          <w:spacing w:val="0"/>
          <w:sz w:val="21"/>
        </w:rPr>
        <w:t>室、</w:t>
      </w:r>
    </w:p>
    <w:p>
      <w:pPr>
        <w:framePr w:w="3144"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14</w:t>
      </w:r>
      <w:r>
        <w:rPr>
          <w:rFonts w:ascii="SKJVQB+å®ä½" w:hAnsi="SKJVQB+å®ä½" w:cs="SKJVQB+å®ä½"/>
          <w:color w:val="000000"/>
          <w:spacing w:val="0"/>
          <w:sz w:val="21"/>
        </w:rPr>
        <w:t>层</w:t>
      </w:r>
    </w:p>
    <w:p>
      <w:pPr>
        <w:framePr w:w="526" w:wrap="around" w:vAnchor="margin" w:hAnchor="text" w:x="4213" w:y="711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66</w:t>
      </w:r>
    </w:p>
    <w:p>
      <w:pPr>
        <w:framePr w:w="1998" w:wrap="around" w:vAnchor="margin" w:hAnchor="text" w:x="4640"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中信期货有限公司</w:t>
      </w:r>
    </w:p>
    <w:p>
      <w:pPr>
        <w:framePr w:w="3144" w:wrap="around" w:vAnchor="margin" w:hAnchor="text" w:x="7482"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办公地址：深圳市福田区中心</w:t>
      </w:r>
    </w:p>
    <w:p>
      <w:pPr>
        <w:framePr w:w="3144"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8</w:t>
      </w:r>
      <w:r>
        <w:rPr>
          <w:rFonts w:ascii="SKJVQB+å®ä½" w:hAnsi="SKJVQB+å®ä½" w:cs="SKJVQB+å®ä½"/>
          <w:color w:val="000000"/>
          <w:spacing w:val="0"/>
          <w:sz w:val="21"/>
        </w:rPr>
        <w:t>号卓越时代广场（二</w:t>
      </w:r>
    </w:p>
    <w:p>
      <w:pPr>
        <w:framePr w:w="3144"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期）北座 </w:t>
      </w:r>
      <w:r>
        <w:rPr>
          <w:rFonts w:ascii="Times New Roman"/>
          <w:color w:val="000000"/>
          <w:spacing w:val="0"/>
          <w:sz w:val="21"/>
        </w:rPr>
        <w:t>13</w:t>
      </w:r>
      <w:r>
        <w:rPr>
          <w:rFonts w:ascii="SKJVQB+å®ä½" w:hAnsi="SKJVQB+å®ä½" w:cs="SKJVQB+å®ä½"/>
          <w:color w:val="000000"/>
          <w:spacing w:val="0"/>
          <w:sz w:val="21"/>
        </w:rPr>
        <w:t xml:space="preserve">层  </w:t>
      </w:r>
      <w:r>
        <w:rPr>
          <w:rFonts w:ascii="Times New Roman"/>
          <w:color w:val="000000"/>
          <w:spacing w:val="0"/>
          <w:sz w:val="21"/>
        </w:rPr>
        <w:t>1301-1305</w:t>
      </w:r>
      <w:r>
        <w:rPr>
          <w:rFonts w:ascii="SKJVQB+å®ä½" w:hAnsi="SKJVQB+å®ä½" w:cs="SKJVQB+å®ä½"/>
          <w:color w:val="000000"/>
          <w:spacing w:val="0"/>
          <w:sz w:val="21"/>
        </w:rPr>
        <w:t>室、</w:t>
      </w:r>
    </w:p>
    <w:p>
      <w:pPr>
        <w:framePr w:w="3144"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14</w:t>
      </w:r>
      <w:r>
        <w:rPr>
          <w:rFonts w:ascii="SKJVQB+å®ä½" w:hAnsi="SKJVQB+å®ä½" w:cs="SKJVQB+å®ä½"/>
          <w:color w:val="000000"/>
          <w:spacing w:val="0"/>
          <w:sz w:val="21"/>
        </w:rPr>
        <w:t>层</w:t>
      </w:r>
    </w:p>
    <w:p>
      <w:pPr>
        <w:framePr w:w="1998" w:wrap="around" w:vAnchor="margin" w:hAnchor="text" w:x="7482" w:y="96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法定代表人：张皓</w:t>
      </w:r>
    </w:p>
    <w:p>
      <w:pPr>
        <w:framePr w:w="1789" w:wrap="around" w:vAnchor="margin" w:hAnchor="text" w:x="7482" w:y="99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联系人：刘宏莹</w:t>
      </w:r>
    </w:p>
    <w:p>
      <w:pPr>
        <w:framePr w:w="3020"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010-60833754</w:t>
      </w:r>
    </w:p>
    <w:p>
      <w:pPr>
        <w:framePr w:w="3020" w:wrap="around" w:vAnchor="margin" w:hAnchor="text" w:x="7482" w:y="1023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021-60819988</w:t>
      </w:r>
    </w:p>
    <w:p>
      <w:pPr>
        <w:framePr w:w="302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400-990-8826</w:t>
      </w:r>
    </w:p>
    <w:p>
      <w:pPr>
        <w:framePr w:w="302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http://www.citicsf.com</w:t>
      </w:r>
    </w:p>
    <w:p>
      <w:pPr>
        <w:framePr w:w="3020" w:wrap="around" w:vAnchor="margin" w:hAnchor="text" w:x="7482" w:y="1023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注册地址：海南省三亚市迎</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宾路 </w:t>
      </w:r>
      <w:r>
        <w:rPr>
          <w:rFonts w:ascii="Times New Roman"/>
          <w:color w:val="000000"/>
          <w:spacing w:val="0"/>
          <w:sz w:val="21"/>
        </w:rPr>
        <w:t>360-1</w:t>
      </w:r>
      <w:r>
        <w:rPr>
          <w:rFonts w:ascii="SKJVQB+å®ä½" w:hAnsi="SKJVQB+å®ä½" w:cs="SKJVQB+å®ä½"/>
          <w:color w:val="000000"/>
          <w:spacing w:val="0"/>
          <w:sz w:val="21"/>
        </w:rPr>
        <w:t>号三亚阳光金融</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广场 </w:t>
      </w:r>
      <w:r>
        <w:rPr>
          <w:rFonts w:ascii="Times New Roman"/>
          <w:color w:val="000000"/>
          <w:spacing w:val="0"/>
          <w:sz w:val="21"/>
        </w:rPr>
        <w:t>16</w:t>
      </w:r>
      <w:r>
        <w:rPr>
          <w:rFonts w:ascii="SKJVQB+å®ä½" w:hAnsi="SKJVQB+å®ä½" w:cs="SKJVQB+å®ä½"/>
          <w:color w:val="000000"/>
          <w:spacing w:val="0"/>
          <w:sz w:val="21"/>
        </w:rPr>
        <w:t>层</w:t>
      </w:r>
    </w:p>
    <w:p>
      <w:pPr>
        <w:framePr w:w="526" w:wrap="around" w:vAnchor="margin" w:hAnchor="text" w:x="4213" w:y="1149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67</w:t>
      </w:r>
    </w:p>
    <w:p>
      <w:pPr>
        <w:framePr w:w="2901" w:wrap="around" w:vAnchor="margin" w:hAnchor="text" w:x="4640"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阳光人寿保险股份有限公司</w:t>
      </w:r>
    </w:p>
    <w:p>
      <w:pPr>
        <w:framePr w:w="3020"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w:t>
      </w:r>
    </w:p>
    <w:p>
      <w:pPr>
        <w:framePr w:w="3020"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外大街乙 </w:t>
      </w:r>
      <w:r>
        <w:rPr>
          <w:rFonts w:ascii="Times New Roman"/>
          <w:color w:val="000000"/>
          <w:spacing w:val="0"/>
          <w:sz w:val="21"/>
        </w:rPr>
        <w:t>12</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号楼昆泰国</w:t>
      </w:r>
    </w:p>
    <w:p>
      <w:pPr>
        <w:framePr w:w="3020"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际大厦 </w:t>
      </w:r>
      <w:r>
        <w:rPr>
          <w:rFonts w:ascii="Times New Roman"/>
          <w:color w:val="000000"/>
          <w:spacing w:val="0"/>
          <w:sz w:val="21"/>
        </w:rPr>
        <w:t>12</w:t>
      </w:r>
      <w:r>
        <w:rPr>
          <w:rFonts w:ascii="SKJVQB+å®ä½" w:hAnsi="SKJVQB+å®ä½" w:cs="SKJVQB+å®ä½"/>
          <w:color w:val="000000"/>
          <w:spacing w:val="0"/>
          <w:sz w:val="21"/>
        </w:rPr>
        <w:t>层</w:t>
      </w:r>
    </w:p>
    <w:p>
      <w:pPr>
        <w:framePr w:w="2104" w:wrap="around" w:vAnchor="margin" w:hAnchor="text" w:x="7482" w:y="1337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法定代表人：李科</w:t>
      </w:r>
    </w:p>
    <w:p>
      <w:pPr>
        <w:framePr w:w="1684" w:wrap="around" w:vAnchor="margin" w:hAnchor="text" w:x="7482" w:y="1368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联系人：王磊</w:t>
      </w:r>
    </w:p>
    <w:p>
      <w:pPr>
        <w:framePr w:w="2279" w:wrap="around" w:vAnchor="margin" w:hAnchor="text" w:x="7482" w:y="1399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010-59053660</w:t>
      </w:r>
    </w:p>
    <w:p>
      <w:pPr>
        <w:framePr w:w="2279" w:wrap="around" w:vAnchor="margin" w:hAnchor="text" w:x="7482" w:y="1399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传真：  </w:t>
      </w:r>
      <w:r>
        <w:rPr>
          <w:rFonts w:ascii="Times New Roman"/>
          <w:color w:val="000000"/>
          <w:spacing w:val="0"/>
          <w:sz w:val="21"/>
        </w:rPr>
        <w:t>010-59053700</w:t>
      </w:r>
    </w:p>
    <w:p>
      <w:pPr>
        <w:framePr w:w="2279" w:wrap="around" w:vAnchor="margin" w:hAnchor="text" w:x="7482" w:y="1399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95510</w:t>
      </w:r>
    </w:p>
    <w:p>
      <w:pPr>
        <w:framePr w:w="2969" w:wrap="around" w:vAnchor="margin" w:hAnchor="text" w:x="7482" w:y="14928"/>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http://fund.sinosig.com</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52</w:t>
      </w:r>
    </w:p>
    <w:p>
      <w:pPr>
        <w:spacing w:before="0" w:after="0" w:line="0" w:lineRule="exact"/>
        <w:ind w:left="0" w:right="0"/>
        <w:jc w:val="left"/>
        <w:rPr>
          <w:rFonts w:ascii="Arial"/>
          <w:color w:val="FF0000"/>
          <w:spacing w:val="0"/>
          <w:sz w:val="2"/>
        </w:rPr>
      </w:pPr>
      <w:r>
        <w:pict>
          <v:shape id="_x0000109" o:spid="_x0000_s113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94" o:title=""/>
            <o:lock v:ext="edit" aspectratio="t"/>
          </v:shape>
        </w:pict>
      </w:r>
      <w:r>
        <w:pict>
          <v:shape id="_x0000110" o:spid="_x0000_s1136"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9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26" w:wrap="around" w:vAnchor="margin" w:hAnchor="text" w:x="4213"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68</w:t>
      </w:r>
    </w:p>
    <w:p>
      <w:pPr>
        <w:framePr w:w="526" w:wrap="around" w:vAnchor="margin" w:hAnchor="text" w:x="4213" w:y="1476"/>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69</w:t>
      </w:r>
    </w:p>
    <w:p>
      <w:pPr>
        <w:framePr w:w="526" w:wrap="around" w:vAnchor="margin" w:hAnchor="text" w:x="4213" w:y="1476"/>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70</w:t>
      </w:r>
    </w:p>
    <w:p>
      <w:pPr>
        <w:framePr w:w="526" w:wrap="around" w:vAnchor="margin" w:hAnchor="text" w:x="4213" w:y="1476"/>
        <w:widowControl w:val="0"/>
        <w:autoSpaceDE w:val="0"/>
        <w:autoSpaceDN w:val="0"/>
        <w:spacing w:before="0" w:after="0" w:line="3133" w:lineRule="exact"/>
        <w:ind w:left="0" w:right="0"/>
        <w:jc w:val="left"/>
        <w:rPr>
          <w:rFonts w:ascii="Times New Roman"/>
          <w:color w:val="000000"/>
          <w:spacing w:val="0"/>
          <w:sz w:val="21"/>
        </w:rPr>
      </w:pPr>
      <w:r>
        <w:rPr>
          <w:rFonts w:ascii="Times New Roman"/>
          <w:color w:val="000000"/>
          <w:spacing w:val="0"/>
          <w:sz w:val="21"/>
        </w:rPr>
        <w:t>71</w:t>
      </w:r>
    </w:p>
    <w:p>
      <w:pPr>
        <w:framePr w:w="2901" w:wrap="around" w:vAnchor="margin" w:hAnchor="text" w:x="4640"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徽商期货有限责任公司</w:t>
      </w:r>
    </w:p>
    <w:p>
      <w:pPr>
        <w:framePr w:w="2901" w:wrap="around" w:vAnchor="margin" w:hAnchor="text" w:x="4640" w:y="1485"/>
        <w:widowControl w:val="0"/>
        <w:autoSpaceDE w:val="0"/>
        <w:autoSpaceDN w:val="0"/>
        <w:spacing w:before="0" w:after="0" w:line="3130"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弘业期货股份有限公司</w:t>
      </w:r>
    </w:p>
    <w:p>
      <w:pPr>
        <w:framePr w:w="2901" w:wrap="around" w:vAnchor="margin" w:hAnchor="text" w:x="4640" w:y="1485"/>
        <w:widowControl w:val="0"/>
        <w:autoSpaceDE w:val="0"/>
        <w:autoSpaceDN w:val="0"/>
        <w:spacing w:before="0" w:after="0" w:line="3130"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诺亚正行基金销售有限公司</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注册地址：安徽省合肥市芜</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湖路 </w:t>
      </w:r>
      <w:r>
        <w:rPr>
          <w:rFonts w:ascii="Times New Roman"/>
          <w:color w:val="000000"/>
          <w:spacing w:val="0"/>
          <w:sz w:val="21"/>
        </w:rPr>
        <w:t>258</w:t>
      </w:r>
      <w:r>
        <w:rPr>
          <w:rFonts w:ascii="SKJVQB+å®ä½" w:hAnsi="SKJVQB+å®ä½" w:cs="SKJVQB+å®ä½"/>
          <w:color w:val="000000"/>
          <w:spacing w:val="0"/>
          <w:sz w:val="21"/>
        </w:rPr>
        <w:t>号</w:t>
      </w:r>
    </w:p>
    <w:p>
      <w:pPr>
        <w:framePr w:w="3020" w:wrap="around" w:vAnchor="margin" w:hAnchor="text" w:x="7482" w:y="21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办公地址：安徽省合肥市芜</w:t>
      </w:r>
    </w:p>
    <w:p>
      <w:pPr>
        <w:framePr w:w="3020" w:wrap="around" w:vAnchor="margin" w:hAnchor="text" w:x="7482" w:y="21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湖路 </w:t>
      </w:r>
      <w:r>
        <w:rPr>
          <w:rFonts w:ascii="Times New Roman"/>
          <w:color w:val="000000"/>
          <w:spacing w:val="0"/>
          <w:sz w:val="21"/>
        </w:rPr>
        <w:t>258</w:t>
      </w:r>
      <w:r>
        <w:rPr>
          <w:rFonts w:ascii="SKJVQB+å®ä½" w:hAnsi="SKJVQB+å®ä½" w:cs="SKJVQB+å®ä½"/>
          <w:color w:val="000000"/>
          <w:spacing w:val="0"/>
          <w:sz w:val="21"/>
        </w:rPr>
        <w:t>号</w:t>
      </w:r>
    </w:p>
    <w:p>
      <w:pPr>
        <w:framePr w:w="2312" w:wrap="around" w:vAnchor="margin" w:hAnchor="text" w:x="7482" w:y="27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法定代表人：吴国华</w:t>
      </w:r>
    </w:p>
    <w:p>
      <w:pPr>
        <w:framePr w:w="2312" w:wrap="around" w:vAnchor="margin" w:hAnchor="text" w:x="7482" w:y="27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联系人：申倩倩</w:t>
      </w:r>
    </w:p>
    <w:p>
      <w:pPr>
        <w:framePr w:w="2588"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0551-62865215</w:t>
      </w:r>
    </w:p>
    <w:p>
      <w:pPr>
        <w:framePr w:w="2588"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0551-62865899</w:t>
      </w:r>
    </w:p>
    <w:p>
      <w:pPr>
        <w:framePr w:w="2588"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4008-878-707</w:t>
      </w:r>
    </w:p>
    <w:p>
      <w:pPr>
        <w:framePr w:w="2588"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www.hsqh.net</w:t>
      </w:r>
    </w:p>
    <w:p>
      <w:pPr>
        <w:framePr w:w="3020"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注册地址：南京市秦淮区中</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华路 </w:t>
      </w:r>
      <w:r>
        <w:rPr>
          <w:rFonts w:ascii="Times New Roman"/>
          <w:color w:val="000000"/>
          <w:spacing w:val="0"/>
          <w:sz w:val="21"/>
        </w:rPr>
        <w:t>50</w:t>
      </w:r>
      <w:r>
        <w:rPr>
          <w:rFonts w:ascii="SKJVQB+å®ä½" w:hAnsi="SKJVQB+å®ä½" w:cs="SKJVQB+å®ä½"/>
          <w:color w:val="000000"/>
          <w:spacing w:val="0"/>
          <w:sz w:val="21"/>
        </w:rPr>
        <w:t>号</w:t>
      </w:r>
    </w:p>
    <w:p>
      <w:pPr>
        <w:framePr w:w="3020"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办公地址：南京市秦淮区中</w:t>
      </w:r>
    </w:p>
    <w:p>
      <w:pPr>
        <w:framePr w:w="3020" w:wrap="around" w:vAnchor="margin" w:hAnchor="text" w:x="7482"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华路 </w:t>
      </w:r>
      <w:r>
        <w:rPr>
          <w:rFonts w:ascii="Times New Roman"/>
          <w:color w:val="000000"/>
          <w:spacing w:val="0"/>
          <w:sz w:val="21"/>
        </w:rPr>
        <w:t>50</w:t>
      </w:r>
      <w:r>
        <w:rPr>
          <w:rFonts w:ascii="SKJVQB+å®ä½" w:hAnsi="SKJVQB+å®ä½" w:cs="SKJVQB+å®ä½"/>
          <w:color w:val="000000"/>
          <w:spacing w:val="0"/>
          <w:sz w:val="21"/>
        </w:rPr>
        <w:t xml:space="preserve">号弘业大厦  </w:t>
      </w:r>
      <w:r>
        <w:rPr>
          <w:rFonts w:ascii="Times New Roman"/>
          <w:color w:val="000000"/>
          <w:spacing w:val="0"/>
          <w:sz w:val="21"/>
        </w:rPr>
        <w:t>2-10</w:t>
      </w:r>
      <w:r>
        <w:rPr>
          <w:rFonts w:ascii="SKJVQB+å®ä½" w:hAnsi="SKJVQB+å®ä½" w:cs="SKJVQB+å®ä½"/>
          <w:color w:val="000000"/>
          <w:spacing w:val="0"/>
          <w:sz w:val="21"/>
        </w:rPr>
        <w:t>楼</w:t>
      </w:r>
    </w:p>
    <w:p>
      <w:pPr>
        <w:framePr w:w="3020" w:wrap="around" w:vAnchor="margin" w:hAnchor="text" w:x="7482"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法定代表人：周剑秋</w:t>
      </w:r>
    </w:p>
    <w:p>
      <w:pPr>
        <w:framePr w:w="3020" w:wrap="around" w:vAnchor="margin" w:hAnchor="text" w:x="7482"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联系人：张苏怡</w:t>
      </w:r>
    </w:p>
    <w:p>
      <w:pPr>
        <w:framePr w:w="3020"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025-52278981</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025-52278733</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4008281288</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www.ftol.com.cn</w:t>
      </w:r>
    </w:p>
    <w:p>
      <w:pPr>
        <w:framePr w:w="3020" w:wrap="around" w:vAnchor="margin" w:hAnchor="text" w:x="7482" w:y="648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注册地址：上海市虹口区飞虹</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360</w:t>
      </w:r>
      <w:r>
        <w:rPr>
          <w:rFonts w:ascii="SKJVQB+å®ä½" w:hAnsi="SKJVQB+å®ä½" w:cs="SKJVQB+å®ä½"/>
          <w:color w:val="000000"/>
          <w:spacing w:val="0"/>
          <w:sz w:val="21"/>
        </w:rPr>
        <w:t xml:space="preserve">弄  </w:t>
      </w:r>
      <w:r>
        <w:rPr>
          <w:rFonts w:ascii="Times New Roman"/>
          <w:color w:val="000000"/>
          <w:spacing w:val="0"/>
          <w:sz w:val="21"/>
        </w:rPr>
        <w:t>9</w:t>
      </w:r>
      <w:r>
        <w:rPr>
          <w:rFonts w:ascii="SKJVQB+å®ä½" w:hAnsi="SKJVQB+å®ä½" w:cs="SKJVQB+å®ä½"/>
          <w:color w:val="000000"/>
          <w:spacing w:val="0"/>
          <w:sz w:val="21"/>
        </w:rPr>
        <w:t xml:space="preserve">号  </w:t>
      </w:r>
      <w:r>
        <w:rPr>
          <w:rFonts w:ascii="Times New Roman"/>
          <w:color w:val="000000"/>
          <w:spacing w:val="0"/>
          <w:sz w:val="21"/>
        </w:rPr>
        <w:t>3724</w:t>
      </w:r>
      <w:r>
        <w:rPr>
          <w:rFonts w:ascii="SKJVQB+å®ä½" w:hAnsi="SKJVQB+å®ä½" w:cs="SKJVQB+å®ä½"/>
          <w:color w:val="000000"/>
          <w:spacing w:val="0"/>
          <w:sz w:val="21"/>
        </w:rPr>
        <w:t>室</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办公地址：上海市杨浦区秦皇</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岛路 </w:t>
      </w:r>
      <w:r>
        <w:rPr>
          <w:rFonts w:ascii="Times New Roman"/>
          <w:color w:val="000000"/>
          <w:spacing w:val="0"/>
          <w:sz w:val="21"/>
        </w:rPr>
        <w:t>32</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栋</w:t>
      </w:r>
    </w:p>
    <w:p>
      <w:pPr>
        <w:framePr w:w="2209" w:wrap="around" w:vAnchor="margin" w:hAnchor="text" w:x="7482"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法定代表人：汪静波</w:t>
      </w:r>
    </w:p>
    <w:p>
      <w:pPr>
        <w:framePr w:w="2209" w:wrap="around" w:vAnchor="margin" w:hAnchor="text" w:x="7482" w:y="89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联系人：李娟</w:t>
      </w:r>
    </w:p>
    <w:p>
      <w:pPr>
        <w:framePr w:w="3021"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021-80359127</w:t>
      </w:r>
    </w:p>
    <w:p>
      <w:pPr>
        <w:framePr w:w="3021"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021-38509777</w:t>
      </w:r>
    </w:p>
    <w:p>
      <w:pPr>
        <w:framePr w:w="3021"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400-821-5399</w:t>
      </w:r>
    </w:p>
    <w:p>
      <w:pPr>
        <w:framePr w:w="3021" w:wrap="around" w:vAnchor="margin" w:hAnchor="text" w:x="7482" w:y="9611"/>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www.noah-fund.com</w:t>
      </w:r>
    </w:p>
    <w:p>
      <w:pPr>
        <w:framePr w:w="3021" w:wrap="around" w:vAnchor="margin" w:hAnchor="text" w:x="7482" w:y="961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注册地址：深圳市罗湖区笋岗</w:t>
      </w:r>
    </w:p>
    <w:p>
      <w:pPr>
        <w:framePr w:w="3021"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街道笋西社区梨园路 </w:t>
      </w:r>
      <w:r>
        <w:rPr>
          <w:rFonts w:ascii="Times New Roman"/>
          <w:color w:val="000000"/>
          <w:spacing w:val="0"/>
          <w:sz w:val="21"/>
        </w:rPr>
        <w:t>8</w:t>
      </w:r>
      <w:r>
        <w:rPr>
          <w:rFonts w:ascii="SKJVQB+å®ä½" w:hAnsi="SKJVQB+å®ä½" w:cs="SKJVQB+å®ä½"/>
          <w:color w:val="000000"/>
          <w:spacing w:val="0"/>
          <w:sz w:val="21"/>
        </w:rPr>
        <w:t>号</w:t>
      </w:r>
    </w:p>
    <w:p>
      <w:pPr>
        <w:framePr w:w="3021"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HALO</w:t>
      </w:r>
      <w:r>
        <w:rPr>
          <w:rFonts w:ascii="SKJVQB+å®ä½" w:hAnsi="SKJVQB+å®ä½" w:cs="SKJVQB+å®ä½"/>
          <w:color w:val="000000"/>
          <w:spacing w:val="0"/>
          <w:sz w:val="21"/>
        </w:rPr>
        <w:t>广场一期四层</w:t>
      </w:r>
      <w:r>
        <w:rPr>
          <w:rFonts w:ascii="Times New Roman"/>
          <w:color w:val="000000"/>
          <w:spacing w:val="0"/>
          <w:sz w:val="21"/>
        </w:rPr>
        <w:t>12-13</w:t>
      </w:r>
      <w:r>
        <w:rPr>
          <w:rFonts w:ascii="SKJVQB+å®ä½" w:hAnsi="SKJVQB+å®ä½" w:cs="SKJVQB+å®ä½"/>
          <w:color w:val="000000"/>
          <w:spacing w:val="0"/>
          <w:sz w:val="21"/>
        </w:rPr>
        <w:t>室</w:t>
      </w:r>
    </w:p>
    <w:p>
      <w:pPr>
        <w:framePr w:w="3021"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办公地址：深圳市罗湖区笋岗</w:t>
      </w:r>
    </w:p>
    <w:p>
      <w:pPr>
        <w:framePr w:w="3021"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街道笋西社区梨园路 </w:t>
      </w:r>
      <w:r>
        <w:rPr>
          <w:rFonts w:ascii="Times New Roman"/>
          <w:color w:val="000000"/>
          <w:spacing w:val="0"/>
          <w:sz w:val="21"/>
        </w:rPr>
        <w:t>8</w:t>
      </w:r>
      <w:r>
        <w:rPr>
          <w:rFonts w:ascii="SKJVQB+å®ä½" w:hAnsi="SKJVQB+å®ä½" w:cs="SKJVQB+å®ä½"/>
          <w:color w:val="000000"/>
          <w:spacing w:val="0"/>
          <w:sz w:val="21"/>
        </w:rPr>
        <w:t>号</w:t>
      </w:r>
    </w:p>
    <w:p>
      <w:pPr>
        <w:framePr w:w="3021"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HALO</w:t>
      </w:r>
      <w:r>
        <w:rPr>
          <w:rFonts w:ascii="SKJVQB+å®ä½" w:hAnsi="SKJVQB+å®ä½" w:cs="SKJVQB+å®ä½"/>
          <w:color w:val="000000"/>
          <w:spacing w:val="0"/>
          <w:sz w:val="21"/>
        </w:rPr>
        <w:t>广场一期四层</w:t>
      </w:r>
      <w:r>
        <w:rPr>
          <w:rFonts w:ascii="Times New Roman"/>
          <w:color w:val="000000"/>
          <w:spacing w:val="0"/>
          <w:sz w:val="21"/>
        </w:rPr>
        <w:t>12-13</w:t>
      </w:r>
      <w:r>
        <w:rPr>
          <w:rFonts w:ascii="SKJVQB+å®ä½" w:hAnsi="SKJVQB+å®ä½" w:cs="SKJVQB+å®ä½"/>
          <w:color w:val="000000"/>
          <w:spacing w:val="0"/>
          <w:sz w:val="21"/>
        </w:rPr>
        <w:t>室</w:t>
      </w:r>
    </w:p>
    <w:p>
      <w:pPr>
        <w:framePr w:w="3021"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法定代表人：薛峰</w:t>
      </w:r>
    </w:p>
    <w:p>
      <w:pPr>
        <w:framePr w:w="2901"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深圳众禄基金销售股份有限</w:t>
      </w:r>
    </w:p>
    <w:p>
      <w:pPr>
        <w:framePr w:w="2901" w:wrap="around" w:vAnchor="margin" w:hAnchor="text" w:x="4640"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1789" w:wrap="around" w:vAnchor="margin" w:hAnchor="text" w:x="7482" w:y="1306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联系人：龚江江</w:t>
      </w:r>
    </w:p>
    <w:p>
      <w:pPr>
        <w:framePr w:w="2588" w:wrap="around" w:vAnchor="margin" w:hAnchor="text" w:x="7482" w:y="133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0755-33227950</w:t>
      </w:r>
    </w:p>
    <w:p>
      <w:pPr>
        <w:framePr w:w="2588"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0755-33227951</w:t>
      </w:r>
    </w:p>
    <w:p>
      <w:pPr>
        <w:framePr w:w="2588"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4006-788-887</w:t>
      </w:r>
    </w:p>
    <w:p>
      <w:pPr>
        <w:framePr w:w="2588" w:wrap="around" w:vAnchor="margin" w:hAnchor="text" w:x="7482" w:y="1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www.zlfund.cn</w:t>
      </w:r>
      <w:r>
        <w:rPr>
          <w:rFonts w:ascii="SKJVQB+å®ä½" w:hAnsi="SKJVQB+å®ä½" w:cs="SKJVQB+å®ä½"/>
          <w:color w:val="000000"/>
          <w:spacing w:val="0"/>
          <w:sz w:val="21"/>
        </w:rPr>
        <w:t>、</w:t>
      </w:r>
    </w:p>
    <w:p>
      <w:pPr>
        <w:framePr w:w="2588" w:wrap="around" w:vAnchor="margin" w:hAnchor="text" w:x="7482" w:y="13367"/>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www.jjmmw.com</w:t>
      </w:r>
    </w:p>
    <w:p>
      <w:pPr>
        <w:framePr w:w="526" w:wrap="around" w:vAnchor="margin" w:hAnchor="text" w:x="4213" w:y="1493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72</w:t>
      </w:r>
    </w:p>
    <w:p>
      <w:pPr>
        <w:framePr w:w="2901" w:wrap="around" w:vAnchor="margin" w:hAnchor="text" w:x="4640"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上海好买基金销售有限公司</w:t>
      </w:r>
    </w:p>
    <w:p>
      <w:pPr>
        <w:framePr w:w="3020" w:wrap="around" w:vAnchor="margin" w:hAnchor="text" w:x="7482"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注册地址：上海市虹口区欧阳</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53</w:t>
      </w:r>
    </w:p>
    <w:p>
      <w:pPr>
        <w:spacing w:before="0" w:after="0" w:line="0" w:lineRule="exact"/>
        <w:ind w:left="0" w:right="0"/>
        <w:jc w:val="left"/>
        <w:rPr>
          <w:rFonts w:ascii="Arial"/>
          <w:color w:val="FF0000"/>
          <w:spacing w:val="0"/>
          <w:sz w:val="2"/>
        </w:rPr>
      </w:pPr>
      <w:r>
        <w:pict>
          <v:shape id="_x0000111" o:spid="_x0000_s113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96" o:title=""/>
            <o:lock v:ext="edit" aspectratio="t"/>
          </v:shape>
        </w:pict>
      </w:r>
      <w:r>
        <w:pict>
          <v:shape id="_x0000112" o:spid="_x0000_s113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9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196</w:t>
      </w:r>
      <w:r>
        <w:rPr>
          <w:rFonts w:ascii="SKJVQB+å®ä½" w:hAnsi="SKJVQB+å®ä½" w:cs="SKJVQB+å®ä½"/>
          <w:color w:val="000000"/>
          <w:spacing w:val="0"/>
          <w:sz w:val="21"/>
        </w:rPr>
        <w:t xml:space="preserve">号  </w:t>
      </w:r>
      <w:r>
        <w:rPr>
          <w:rFonts w:ascii="Times New Roman"/>
          <w:color w:val="000000"/>
          <w:spacing w:val="0"/>
          <w:sz w:val="21"/>
        </w:rPr>
        <w:t>26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 xml:space="preserve">楼  </w:t>
      </w:r>
      <w:r>
        <w:rPr>
          <w:rFonts w:ascii="Times New Roman"/>
          <w:color w:val="000000"/>
          <w:spacing w:val="0"/>
          <w:sz w:val="21"/>
        </w:rPr>
        <w:t>41</w:t>
      </w:r>
      <w:r>
        <w:rPr>
          <w:rFonts w:ascii="SKJVQB+å®ä½" w:hAnsi="SKJVQB+å®ä½" w:cs="SKJVQB+å®ä½"/>
          <w:color w:val="000000"/>
          <w:spacing w:val="0"/>
          <w:sz w:val="21"/>
        </w:rPr>
        <w:t>号</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办公地址：上海市浦东新区浦</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东南路 </w:t>
      </w:r>
      <w:r>
        <w:rPr>
          <w:rFonts w:ascii="Times New Roman"/>
          <w:color w:val="000000"/>
          <w:spacing w:val="0"/>
          <w:sz w:val="21"/>
        </w:rPr>
        <w:t>1118</w:t>
      </w:r>
      <w:r>
        <w:rPr>
          <w:rFonts w:ascii="SKJVQB+å®ä½" w:hAnsi="SKJVQB+å®ä½" w:cs="SKJVQB+å®ä½"/>
          <w:color w:val="000000"/>
          <w:spacing w:val="0"/>
          <w:sz w:val="21"/>
        </w:rPr>
        <w:t>号鄂尔多斯国际</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903</w:t>
      </w:r>
      <w:r>
        <w:rPr>
          <w:rFonts w:ascii="SKJVQB+å®ä½" w:hAnsi="SKJVQB+å®ä½" w:cs="SKJVQB+å®ä½"/>
          <w:color w:val="000000"/>
          <w:spacing w:val="0"/>
          <w:sz w:val="21"/>
        </w:rPr>
        <w:t>～</w:t>
      </w:r>
      <w:r>
        <w:rPr>
          <w:rFonts w:ascii="Times New Roman"/>
          <w:color w:val="000000"/>
          <w:spacing w:val="0"/>
          <w:sz w:val="21"/>
        </w:rPr>
        <w:t>906</w:t>
      </w:r>
      <w:r>
        <w:rPr>
          <w:rFonts w:ascii="SKJVQB+å®ä½" w:hAnsi="SKJVQB+å®ä½" w:cs="SKJVQB+å®ä½"/>
          <w:color w:val="000000"/>
          <w:spacing w:val="0"/>
          <w:sz w:val="21"/>
        </w:rPr>
        <w:t>室；上海市虹</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口区欧阳路 </w:t>
      </w:r>
      <w:r>
        <w:rPr>
          <w:rFonts w:ascii="Times New Roman"/>
          <w:color w:val="000000"/>
          <w:spacing w:val="0"/>
          <w:sz w:val="21"/>
        </w:rPr>
        <w:t>196</w:t>
      </w:r>
      <w:r>
        <w:rPr>
          <w:rFonts w:ascii="SKJVQB+å®ä½" w:hAnsi="SKJVQB+å®ä½" w:cs="SKJVQB+å®ä½"/>
          <w:color w:val="000000"/>
          <w:spacing w:val="0"/>
          <w:sz w:val="21"/>
        </w:rPr>
        <w:t>号（法兰桥创</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意园）</w:t>
      </w:r>
      <w:r>
        <w:rPr>
          <w:rFonts w:ascii="Times New Roman"/>
          <w:color w:val="000000"/>
          <w:spacing w:val="0"/>
          <w:sz w:val="21"/>
        </w:rPr>
        <w:t>26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楼</w:t>
      </w:r>
    </w:p>
    <w:p>
      <w:pPr>
        <w:framePr w:w="2209" w:wrap="around" w:vAnchor="margin" w:hAnchor="text" w:x="7482" w:y="335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法定代表人：杨文斌</w:t>
      </w:r>
    </w:p>
    <w:p>
      <w:pPr>
        <w:framePr w:w="1578" w:wrap="around" w:vAnchor="margin" w:hAnchor="text" w:x="7482" w:y="36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联系人：张茹</w:t>
      </w:r>
    </w:p>
    <w:p>
      <w:pPr>
        <w:framePr w:w="2178" w:wrap="around" w:vAnchor="margin" w:hAnchor="text" w:x="7482" w:y="39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021-20613999</w:t>
      </w:r>
    </w:p>
    <w:p>
      <w:pPr>
        <w:framePr w:w="2178" w:wrap="around" w:vAnchor="margin" w:hAnchor="text" w:x="7482" w:y="42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021-68596916</w:t>
      </w:r>
    </w:p>
    <w:p>
      <w:pPr>
        <w:framePr w:w="2641" w:wrap="around" w:vAnchor="margin" w:hAnchor="text" w:x="7482" w:y="45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400-700-9665</w:t>
      </w:r>
    </w:p>
    <w:p>
      <w:pPr>
        <w:framePr w:w="2641" w:wrap="around" w:vAnchor="margin" w:hAnchor="text" w:x="7482" w:y="45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www.ehowbuy.com</w:t>
      </w:r>
    </w:p>
    <w:p>
      <w:pPr>
        <w:framePr w:w="526" w:wrap="around" w:vAnchor="margin" w:hAnchor="text" w:x="4213" w:y="523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73</w:t>
      </w:r>
    </w:p>
    <w:p>
      <w:pPr>
        <w:framePr w:w="526" w:wrap="around" w:vAnchor="margin" w:hAnchor="text" w:x="4213" w:y="5230"/>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74</w:t>
      </w:r>
    </w:p>
    <w:p>
      <w:pPr>
        <w:framePr w:w="526" w:wrap="around" w:vAnchor="margin" w:hAnchor="text" w:x="4213" w:y="5230"/>
        <w:widowControl w:val="0"/>
        <w:autoSpaceDE w:val="0"/>
        <w:autoSpaceDN w:val="0"/>
        <w:spacing w:before="0" w:after="0" w:line="3133" w:lineRule="exact"/>
        <w:ind w:left="0" w:right="0"/>
        <w:jc w:val="left"/>
        <w:rPr>
          <w:rFonts w:ascii="Times New Roman"/>
          <w:color w:val="000000"/>
          <w:spacing w:val="0"/>
          <w:sz w:val="21"/>
        </w:rPr>
      </w:pPr>
      <w:r>
        <w:rPr>
          <w:rFonts w:ascii="Times New Roman"/>
          <w:color w:val="000000"/>
          <w:spacing w:val="0"/>
          <w:sz w:val="21"/>
        </w:rPr>
        <w:t>75</w:t>
      </w:r>
    </w:p>
    <w:p>
      <w:pPr>
        <w:framePr w:w="3020" w:wrap="around" w:vAnchor="margin" w:hAnchor="text" w:x="4640"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蚂蚁（杭州）基金销售有限公</w:t>
      </w:r>
    </w:p>
    <w:p>
      <w:pPr>
        <w:framePr w:w="3020" w:wrap="around" w:vAnchor="margin" w:hAnchor="text" w:x="4640"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3"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注册地址：浙江省杭州市余杭</w:t>
      </w:r>
    </w:p>
    <w:p>
      <w:pPr>
        <w:framePr w:w="3023" w:wrap="around" w:vAnchor="margin" w:hAnchor="text" w:x="7482" w:y="52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区五常街道文一西路 </w:t>
      </w:r>
      <w:r>
        <w:rPr>
          <w:rFonts w:ascii="Times New Roman"/>
          <w:color w:val="000000"/>
          <w:spacing w:val="0"/>
          <w:sz w:val="21"/>
        </w:rPr>
        <w:t>969</w:t>
      </w:r>
      <w:r>
        <w:rPr>
          <w:rFonts w:ascii="SKJVQB+å®ä½" w:hAnsi="SKJVQB+å®ä½" w:cs="SKJVQB+å®ä½"/>
          <w:color w:val="000000"/>
          <w:spacing w:val="0"/>
          <w:sz w:val="21"/>
        </w:rPr>
        <w:t xml:space="preserve">号 </w:t>
      </w:r>
      <w:r>
        <w:rPr>
          <w:rFonts w:ascii="Times New Roman"/>
          <w:color w:val="000000"/>
          <w:spacing w:val="0"/>
          <w:sz w:val="21"/>
        </w:rPr>
        <w:t xml:space="preserve"> 3</w:t>
      </w:r>
    </w:p>
    <w:p>
      <w:pPr>
        <w:framePr w:w="3023" w:wrap="around" w:vAnchor="margin" w:hAnchor="text" w:x="7482"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幢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599</w:t>
      </w:r>
      <w:r>
        <w:rPr>
          <w:rFonts w:ascii="SKJVQB+å®ä½" w:hAnsi="SKJVQB+å®ä½" w:cs="SKJVQB+å®ä½"/>
          <w:color w:val="000000"/>
          <w:spacing w:val="0"/>
          <w:sz w:val="21"/>
        </w:rPr>
        <w:t>室</w:t>
      </w:r>
    </w:p>
    <w:p>
      <w:pPr>
        <w:framePr w:w="3020"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办公地址：浙江省杭州市西湖</w:t>
      </w:r>
    </w:p>
    <w:p>
      <w:pPr>
        <w:framePr w:w="3020" w:wrap="around" w:vAnchor="margin" w:hAnchor="text" w:x="7482" w:y="61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区万塘路 </w:t>
      </w:r>
      <w:r>
        <w:rPr>
          <w:rFonts w:ascii="Times New Roman"/>
          <w:color w:val="000000"/>
          <w:spacing w:val="0"/>
          <w:sz w:val="21"/>
        </w:rPr>
        <w:t>18</w:t>
      </w:r>
      <w:r>
        <w:rPr>
          <w:rFonts w:ascii="SKJVQB+å®ä½" w:hAnsi="SKJVQB+å®ä½" w:cs="SKJVQB+å®ä½"/>
          <w:color w:val="000000"/>
          <w:spacing w:val="0"/>
          <w:sz w:val="21"/>
        </w:rPr>
        <w:t>号黄龙时代广场</w:t>
      </w:r>
    </w:p>
    <w:p>
      <w:pPr>
        <w:framePr w:w="3020" w:wrap="around" w:vAnchor="margin" w:hAnchor="text" w:x="7482" w:y="6175"/>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 xml:space="preserve"> 6F</w:t>
      </w:r>
    </w:p>
    <w:p>
      <w:pPr>
        <w:framePr w:w="2209" w:wrap="around" w:vAnchor="margin" w:hAnchor="text" w:x="7482" w:y="711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法定代表人：祖国明</w:t>
      </w:r>
    </w:p>
    <w:p>
      <w:pPr>
        <w:framePr w:w="2209" w:wrap="around" w:vAnchor="margin" w:hAnchor="text" w:x="7482" w:y="71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联系人：韩爱彬</w:t>
      </w:r>
    </w:p>
    <w:p>
      <w:pPr>
        <w:framePr w:w="3020" w:wrap="around" w:vAnchor="margin" w:hAnchor="text" w:x="7482" w:y="772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4000-766-123</w:t>
      </w:r>
    </w:p>
    <w:p>
      <w:pPr>
        <w:framePr w:w="3020" w:wrap="around" w:vAnchor="margin" w:hAnchor="text" w:x="7482" w:y="772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公司网址：</w:t>
      </w:r>
      <w:r>
        <w:rPr>
          <w:rFonts w:ascii="Times New Roman"/>
          <w:color w:val="000000"/>
          <w:spacing w:val="0"/>
          <w:sz w:val="21"/>
        </w:rPr>
        <w:t>www.fund123.cn</w:t>
      </w:r>
    </w:p>
    <w:p>
      <w:pPr>
        <w:framePr w:w="3020" w:wrap="around" w:vAnchor="margin" w:hAnchor="text" w:x="7482" w:y="772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注册地址：上海市浦东新区高</w:t>
      </w:r>
    </w:p>
    <w:p>
      <w:pPr>
        <w:framePr w:w="3020" w:wrap="around" w:vAnchor="margin" w:hAnchor="text" w:x="7482" w:y="7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翔路 </w:t>
      </w:r>
      <w:r>
        <w:rPr>
          <w:rFonts w:ascii="Times New Roman"/>
          <w:color w:val="000000"/>
          <w:spacing w:val="0"/>
          <w:sz w:val="21"/>
        </w:rPr>
        <w:t>526</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幢  </w:t>
      </w:r>
      <w:r>
        <w:rPr>
          <w:rFonts w:ascii="Times New Roman"/>
          <w:color w:val="000000"/>
          <w:spacing w:val="0"/>
          <w:sz w:val="21"/>
        </w:rPr>
        <w:t>220</w:t>
      </w:r>
      <w:r>
        <w:rPr>
          <w:rFonts w:ascii="SKJVQB+å®ä½" w:hAnsi="SKJVQB+å®ä½" w:cs="SKJVQB+å®ä½"/>
          <w:color w:val="000000"/>
          <w:spacing w:val="0"/>
          <w:sz w:val="21"/>
        </w:rPr>
        <w:t>室</w:t>
      </w:r>
    </w:p>
    <w:p>
      <w:pPr>
        <w:framePr w:w="3020" w:wrap="around" w:vAnchor="margin" w:hAnchor="text" w:x="7482" w:y="7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办公地址：上海市浦东新区东</w:t>
      </w:r>
    </w:p>
    <w:p>
      <w:pPr>
        <w:framePr w:w="3020" w:wrap="around" w:vAnchor="margin" w:hAnchor="text" w:x="7482" w:y="7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方路 </w:t>
      </w:r>
      <w:r>
        <w:rPr>
          <w:rFonts w:ascii="Times New Roman"/>
          <w:color w:val="000000"/>
          <w:spacing w:val="0"/>
          <w:sz w:val="21"/>
        </w:rPr>
        <w:t>1267</w:t>
      </w:r>
      <w:r>
        <w:rPr>
          <w:rFonts w:ascii="SKJVQB+å®ä½" w:hAnsi="SKJVQB+å®ä½" w:cs="SKJVQB+å®ä½"/>
          <w:color w:val="000000"/>
          <w:spacing w:val="0"/>
          <w:sz w:val="21"/>
        </w:rPr>
        <w:t xml:space="preserve">号  </w:t>
      </w:r>
      <w:r>
        <w:rPr>
          <w:rFonts w:ascii="Times New Roman"/>
          <w:color w:val="000000"/>
          <w:spacing w:val="0"/>
          <w:sz w:val="21"/>
        </w:rPr>
        <w:t>11</w:t>
      </w:r>
      <w:r>
        <w:rPr>
          <w:rFonts w:ascii="SKJVQB+å®ä½" w:hAnsi="SKJVQB+å®ä½" w:cs="SKJVQB+å®ä½"/>
          <w:color w:val="000000"/>
          <w:spacing w:val="0"/>
          <w:sz w:val="21"/>
        </w:rPr>
        <w:t>层</w:t>
      </w:r>
    </w:p>
    <w:p>
      <w:pPr>
        <w:framePr w:w="2901" w:wrap="around" w:vAnchor="margin" w:hAnchor="text" w:x="4640"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上海长量基金销售有限公司</w:t>
      </w:r>
    </w:p>
    <w:p>
      <w:pPr>
        <w:framePr w:w="2209" w:wrap="around" w:vAnchor="margin" w:hAnchor="text" w:x="7482" w:y="96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法定代表人：张跃伟</w:t>
      </w:r>
    </w:p>
    <w:p>
      <w:pPr>
        <w:framePr w:w="2209" w:wrap="around" w:vAnchor="margin" w:hAnchor="text" w:x="7482" w:y="96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联系人：邱燕芳</w:t>
      </w:r>
    </w:p>
    <w:p>
      <w:pPr>
        <w:framePr w:w="3021"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021-20691831</w:t>
      </w:r>
    </w:p>
    <w:p>
      <w:pPr>
        <w:framePr w:w="3021" w:wrap="around" w:vAnchor="margin" w:hAnchor="text" w:x="7482" w:y="1023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021-20691861</w:t>
      </w:r>
    </w:p>
    <w:p>
      <w:pPr>
        <w:framePr w:w="3021"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400-820-2899</w:t>
      </w:r>
    </w:p>
    <w:p>
      <w:pPr>
        <w:framePr w:w="3021"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www.erichfund.com</w:t>
      </w:r>
    </w:p>
    <w:p>
      <w:pPr>
        <w:framePr w:w="3021" w:wrap="around" w:vAnchor="margin" w:hAnchor="text" w:x="7482" w:y="1023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注册地址：上海市徐汇区龙田</w:t>
      </w:r>
    </w:p>
    <w:p>
      <w:pPr>
        <w:framePr w:w="3021"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190</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层</w:t>
      </w:r>
    </w:p>
    <w:p>
      <w:pPr>
        <w:framePr w:w="3021"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办公地址：上海市徐汇区宛平</w:t>
      </w:r>
    </w:p>
    <w:p>
      <w:pPr>
        <w:framePr w:w="3021"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88</w:t>
      </w:r>
      <w:r>
        <w:rPr>
          <w:rFonts w:ascii="SKJVQB+å®ä½" w:hAnsi="SKJVQB+å®ä½" w:cs="SKJVQB+å®ä½"/>
          <w:color w:val="000000"/>
          <w:spacing w:val="0"/>
          <w:sz w:val="21"/>
        </w:rPr>
        <w:t>号金座大楼（东方财</w:t>
      </w:r>
    </w:p>
    <w:p>
      <w:pPr>
        <w:framePr w:w="3021"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富大厦）</w:t>
      </w:r>
    </w:p>
    <w:p>
      <w:pPr>
        <w:framePr w:w="2901" w:wrap="around" w:vAnchor="margin" w:hAnchor="text" w:x="4640"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上海天天基金销售有限公司</w:t>
      </w:r>
    </w:p>
    <w:p>
      <w:pPr>
        <w:framePr w:w="1998" w:wrap="around" w:vAnchor="margin" w:hAnchor="text" w:x="7482" w:y="1306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法定代表人：其实</w:t>
      </w:r>
    </w:p>
    <w:p>
      <w:pPr>
        <w:framePr w:w="1789" w:wrap="around" w:vAnchor="margin" w:hAnchor="text" w:x="7482" w:y="1337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联系人：潘世友</w:t>
      </w:r>
    </w:p>
    <w:p>
      <w:pPr>
        <w:framePr w:w="2178" w:wrap="around" w:vAnchor="margin" w:hAnchor="text" w:x="7482" w:y="13680"/>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021-54509977</w:t>
      </w:r>
    </w:p>
    <w:p>
      <w:pPr>
        <w:framePr w:w="2178"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021-64385308</w:t>
      </w:r>
    </w:p>
    <w:p>
      <w:pPr>
        <w:framePr w:w="2178"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95021 /</w:t>
      </w:r>
    </w:p>
    <w:p>
      <w:pPr>
        <w:framePr w:w="1369" w:wrap="around" w:vAnchor="margin" w:hAnchor="text" w:x="7482" w:y="1461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4001818188</w:t>
      </w:r>
    </w:p>
    <w:p>
      <w:pPr>
        <w:framePr w:w="2905" w:wrap="around" w:vAnchor="margin" w:hAnchor="text" w:x="7482" w:y="14928"/>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www.1234567.com.cn</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54</w:t>
      </w:r>
    </w:p>
    <w:p>
      <w:pPr>
        <w:spacing w:before="0" w:after="0" w:line="0" w:lineRule="exact"/>
        <w:ind w:left="0" w:right="0"/>
        <w:jc w:val="left"/>
        <w:rPr>
          <w:rFonts w:ascii="Arial"/>
          <w:color w:val="FF0000"/>
          <w:spacing w:val="0"/>
          <w:sz w:val="2"/>
        </w:rPr>
      </w:pPr>
      <w:r>
        <w:pict>
          <v:shape id="_x0000113" o:spid="_x0000_s113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98" o:title=""/>
            <o:lock v:ext="edit" aspectratio="t"/>
          </v:shape>
        </w:pict>
      </w:r>
      <w:r>
        <w:pict>
          <v:shape id="_x0000114" o:spid="_x0000_s1140"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9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26" w:wrap="around" w:vAnchor="margin" w:hAnchor="text" w:x="4213"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76</w:t>
      </w:r>
    </w:p>
    <w:p>
      <w:pPr>
        <w:framePr w:w="2901" w:wrap="around" w:vAnchor="margin" w:hAnchor="text" w:x="4640"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北京展恒基金销售股份有限</w:t>
      </w:r>
    </w:p>
    <w:p>
      <w:pPr>
        <w:framePr w:w="2901" w:wrap="around" w:vAnchor="margin" w:hAnchor="text" w:x="4640"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注册地址：北京市顺义区后沙</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峪镇安富街 </w:t>
      </w:r>
      <w:r>
        <w:rPr>
          <w:rFonts w:ascii="Times New Roman"/>
          <w:color w:val="000000"/>
          <w:spacing w:val="0"/>
          <w:sz w:val="21"/>
        </w:rPr>
        <w:t>6</w:t>
      </w:r>
      <w:r>
        <w:rPr>
          <w:rFonts w:ascii="SKJVQB+å®ä½" w:hAnsi="SKJVQB+å®ä½" w:cs="SKJVQB+å®ä½"/>
          <w:color w:val="000000"/>
          <w:spacing w:val="0"/>
          <w:sz w:val="21"/>
        </w:rPr>
        <w:t>号</w:t>
      </w:r>
    </w:p>
    <w:p>
      <w:pPr>
        <w:framePr w:w="3020" w:wrap="around" w:vAnchor="margin" w:hAnchor="text" w:x="7482" w:y="21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办公地址：北京市朝阳区安苑</w:t>
      </w:r>
    </w:p>
    <w:p>
      <w:pPr>
        <w:framePr w:w="3020" w:wrap="around" w:vAnchor="margin" w:hAnchor="text" w:x="7482" w:y="21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15-1</w:t>
      </w:r>
      <w:r>
        <w:rPr>
          <w:rFonts w:ascii="SKJVQB+å®ä½" w:hAnsi="SKJVQB+å®ä½" w:cs="SKJVQB+å®ä½"/>
          <w:color w:val="000000"/>
          <w:spacing w:val="0"/>
          <w:sz w:val="21"/>
        </w:rPr>
        <w:t>号邮电新闻大厦西侧</w:t>
      </w:r>
    </w:p>
    <w:p>
      <w:pPr>
        <w:framePr w:w="3020" w:wrap="around" w:vAnchor="margin" w:hAnchor="text" w:x="7482" w:y="21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6</w:t>
      </w:r>
      <w:r>
        <w:rPr>
          <w:rFonts w:ascii="SKJVQB+å®ä½" w:hAnsi="SKJVQB+å®ä½" w:cs="SKJVQB+å®ä½"/>
          <w:color w:val="000000"/>
          <w:spacing w:val="0"/>
          <w:sz w:val="21"/>
        </w:rPr>
        <w:t>层</w:t>
      </w:r>
    </w:p>
    <w:p>
      <w:pPr>
        <w:framePr w:w="1789" w:wrap="around" w:vAnchor="margin" w:hAnchor="text" w:x="7482" w:y="30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联系人：武文佳</w:t>
      </w:r>
    </w:p>
    <w:p>
      <w:pPr>
        <w:framePr w:w="3020"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010-59601338</w:t>
      </w:r>
    </w:p>
    <w:p>
      <w:pPr>
        <w:framePr w:w="3020"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4008188000</w:t>
      </w:r>
    </w:p>
    <w:p>
      <w:pPr>
        <w:framePr w:w="3020"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www.myfund.com</w:t>
      </w:r>
    </w:p>
    <w:p>
      <w:pPr>
        <w:framePr w:w="3020" w:wrap="around" w:vAnchor="margin" w:hAnchor="text" w:x="7482" w:y="335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注册地址：浙江省杭州市文二</w:t>
      </w:r>
    </w:p>
    <w:p>
      <w:pPr>
        <w:framePr w:w="3020" w:wrap="around" w:vAnchor="margin" w:hAnchor="text" w:x="7482" w:y="335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西路一号元茂大厦 </w:t>
      </w:r>
      <w:r>
        <w:rPr>
          <w:rFonts w:ascii="Times New Roman"/>
          <w:color w:val="000000"/>
          <w:spacing w:val="0"/>
          <w:sz w:val="21"/>
        </w:rPr>
        <w:t>903</w:t>
      </w:r>
      <w:r>
        <w:rPr>
          <w:rFonts w:ascii="SKJVQB+å®ä½" w:hAnsi="SKJVQB+å®ä½" w:cs="SKJVQB+å®ä½"/>
          <w:color w:val="000000"/>
          <w:spacing w:val="0"/>
          <w:sz w:val="21"/>
        </w:rPr>
        <w:t>室</w:t>
      </w:r>
    </w:p>
    <w:p>
      <w:pPr>
        <w:framePr w:w="3020" w:wrap="around" w:vAnchor="margin" w:hAnchor="text" w:x="7482" w:y="33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办公地址：杭州市余杭区五常</w:t>
      </w:r>
    </w:p>
    <w:p>
      <w:pPr>
        <w:framePr w:w="3020" w:wrap="around" w:vAnchor="margin" w:hAnchor="text" w:x="7482" w:y="33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街道同顺街 </w:t>
      </w:r>
      <w:r>
        <w:rPr>
          <w:rFonts w:ascii="Times New Roman"/>
          <w:color w:val="000000"/>
          <w:spacing w:val="0"/>
          <w:sz w:val="21"/>
        </w:rPr>
        <w:t>18</w:t>
      </w:r>
      <w:r>
        <w:rPr>
          <w:rFonts w:ascii="SKJVQB+å®ä½" w:hAnsi="SKJVQB+å®ä½" w:cs="SKJVQB+å®ä½"/>
          <w:color w:val="000000"/>
          <w:spacing w:val="0"/>
          <w:sz w:val="21"/>
        </w:rPr>
        <w:t xml:space="preserve"> 号同花顺大</w:t>
      </w:r>
    </w:p>
    <w:p>
      <w:pPr>
        <w:framePr w:w="3020" w:wrap="around" w:vAnchor="margin" w:hAnchor="text" w:x="7482" w:y="33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w:t>
      </w:r>
      <w:r>
        <w:rPr>
          <w:rFonts w:ascii="SKJVQB+å®ä½" w:hAnsi="SKJVQB+å®ä½" w:cs="SKJVQB+å®ä½"/>
          <w:color w:val="000000"/>
          <w:spacing w:val="0"/>
          <w:sz w:val="21"/>
        </w:rPr>
        <w:t>层</w:t>
      </w:r>
    </w:p>
    <w:p>
      <w:pPr>
        <w:framePr w:w="526" w:wrap="around" w:vAnchor="margin" w:hAnchor="text" w:x="4213"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77</w:t>
      </w:r>
    </w:p>
    <w:p>
      <w:pPr>
        <w:framePr w:w="2901"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浙江同花顺基金销售有限公</w:t>
      </w:r>
    </w:p>
    <w:p>
      <w:pPr>
        <w:framePr w:w="2901" w:wrap="around" w:vAnchor="margin" w:hAnchor="text" w:x="4640"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1998" w:wrap="around" w:vAnchor="margin" w:hAnchor="text" w:x="7482" w:y="58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法定代表人：吴强</w:t>
      </w:r>
    </w:p>
    <w:p>
      <w:pPr>
        <w:framePr w:w="1578"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联系人：吴强</w:t>
      </w:r>
    </w:p>
    <w:p>
      <w:pPr>
        <w:framePr w:w="3020"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0571-88911818</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0571-86800423</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4008-773-772</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www.5ifund.com</w:t>
      </w:r>
    </w:p>
    <w:p>
      <w:pPr>
        <w:framePr w:w="3020" w:wrap="around" w:vAnchor="margin" w:hAnchor="text" w:x="7482" w:y="648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注册地址：北京市朝阳区建国</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门外光华路 </w:t>
      </w:r>
      <w:r>
        <w:rPr>
          <w:rFonts w:ascii="Times New Roman"/>
          <w:color w:val="000000"/>
          <w:spacing w:val="0"/>
          <w:sz w:val="21"/>
        </w:rPr>
        <w:t>14</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11</w:t>
      </w:r>
      <w:r>
        <w:rPr>
          <w:rFonts w:ascii="SKJVQB+å®ä½" w:hAnsi="SKJVQB+å®ä½" w:cs="SKJVQB+å®ä½"/>
          <w:color w:val="000000"/>
          <w:spacing w:val="0"/>
          <w:sz w:val="21"/>
        </w:rPr>
        <w:t>层</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1103</w:t>
      </w:r>
      <w:r>
        <w:rPr>
          <w:rFonts w:ascii="SKJVQB+å®ä½" w:hAnsi="SKJVQB+å®ä½" w:cs="SKJVQB+å®ä½"/>
          <w:color w:val="000000"/>
          <w:spacing w:val="0"/>
          <w:sz w:val="21"/>
        </w:rPr>
        <w:t>号</w:t>
      </w:r>
    </w:p>
    <w:p>
      <w:pPr>
        <w:framePr w:w="526" w:wrap="around" w:vAnchor="margin" w:hAnchor="text" w:x="4213" w:y="77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78</w:t>
      </w:r>
    </w:p>
    <w:p>
      <w:pPr>
        <w:framePr w:w="2901"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北京中期时代基金销售有限</w:t>
      </w:r>
    </w:p>
    <w:p>
      <w:pPr>
        <w:framePr w:w="2901" w:wrap="around" w:vAnchor="margin" w:hAnchor="text" w:x="4640"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办公地址：北京市朝阳区光华</w:t>
      </w:r>
    </w:p>
    <w:p>
      <w:pPr>
        <w:framePr w:w="3020"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16</w:t>
      </w:r>
      <w:r>
        <w:rPr>
          <w:rFonts w:ascii="SKJVQB+å®ä½" w:hAnsi="SKJVQB+å®ä½" w:cs="SKJVQB+å®ä½"/>
          <w:color w:val="000000"/>
          <w:spacing w:val="0"/>
          <w:sz w:val="21"/>
        </w:rPr>
        <w:t xml:space="preserve">号中期大厦  </w:t>
      </w:r>
      <w:r>
        <w:rPr>
          <w:rFonts w:ascii="Times New Roman"/>
          <w:color w:val="000000"/>
          <w:spacing w:val="0"/>
          <w:sz w:val="21"/>
        </w:rPr>
        <w:t>2</w:t>
      </w:r>
      <w:r>
        <w:rPr>
          <w:rFonts w:ascii="SKJVQB+å®ä½" w:hAnsi="SKJVQB+å®ä½" w:cs="SKJVQB+å®ä½"/>
          <w:color w:val="000000"/>
          <w:spacing w:val="0"/>
          <w:sz w:val="21"/>
        </w:rPr>
        <w:t>层</w:t>
      </w:r>
    </w:p>
    <w:p>
      <w:pPr>
        <w:framePr w:w="3020"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法定代表人：姜新</w:t>
      </w:r>
    </w:p>
    <w:p>
      <w:pPr>
        <w:framePr w:w="1578" w:wrap="around" w:vAnchor="margin" w:hAnchor="text" w:x="7482" w:y="96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联系人：尹庆</w:t>
      </w:r>
    </w:p>
    <w:p>
      <w:pPr>
        <w:framePr w:w="2626" w:wrap="around" w:vAnchor="margin" w:hAnchor="text" w:x="7482" w:y="992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010-65807865</w:t>
      </w:r>
    </w:p>
    <w:p>
      <w:pPr>
        <w:framePr w:w="2626" w:wrap="around" w:vAnchor="margin" w:hAnchor="text" w:x="7482" w:y="992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010-65807864</w:t>
      </w:r>
    </w:p>
    <w:p>
      <w:pPr>
        <w:framePr w:w="2626" w:wrap="around" w:vAnchor="margin" w:hAnchor="text" w:x="7482" w:y="9923"/>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010-65807609</w:t>
      </w:r>
    </w:p>
    <w:p>
      <w:pPr>
        <w:framePr w:w="2626" w:wrap="around" w:vAnchor="margin" w:hAnchor="text" w:x="7482" w:y="992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116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http://www.cifcofund.com</w:t>
      </w:r>
    </w:p>
    <w:p>
      <w:pPr>
        <w:framePr w:w="3020" w:wrap="around" w:vAnchor="margin" w:hAnchor="text" w:x="7482" w:y="11169"/>
        <w:widowControl w:val="0"/>
        <w:autoSpaceDE w:val="0"/>
        <w:autoSpaceDN w:val="0"/>
        <w:spacing w:before="0" w:after="0" w:line="326"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注册地址：北京市朝阳区望京</w:t>
      </w:r>
    </w:p>
    <w:p>
      <w:pPr>
        <w:framePr w:w="3020" w:wrap="around" w:vAnchor="margin" w:hAnchor="text" w:x="7482" w:y="11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 </w:t>
      </w:r>
      <w:r>
        <w:rPr>
          <w:rFonts w:ascii="Times New Roman"/>
          <w:color w:val="000000"/>
          <w:spacing w:val="0"/>
          <w:sz w:val="21"/>
        </w:rPr>
        <w:t>13</w:t>
      </w:r>
      <w:r>
        <w:rPr>
          <w:rFonts w:ascii="SKJVQB+å®ä½" w:hAnsi="SKJVQB+å®ä½" w:cs="SKJVQB+å®ä½"/>
          <w:color w:val="000000"/>
          <w:spacing w:val="0"/>
          <w:sz w:val="21"/>
        </w:rPr>
        <w:t xml:space="preserve">号楼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9</w:t>
      </w:r>
      <w:r>
        <w:rPr>
          <w:rFonts w:ascii="SKJVQB+å®ä½" w:hAnsi="SKJVQB+å®ä½" w:cs="SKJVQB+å®ä½"/>
          <w:color w:val="000000"/>
          <w:spacing w:val="0"/>
          <w:sz w:val="21"/>
        </w:rPr>
        <w:t>层</w:t>
      </w:r>
    </w:p>
    <w:p>
      <w:pPr>
        <w:framePr w:w="3020" w:wrap="around" w:vAnchor="margin" w:hAnchor="text" w:x="7482" w:y="11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908</w:t>
      </w:r>
      <w:r>
        <w:rPr>
          <w:rFonts w:ascii="SKJVQB+å®ä½" w:hAnsi="SKJVQB+å®ä½" w:cs="SKJVQB+å®ä½"/>
          <w:color w:val="000000"/>
          <w:spacing w:val="0"/>
          <w:sz w:val="21"/>
        </w:rPr>
        <w:t>室</w:t>
      </w:r>
    </w:p>
    <w:p>
      <w:pPr>
        <w:framePr w:w="526" w:wrap="around" w:vAnchor="margin" w:hAnchor="text" w:x="4213" w:y="1149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79</w:t>
      </w:r>
    </w:p>
    <w:p>
      <w:pPr>
        <w:framePr w:w="2418" w:wrap="around" w:vAnchor="margin" w:hAnchor="text" w:x="4640"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浦领基金销售有限公司</w:t>
      </w:r>
    </w:p>
    <w:p>
      <w:pPr>
        <w:framePr w:w="3020"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framePr w:w="3020" w:wrap="around" w:vAnchor="margin" w:hAnchor="text" w:x="7482" w:y="1243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浦项中心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04-08</w:t>
      </w:r>
    </w:p>
    <w:p>
      <w:pPr>
        <w:framePr w:w="3020"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法定代表人：聂婉君</w:t>
      </w:r>
    </w:p>
    <w:p>
      <w:pPr>
        <w:framePr w:w="3020"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联系人：李艳</w:t>
      </w:r>
    </w:p>
    <w:p>
      <w:pPr>
        <w:framePr w:w="3020" w:wrap="around" w:vAnchor="margin" w:hAnchor="text" w:x="7482" w:y="13680"/>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010-59497361</w:t>
      </w:r>
    </w:p>
    <w:p>
      <w:pPr>
        <w:framePr w:w="3020"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010-64788016</w:t>
      </w:r>
    </w:p>
    <w:p>
      <w:pPr>
        <w:framePr w:w="3020"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400-012-5899</w:t>
      </w:r>
    </w:p>
    <w:p>
      <w:pPr>
        <w:framePr w:w="3020"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www.zscffund.com</w:t>
      </w:r>
    </w:p>
    <w:p>
      <w:pPr>
        <w:framePr w:w="3020" w:wrap="around" w:vAnchor="margin" w:hAnchor="text" w:x="7482" w:y="13680"/>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注册地址：北京市朝阳区朝外</w:t>
      </w:r>
    </w:p>
    <w:p>
      <w:pPr>
        <w:framePr w:w="526" w:wrap="around" w:vAnchor="margin" w:hAnchor="text" w:x="4213" w:y="1493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80</w:t>
      </w:r>
    </w:p>
    <w:p>
      <w:pPr>
        <w:framePr w:w="2418" w:wrap="around" w:vAnchor="margin" w:hAnchor="text" w:x="4640"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和讯信息科技有限公司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55</w:t>
      </w:r>
    </w:p>
    <w:p>
      <w:pPr>
        <w:spacing w:before="0" w:after="0" w:line="0" w:lineRule="exact"/>
        <w:ind w:left="0" w:right="0"/>
        <w:jc w:val="left"/>
        <w:rPr>
          <w:rFonts w:ascii="Arial"/>
          <w:color w:val="FF0000"/>
          <w:spacing w:val="0"/>
          <w:sz w:val="2"/>
        </w:rPr>
      </w:pPr>
      <w:r>
        <w:pict>
          <v:shape id="_x0000115" o:spid="_x0000_s114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00" o:title=""/>
            <o:lock v:ext="edit" aspectratio="t"/>
          </v:shape>
        </w:pict>
      </w:r>
      <w:r>
        <w:pict>
          <v:shape id="_x0000116" o:spid="_x0000_s1142"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0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22</w:t>
      </w:r>
      <w:r>
        <w:rPr>
          <w:rFonts w:ascii="SKJVQB+å®ä½" w:hAnsi="SKJVQB+å®ä½" w:cs="SKJVQB+å®ä½"/>
          <w:color w:val="000000"/>
          <w:spacing w:val="0"/>
          <w:sz w:val="21"/>
        </w:rPr>
        <w:t xml:space="preserve">号泛利大厦  </w:t>
      </w:r>
      <w:r>
        <w:rPr>
          <w:rFonts w:ascii="Times New Roman"/>
          <w:color w:val="000000"/>
          <w:spacing w:val="0"/>
          <w:sz w:val="21"/>
        </w:rPr>
        <w:t>10</w:t>
      </w:r>
      <w:r>
        <w:rPr>
          <w:rFonts w:ascii="SKJVQB+å®ä½" w:hAnsi="SKJVQB+å®ä½" w:cs="SKJVQB+å®ä½"/>
          <w:color w:val="000000"/>
          <w:spacing w:val="0"/>
          <w:sz w:val="21"/>
        </w:rPr>
        <w:t>层</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办公地址：北京市朝阳区朝外</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22</w:t>
      </w:r>
      <w:r>
        <w:rPr>
          <w:rFonts w:ascii="SKJVQB+å®ä½" w:hAnsi="SKJVQB+å®ä½" w:cs="SKJVQB+å®ä½"/>
          <w:color w:val="000000"/>
          <w:spacing w:val="0"/>
          <w:sz w:val="21"/>
        </w:rPr>
        <w:t xml:space="preserve">号泛利大厦  </w:t>
      </w:r>
      <w:r>
        <w:rPr>
          <w:rFonts w:ascii="Times New Roman"/>
          <w:color w:val="000000"/>
          <w:spacing w:val="0"/>
          <w:sz w:val="21"/>
        </w:rPr>
        <w:t>10</w:t>
      </w:r>
      <w:r>
        <w:rPr>
          <w:rFonts w:ascii="SKJVQB+å®ä½" w:hAnsi="SKJVQB+å®ä½" w:cs="SKJVQB+å®ä½"/>
          <w:color w:val="000000"/>
          <w:spacing w:val="0"/>
          <w:sz w:val="21"/>
        </w:rPr>
        <w:t>层</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法定代表人：王莉</w:t>
      </w:r>
    </w:p>
    <w:p>
      <w:pPr>
        <w:framePr w:w="1789" w:wrap="around" w:vAnchor="margin" w:hAnchor="text" w:x="7482" w:y="27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联系人：陈慧慧</w:t>
      </w:r>
    </w:p>
    <w:p>
      <w:pPr>
        <w:framePr w:w="2178"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010-85657353</w:t>
      </w:r>
    </w:p>
    <w:p>
      <w:pPr>
        <w:framePr w:w="2178"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010-65884788</w:t>
      </w:r>
    </w:p>
    <w:p>
      <w:pPr>
        <w:framePr w:w="2500" w:wrap="around" w:vAnchor="margin" w:hAnchor="text" w:x="7482" w:y="36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4009200022</w:t>
      </w:r>
    </w:p>
    <w:p>
      <w:pPr>
        <w:framePr w:w="2500" w:wrap="around" w:vAnchor="margin" w:hAnchor="text" w:x="7482" w:y="36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licaike.hexun.com</w:t>
      </w:r>
    </w:p>
    <w:p>
      <w:pPr>
        <w:framePr w:w="526" w:wrap="around" w:vAnchor="margin" w:hAnchor="text" w:x="4213"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81</w:t>
      </w:r>
    </w:p>
    <w:p>
      <w:pPr>
        <w:framePr w:w="3020"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宜信普泽（北京）基金销售有</w:t>
      </w:r>
    </w:p>
    <w:p>
      <w:pPr>
        <w:framePr w:w="3020" w:wrap="around" w:vAnchor="margin" w:hAnchor="text" w:x="4640"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注册地址：北京市朝阳区建国</w:t>
      </w:r>
    </w:p>
    <w:p>
      <w:pPr>
        <w:framePr w:w="3020" w:wrap="around" w:vAnchor="margin" w:hAnchor="text" w:x="7482" w:y="4303"/>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 xml:space="preserve">号  </w:t>
      </w:r>
      <w:r>
        <w:rPr>
          <w:rFonts w:ascii="Times New Roman"/>
          <w:color w:val="000000"/>
          <w:spacing w:val="0"/>
          <w:sz w:val="21"/>
        </w:rPr>
        <w:t>9</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 xml:space="preserve">层  </w:t>
      </w:r>
      <w:r>
        <w:rPr>
          <w:rFonts w:ascii="Times New Roman"/>
          <w:color w:val="000000"/>
          <w:spacing w:val="0"/>
          <w:sz w:val="21"/>
        </w:rPr>
        <w:t xml:space="preserve"> 1809</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办公地址：北京市朝阳区建国</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 xml:space="preserve">号  </w:t>
      </w:r>
      <w:r>
        <w:rPr>
          <w:rFonts w:ascii="Times New Roman"/>
          <w:color w:val="000000"/>
          <w:spacing w:val="0"/>
          <w:sz w:val="21"/>
        </w:rPr>
        <w:t>SOHO</w:t>
      </w:r>
      <w:r>
        <w:rPr>
          <w:rFonts w:ascii="SKJVQB+å®ä½" w:hAnsi="SKJVQB+å®ä½" w:cs="SKJVQB+å®ä½"/>
          <w:color w:val="000000"/>
          <w:spacing w:val="0"/>
          <w:sz w:val="21"/>
        </w:rPr>
        <w:t xml:space="preserve">现代城  </w:t>
      </w:r>
      <w:r>
        <w:rPr>
          <w:rFonts w:ascii="Times New Roman"/>
          <w:color w:val="000000"/>
          <w:spacing w:val="0"/>
          <w:sz w:val="21"/>
        </w:rPr>
        <w:t>C</w:t>
      </w:r>
      <w:r>
        <w:rPr>
          <w:rFonts w:ascii="SKJVQB+å®ä½" w:hAnsi="SKJVQB+å®ä½" w:cs="SKJVQB+å®ä½"/>
          <w:color w:val="000000"/>
          <w:spacing w:val="0"/>
          <w:sz w:val="21"/>
        </w:rPr>
        <w:t>座</w:t>
      </w:r>
    </w:p>
    <w:p>
      <w:pPr>
        <w:framePr w:w="3020" w:wrap="around" w:vAnchor="margin" w:hAnchor="text" w:x="7482" w:y="4303"/>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1809</w:t>
      </w:r>
    </w:p>
    <w:p>
      <w:pPr>
        <w:framePr w:w="1998" w:wrap="around" w:vAnchor="margin" w:hAnchor="text" w:x="7482" w:y="58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法定代表人：戎兵</w:t>
      </w:r>
    </w:p>
    <w:p>
      <w:pPr>
        <w:framePr w:w="1684"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联系人：魏晨</w:t>
      </w:r>
    </w:p>
    <w:p>
      <w:pPr>
        <w:framePr w:w="3021"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010-52413385</w:t>
      </w:r>
    </w:p>
    <w:p>
      <w:pPr>
        <w:framePr w:w="3021"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010-85894285</w:t>
      </w:r>
    </w:p>
    <w:p>
      <w:pPr>
        <w:framePr w:w="3021"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4006099200</w:t>
      </w:r>
    </w:p>
    <w:p>
      <w:pPr>
        <w:framePr w:w="3021"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www.yixinfund.com</w:t>
      </w:r>
    </w:p>
    <w:p>
      <w:pPr>
        <w:framePr w:w="3021" w:wrap="around" w:vAnchor="margin" w:hAnchor="text" w:x="7482" w:y="648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注册地址：杭州市拱墅区登云</w:t>
      </w:r>
    </w:p>
    <w:p>
      <w:pPr>
        <w:framePr w:w="3021"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45</w:t>
      </w:r>
      <w:r>
        <w:rPr>
          <w:rFonts w:ascii="SKJVQB+å®ä½" w:hAnsi="SKJVQB+å®ä½" w:cs="SKJVQB+å®ä½"/>
          <w:color w:val="000000"/>
          <w:spacing w:val="0"/>
          <w:sz w:val="21"/>
        </w:rPr>
        <w:t>号（锦昌大厦）</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 xml:space="preserve"> 10</w:t>
      </w:r>
    </w:p>
    <w:p>
      <w:pPr>
        <w:framePr w:w="3021"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1001</w:t>
      </w:r>
      <w:r>
        <w:rPr>
          <w:rFonts w:ascii="SKJVQB+å®ä½" w:hAnsi="SKJVQB+å®ä½" w:cs="SKJVQB+å®ä½"/>
          <w:color w:val="000000"/>
          <w:spacing w:val="0"/>
          <w:sz w:val="21"/>
        </w:rPr>
        <w:t>室</w:t>
      </w:r>
    </w:p>
    <w:p>
      <w:pPr>
        <w:framePr w:w="526" w:wrap="around" w:vAnchor="margin" w:hAnchor="text" w:x="4213" w:y="77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82</w:t>
      </w:r>
    </w:p>
    <w:p>
      <w:pPr>
        <w:framePr w:w="2901"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浙江金观诚基金销售有限公</w:t>
      </w:r>
    </w:p>
    <w:p>
      <w:pPr>
        <w:framePr w:w="2901" w:wrap="around" w:vAnchor="margin" w:hAnchor="text" w:x="4640"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145"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办公地址：杭州市拱墅区登云</w:t>
      </w:r>
    </w:p>
    <w:p>
      <w:pPr>
        <w:framePr w:w="3145"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43</w:t>
      </w:r>
      <w:r>
        <w:rPr>
          <w:rFonts w:ascii="SKJVQB+å®ä½" w:hAnsi="SKJVQB+å®ä½" w:cs="SKJVQB+å®ä½"/>
          <w:color w:val="000000"/>
          <w:spacing w:val="0"/>
          <w:sz w:val="21"/>
        </w:rPr>
        <w:t>号金诚集团（锦昌大厦）</w:t>
      </w:r>
    </w:p>
    <w:p>
      <w:pPr>
        <w:framePr w:w="3145"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13</w:t>
      </w:r>
      <w:r>
        <w:rPr>
          <w:rFonts w:ascii="SKJVQB+å®ä½" w:hAnsi="SKJVQB+å®ä½" w:cs="SKJVQB+å®ä½"/>
          <w:color w:val="000000"/>
          <w:spacing w:val="0"/>
          <w:sz w:val="21"/>
        </w:rPr>
        <w:t>楼</w:t>
      </w:r>
    </w:p>
    <w:p>
      <w:pPr>
        <w:framePr w:w="1578" w:wrap="around" w:vAnchor="margin" w:hAnchor="text" w:x="7482" w:y="96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法人：徐黎云</w:t>
      </w:r>
    </w:p>
    <w:p>
      <w:pPr>
        <w:framePr w:w="1789" w:wrap="around" w:vAnchor="margin" w:hAnchor="text" w:x="7482" w:y="99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联系人：来舒岚</w:t>
      </w:r>
    </w:p>
    <w:p>
      <w:pPr>
        <w:framePr w:w="3130"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0571-88337888</w:t>
      </w:r>
    </w:p>
    <w:p>
      <w:pPr>
        <w:framePr w:w="3130" w:wrap="around" w:vAnchor="margin" w:hAnchor="text" w:x="7482" w:y="1023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0571-88337666</w:t>
      </w:r>
    </w:p>
    <w:p>
      <w:pPr>
        <w:framePr w:w="313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400-068-0058</w:t>
      </w:r>
    </w:p>
    <w:p>
      <w:pPr>
        <w:framePr w:w="313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www.jincheng-fund.com</w:t>
      </w:r>
    </w:p>
    <w:p>
      <w:pPr>
        <w:framePr w:w="3130" w:wrap="around" w:vAnchor="margin" w:hAnchor="text" w:x="7482" w:y="1023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注册地址：四川省成都市成华</w:t>
      </w:r>
    </w:p>
    <w:p>
      <w:pPr>
        <w:framePr w:w="313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区建设路 </w:t>
      </w:r>
      <w:r>
        <w:rPr>
          <w:rFonts w:ascii="Times New Roman"/>
          <w:color w:val="000000"/>
          <w:spacing w:val="0"/>
          <w:sz w:val="21"/>
        </w:rPr>
        <w:t>9</w:t>
      </w:r>
      <w:r>
        <w:rPr>
          <w:rFonts w:ascii="SKJVQB+å®ä½" w:hAnsi="SKJVQB+å®ä½" w:cs="SKJVQB+å®ä½"/>
          <w:color w:val="000000"/>
          <w:spacing w:val="0"/>
          <w:sz w:val="21"/>
        </w:rPr>
        <w:t xml:space="preserve">号高地中心  </w:t>
      </w:r>
      <w:r>
        <w:rPr>
          <w:rFonts w:ascii="Times New Roman"/>
          <w:color w:val="000000"/>
          <w:spacing w:val="0"/>
          <w:sz w:val="21"/>
        </w:rPr>
        <w:t xml:space="preserve"> 1101</w:t>
      </w:r>
    </w:p>
    <w:p>
      <w:pPr>
        <w:framePr w:w="313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526" w:wrap="around" w:vAnchor="margin" w:hAnchor="text" w:x="4213" w:y="1149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83</w:t>
      </w:r>
    </w:p>
    <w:p>
      <w:pPr>
        <w:framePr w:w="2901" w:wrap="around" w:vAnchor="margin" w:hAnchor="text" w:x="4640"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泛华普益基金销售有限公司</w:t>
      </w:r>
    </w:p>
    <w:p>
      <w:pPr>
        <w:framePr w:w="3020"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办公地址：四川省成都市成华</w:t>
      </w:r>
    </w:p>
    <w:p>
      <w:pPr>
        <w:framePr w:w="3020"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区锦江区东大街 </w:t>
      </w:r>
      <w:r>
        <w:rPr>
          <w:rFonts w:ascii="Times New Roman"/>
          <w:color w:val="000000"/>
          <w:spacing w:val="0"/>
          <w:sz w:val="21"/>
        </w:rPr>
        <w:t>99</w:t>
      </w:r>
      <w:r>
        <w:rPr>
          <w:rFonts w:ascii="SKJVQB+å®ä½" w:hAnsi="SKJVQB+å®ä½" w:cs="SKJVQB+å®ä½"/>
          <w:color w:val="000000"/>
          <w:spacing w:val="0"/>
          <w:sz w:val="21"/>
        </w:rPr>
        <w:t>号平安金</w:t>
      </w:r>
    </w:p>
    <w:p>
      <w:pPr>
        <w:framePr w:w="3020"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融中心 </w:t>
      </w:r>
      <w:r>
        <w:rPr>
          <w:rFonts w:ascii="Times New Roman"/>
          <w:color w:val="000000"/>
          <w:spacing w:val="0"/>
          <w:sz w:val="21"/>
        </w:rPr>
        <w:t>1501</w:t>
      </w:r>
      <w:r>
        <w:rPr>
          <w:rFonts w:ascii="SKJVQB+å®ä½" w:hAnsi="SKJVQB+å®ä½" w:cs="SKJVQB+å®ä½"/>
          <w:color w:val="000000"/>
          <w:spacing w:val="0"/>
          <w:sz w:val="21"/>
        </w:rPr>
        <w:t>室</w:t>
      </w:r>
    </w:p>
    <w:p>
      <w:pPr>
        <w:framePr w:w="2209" w:wrap="around" w:vAnchor="margin" w:hAnchor="text" w:x="7482" w:y="1337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法定代表人：于海锋</w:t>
      </w:r>
    </w:p>
    <w:p>
      <w:pPr>
        <w:framePr w:w="2209" w:wrap="around" w:vAnchor="margin" w:hAnchor="text" w:x="7482" w:y="1337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联系人：陈金红</w:t>
      </w:r>
    </w:p>
    <w:p>
      <w:pPr>
        <w:framePr w:w="2106" w:wrap="around" w:vAnchor="margin" w:hAnchor="text" w:x="7482" w:y="1399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18591999779</w:t>
      </w:r>
    </w:p>
    <w:p>
      <w:pPr>
        <w:framePr w:w="3033" w:wrap="around" w:vAnchor="margin" w:hAnchor="text" w:x="7482" w:y="1430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028-84252474-801</w:t>
      </w:r>
    </w:p>
    <w:p>
      <w:pPr>
        <w:framePr w:w="3033" w:wrap="around" w:vAnchor="margin" w:hAnchor="text" w:x="7482" w:y="1430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400-8588588</w:t>
      </w:r>
    </w:p>
    <w:p>
      <w:pPr>
        <w:framePr w:w="3033" w:wrap="around" w:vAnchor="margin" w:hAnchor="text" w:x="7482" w:y="1430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http://www.puyifund.cn</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56</w:t>
      </w:r>
    </w:p>
    <w:p>
      <w:pPr>
        <w:spacing w:before="0" w:after="0" w:line="0" w:lineRule="exact"/>
        <w:ind w:left="0" w:right="0"/>
        <w:jc w:val="left"/>
        <w:rPr>
          <w:rFonts w:ascii="Arial"/>
          <w:color w:val="FF0000"/>
          <w:spacing w:val="0"/>
          <w:sz w:val="2"/>
        </w:rPr>
      </w:pPr>
      <w:r>
        <w:pict>
          <v:shape id="_x0000117" o:spid="_x0000_s114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02" o:title=""/>
            <o:lock v:ext="edit" aspectratio="t"/>
          </v:shape>
        </w:pict>
      </w:r>
      <w:r>
        <w:pict>
          <v:shape id="_x0000118" o:spid="_x0000_s1144"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10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26" w:wrap="around" w:vAnchor="margin" w:hAnchor="text" w:x="4213"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84</w:t>
      </w:r>
    </w:p>
    <w:p>
      <w:pPr>
        <w:framePr w:w="2418" w:wrap="around" w:vAnchor="margin" w:hAnchor="text" w:x="4640"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嘉实财富管理有限公司</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注册地址：上海市浦东新区世</w:t>
      </w:r>
    </w:p>
    <w:p>
      <w:pPr>
        <w:framePr w:w="3020" w:wrap="around" w:vAnchor="margin" w:hAnchor="text" w:x="7482" w:y="148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纪大道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46</w:t>
      </w:r>
      <w:r>
        <w:rPr>
          <w:rFonts w:ascii="SKJVQB+å®ä½" w:hAnsi="SKJVQB+å®ä½" w:cs="SKJVQB+å®ä½"/>
          <w:color w:val="000000"/>
          <w:spacing w:val="0"/>
          <w:sz w:val="21"/>
        </w:rPr>
        <w:t xml:space="preserve">楼  </w:t>
      </w:r>
      <w:r>
        <w:rPr>
          <w:rFonts w:ascii="Times New Roman"/>
          <w:color w:val="000000"/>
          <w:spacing w:val="0"/>
          <w:sz w:val="21"/>
        </w:rPr>
        <w:t>06-10</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framePr w:w="3020"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办公地址：上海市浦东新区世</w:t>
      </w:r>
    </w:p>
    <w:p>
      <w:pPr>
        <w:framePr w:w="3020" w:wrap="around" w:vAnchor="margin" w:hAnchor="text" w:x="7482" w:y="24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纪大道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46</w:t>
      </w:r>
      <w:r>
        <w:rPr>
          <w:rFonts w:ascii="SKJVQB+å®ä½" w:hAnsi="SKJVQB+å®ä½" w:cs="SKJVQB+å®ä½"/>
          <w:color w:val="000000"/>
          <w:spacing w:val="0"/>
          <w:sz w:val="21"/>
        </w:rPr>
        <w:t xml:space="preserve">楼  </w:t>
      </w:r>
      <w:r>
        <w:rPr>
          <w:rFonts w:ascii="Times New Roman"/>
          <w:color w:val="000000"/>
          <w:spacing w:val="0"/>
          <w:sz w:val="21"/>
        </w:rPr>
        <w:t>06-10</w:t>
      </w:r>
    </w:p>
    <w:p>
      <w:pPr>
        <w:framePr w:w="3020" w:wrap="around" w:vAnchor="margin" w:hAnchor="text" w:x="7482" w:y="24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framePr w:w="2209" w:wrap="around" w:vAnchor="margin" w:hAnchor="text" w:x="7482" w:y="335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法定代表人：赵学军</w:t>
      </w:r>
    </w:p>
    <w:p>
      <w:pPr>
        <w:framePr w:w="2209" w:wrap="around" w:vAnchor="margin" w:hAnchor="text" w:x="7482" w:y="33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联系人：景琪</w:t>
      </w:r>
    </w:p>
    <w:p>
      <w:pPr>
        <w:framePr w:w="3020" w:wrap="around" w:vAnchor="margin" w:hAnchor="text" w:x="7482" w:y="39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021-20289890</w:t>
      </w:r>
    </w:p>
    <w:p>
      <w:pPr>
        <w:framePr w:w="3020" w:wrap="around" w:vAnchor="margin" w:hAnchor="text" w:x="7482" w:y="39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021-20280110</w:t>
      </w:r>
    </w:p>
    <w:p>
      <w:pPr>
        <w:framePr w:w="3020" w:wrap="around" w:vAnchor="margin" w:hAnchor="text" w:x="7482" w:y="397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400-021-8850</w:t>
      </w:r>
    </w:p>
    <w:p>
      <w:pPr>
        <w:framePr w:w="3020" w:wrap="around" w:vAnchor="margin" w:hAnchor="text" w:x="7482" w:y="39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www.harvestwm.cn</w:t>
      </w:r>
    </w:p>
    <w:p>
      <w:pPr>
        <w:framePr w:w="3020" w:wrap="around" w:vAnchor="margin" w:hAnchor="text" w:x="7482" w:y="397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framePr w:w="3020" w:wrap="around" w:vAnchor="margin" w:hAnchor="text" w:x="7482" w:y="39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街道民田路 </w:t>
      </w:r>
      <w:r>
        <w:rPr>
          <w:rFonts w:ascii="Times New Roman"/>
          <w:color w:val="000000"/>
          <w:spacing w:val="0"/>
          <w:sz w:val="21"/>
        </w:rPr>
        <w:t>178</w:t>
      </w:r>
      <w:r>
        <w:rPr>
          <w:rFonts w:ascii="SKJVQB+å®ä½" w:hAnsi="SKJVQB+å®ä½" w:cs="SKJVQB+å®ä½"/>
          <w:color w:val="000000"/>
          <w:spacing w:val="0"/>
          <w:sz w:val="21"/>
        </w:rPr>
        <w:t>号华融大厦</w:t>
      </w:r>
    </w:p>
    <w:p>
      <w:pPr>
        <w:framePr w:w="3020" w:wrap="around" w:vAnchor="margin" w:hAnchor="text" w:x="7482" w:y="3975"/>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27</w:t>
      </w:r>
      <w:r>
        <w:rPr>
          <w:rFonts w:ascii="SKJVQB+å®ä½" w:hAnsi="SKJVQB+å®ä½" w:cs="SKJVQB+å®ä½"/>
          <w:color w:val="000000"/>
          <w:spacing w:val="0"/>
          <w:sz w:val="21"/>
        </w:rPr>
        <w:t xml:space="preserve">层  </w:t>
      </w:r>
      <w:r>
        <w:rPr>
          <w:rFonts w:ascii="Times New Roman"/>
          <w:color w:val="000000"/>
          <w:spacing w:val="0"/>
          <w:sz w:val="21"/>
        </w:rPr>
        <w:t xml:space="preserve"> 2704</w:t>
      </w:r>
    </w:p>
    <w:p>
      <w:pPr>
        <w:framePr w:w="526" w:wrap="around" w:vAnchor="margin" w:hAnchor="text" w:x="4213" w:y="523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85</w:t>
      </w:r>
    </w:p>
    <w:p>
      <w:pPr>
        <w:framePr w:w="2901" w:wrap="around" w:vAnchor="margin" w:hAnchor="text" w:x="4640"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深圳市新兰德证券投资咨询</w:t>
      </w:r>
    </w:p>
    <w:p>
      <w:pPr>
        <w:framePr w:w="2901" w:wrap="around" w:vAnchor="margin" w:hAnchor="text" w:x="4640"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3021"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办公地址：北京市西城区宣武</w:t>
      </w:r>
    </w:p>
    <w:p>
      <w:pPr>
        <w:framePr w:w="3021" w:wrap="around" w:vAnchor="margin" w:hAnchor="text" w:x="7482" w:y="61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门外大街 </w:t>
      </w:r>
      <w:r>
        <w:rPr>
          <w:rFonts w:ascii="Times New Roman"/>
          <w:color w:val="000000"/>
          <w:spacing w:val="0"/>
          <w:sz w:val="21"/>
        </w:rPr>
        <w:t>28</w:t>
      </w:r>
      <w:r>
        <w:rPr>
          <w:rFonts w:ascii="SKJVQB+å®ä½" w:hAnsi="SKJVQB+å®ä½" w:cs="SKJVQB+å®ä½"/>
          <w:color w:val="000000"/>
          <w:spacing w:val="0"/>
          <w:sz w:val="21"/>
        </w:rPr>
        <w:t xml:space="preserve">号富卓大厦  </w:t>
      </w:r>
      <w:r>
        <w:rPr>
          <w:rFonts w:ascii="Times New Roman"/>
          <w:color w:val="000000"/>
          <w:spacing w:val="0"/>
          <w:sz w:val="21"/>
        </w:rPr>
        <w:t>7</w:t>
      </w:r>
      <w:r>
        <w:rPr>
          <w:rFonts w:ascii="SKJVQB+å®ä½" w:hAnsi="SKJVQB+å®ä½" w:cs="SKJVQB+å®ä½"/>
          <w:color w:val="000000"/>
          <w:spacing w:val="0"/>
          <w:sz w:val="21"/>
        </w:rPr>
        <w:t>层</w:t>
      </w:r>
    </w:p>
    <w:p>
      <w:pPr>
        <w:framePr w:w="3021" w:wrap="around" w:vAnchor="margin" w:hAnchor="text" w:x="7482" w:y="61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法定代表人：洪弘</w:t>
      </w:r>
    </w:p>
    <w:p>
      <w:pPr>
        <w:framePr w:w="1578" w:wrap="around" w:vAnchor="margin" w:hAnchor="text" w:x="7482" w:y="711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联系人：文雯</w:t>
      </w:r>
    </w:p>
    <w:p>
      <w:pPr>
        <w:framePr w:w="3020" w:wrap="around" w:vAnchor="margin" w:hAnchor="text" w:x="7482" w:y="741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010-83363101</w:t>
      </w:r>
    </w:p>
    <w:p>
      <w:pPr>
        <w:framePr w:w="3020" w:wrap="around" w:vAnchor="margin" w:hAnchor="text" w:x="7482" w:y="741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010-83363072</w:t>
      </w:r>
    </w:p>
    <w:p>
      <w:pPr>
        <w:framePr w:w="3020" w:wrap="around" w:vAnchor="margin" w:hAnchor="text" w:x="7482" w:y="741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400-166-1188</w:t>
      </w:r>
    </w:p>
    <w:p>
      <w:pPr>
        <w:framePr w:w="3020" w:wrap="around" w:vAnchor="margin" w:hAnchor="text" w:x="7482" w:y="741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https://8.jrj.com.cn</w:t>
      </w:r>
    </w:p>
    <w:p>
      <w:pPr>
        <w:framePr w:w="3020" w:wrap="around" w:vAnchor="margin" w:hAnchor="text" w:x="7482" w:y="741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注册地址：北京市经济技术开</w:t>
      </w:r>
    </w:p>
    <w:p>
      <w:pPr>
        <w:framePr w:w="3020" w:wrap="around" w:vAnchor="margin" w:hAnchor="text" w:x="7482" w:y="741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发区宏达北路 </w:t>
      </w:r>
      <w:r>
        <w:rPr>
          <w:rFonts w:ascii="Times New Roman"/>
          <w:color w:val="000000"/>
          <w:spacing w:val="0"/>
          <w:sz w:val="21"/>
        </w:rPr>
        <w:t>10</w:t>
      </w:r>
      <w:r>
        <w:rPr>
          <w:rFonts w:ascii="SKJVQB+å®ä½" w:hAnsi="SKJVQB+å®ä½" w:cs="SKJVQB+å®ä½"/>
          <w:color w:val="000000"/>
          <w:spacing w:val="0"/>
          <w:sz w:val="21"/>
        </w:rPr>
        <w:t xml:space="preserve">号五层 </w:t>
      </w:r>
      <w:r>
        <w:rPr>
          <w:rFonts w:ascii="Times New Roman"/>
          <w:color w:val="000000"/>
          <w:spacing w:val="0"/>
          <w:sz w:val="21"/>
        </w:rPr>
        <w:t xml:space="preserve"> 5122</w:t>
      </w:r>
    </w:p>
    <w:p>
      <w:pPr>
        <w:framePr w:w="3020"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526" w:wrap="around" w:vAnchor="margin" w:hAnchor="text" w:x="4213" w:y="867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86</w:t>
      </w:r>
    </w:p>
    <w:p>
      <w:pPr>
        <w:framePr w:w="2901" w:wrap="around" w:vAnchor="margin" w:hAnchor="text" w:x="4640"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北京恒天明泽基金销售有限</w:t>
      </w:r>
    </w:p>
    <w:p>
      <w:pPr>
        <w:framePr w:w="2901" w:wrap="around" w:vAnchor="margin" w:hAnchor="text" w:x="4640"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96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办公地址：北京市朝阳区东三</w:t>
      </w:r>
    </w:p>
    <w:p>
      <w:pPr>
        <w:framePr w:w="3020" w:wrap="around" w:vAnchor="margin" w:hAnchor="text" w:x="7482" w:y="96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环北路甲 </w:t>
      </w:r>
      <w:r>
        <w:rPr>
          <w:rFonts w:ascii="Times New Roman"/>
          <w:color w:val="000000"/>
          <w:spacing w:val="0"/>
          <w:sz w:val="21"/>
        </w:rPr>
        <w:t>19</w:t>
      </w:r>
      <w:r>
        <w:rPr>
          <w:rFonts w:ascii="SKJVQB+å®ä½" w:hAnsi="SKJVQB+å®ä½" w:cs="SKJVQB+å®ä½"/>
          <w:color w:val="000000"/>
          <w:spacing w:val="0"/>
          <w:sz w:val="21"/>
        </w:rPr>
        <w:t xml:space="preserve">号 </w:t>
      </w:r>
      <w:r>
        <w:rPr>
          <w:rFonts w:ascii="Times New Roman"/>
          <w:color w:val="000000"/>
          <w:spacing w:val="0"/>
          <w:sz w:val="21"/>
        </w:rPr>
        <w:t>SOHO</w:t>
      </w:r>
      <w:r>
        <w:rPr>
          <w:rFonts w:ascii="SKJVQB+å®ä½" w:hAnsi="SKJVQB+å®ä½" w:cs="SKJVQB+å®ä½"/>
          <w:color w:val="000000"/>
          <w:spacing w:val="0"/>
          <w:sz w:val="21"/>
        </w:rPr>
        <w:t>嘉盛中</w:t>
      </w:r>
    </w:p>
    <w:p>
      <w:pPr>
        <w:framePr w:w="3020" w:wrap="around" w:vAnchor="margin" w:hAnchor="text" w:x="7482" w:y="96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心 </w:t>
      </w:r>
      <w:r>
        <w:rPr>
          <w:rFonts w:ascii="Times New Roman"/>
          <w:color w:val="000000"/>
          <w:spacing w:val="0"/>
          <w:sz w:val="21"/>
        </w:rPr>
        <w:t>30</w:t>
      </w:r>
      <w:r>
        <w:rPr>
          <w:rFonts w:ascii="SKJVQB+å®ä½" w:hAnsi="SKJVQB+å®ä½" w:cs="SKJVQB+å®ä½"/>
          <w:color w:val="000000"/>
          <w:spacing w:val="0"/>
          <w:sz w:val="21"/>
        </w:rPr>
        <w:t xml:space="preserve">层  </w:t>
      </w:r>
      <w:r>
        <w:rPr>
          <w:rFonts w:ascii="Times New Roman"/>
          <w:color w:val="000000"/>
          <w:spacing w:val="0"/>
          <w:sz w:val="21"/>
        </w:rPr>
        <w:t>3001</w:t>
      </w:r>
      <w:r>
        <w:rPr>
          <w:rFonts w:ascii="SKJVQB+å®ä½" w:hAnsi="SKJVQB+å®ä½" w:cs="SKJVQB+å®ä½"/>
          <w:color w:val="000000"/>
          <w:spacing w:val="0"/>
          <w:sz w:val="21"/>
        </w:rPr>
        <w:t>室</w:t>
      </w:r>
    </w:p>
    <w:p>
      <w:pPr>
        <w:framePr w:w="1998" w:wrap="around" w:vAnchor="margin" w:hAnchor="text" w:x="7482" w:y="1055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法定代表人：周斌</w:t>
      </w:r>
    </w:p>
    <w:p>
      <w:pPr>
        <w:framePr w:w="1789" w:wrap="around" w:vAnchor="margin" w:hAnchor="text" w:x="7482" w:y="108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联系人：侯艳红</w:t>
      </w:r>
    </w:p>
    <w:p>
      <w:pPr>
        <w:framePr w:w="2106" w:wrap="around" w:vAnchor="margin" w:hAnchor="text" w:x="7482" w:y="111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13910678503</w:t>
      </w:r>
    </w:p>
    <w:p>
      <w:pPr>
        <w:framePr w:w="3020" w:wrap="around" w:vAnchor="margin" w:hAnchor="text" w:x="7482" w:y="114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010-57756199</w:t>
      </w:r>
    </w:p>
    <w:p>
      <w:pPr>
        <w:framePr w:w="3020"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4008980618</w:t>
      </w:r>
    </w:p>
    <w:p>
      <w:pPr>
        <w:framePr w:w="3020"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www.chtwm.com</w:t>
      </w:r>
    </w:p>
    <w:p>
      <w:pPr>
        <w:framePr w:w="3020" w:wrap="around" w:vAnchor="margin" w:hAnchor="text" w:x="7482" w:y="1148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注册地址：北京市海淀区丹棱</w:t>
      </w:r>
    </w:p>
    <w:p>
      <w:pPr>
        <w:framePr w:w="3020"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1008-1012</w:t>
      </w:r>
    </w:p>
    <w:p>
      <w:pPr>
        <w:framePr w:w="3020"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办公地址：北京市海淀区丹棱</w:t>
      </w:r>
    </w:p>
    <w:p>
      <w:pPr>
        <w:framePr w:w="3020"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1008-1012</w:t>
      </w:r>
    </w:p>
    <w:p>
      <w:pPr>
        <w:framePr w:w="3020"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法定代表人：赵荣春</w:t>
      </w:r>
    </w:p>
    <w:p>
      <w:pPr>
        <w:framePr w:w="3020"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联系人：李超</w:t>
      </w:r>
    </w:p>
    <w:p>
      <w:pPr>
        <w:framePr w:w="526" w:wrap="around" w:vAnchor="margin" w:hAnchor="text" w:x="4213" w:y="1242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87</w:t>
      </w:r>
    </w:p>
    <w:p>
      <w:pPr>
        <w:framePr w:w="2901" w:wrap="around" w:vAnchor="margin" w:hAnchor="text" w:x="4640"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北京钱景基金销售有限公司</w:t>
      </w:r>
    </w:p>
    <w:p>
      <w:pPr>
        <w:framePr w:w="2588" w:wrap="around" w:vAnchor="margin" w:hAnchor="text" w:x="7482" w:y="1430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010-56200948</w:t>
      </w:r>
    </w:p>
    <w:p>
      <w:pPr>
        <w:framePr w:w="2588" w:wrap="around" w:vAnchor="margin" w:hAnchor="text" w:x="7482" w:y="1430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010-57569671</w:t>
      </w:r>
    </w:p>
    <w:p>
      <w:pPr>
        <w:framePr w:w="2588" w:wrap="around" w:vAnchor="margin" w:hAnchor="text" w:x="7482" w:y="1430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400-893-6885</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57</w:t>
      </w:r>
    </w:p>
    <w:p>
      <w:pPr>
        <w:spacing w:before="0" w:after="0" w:line="0" w:lineRule="exact"/>
        <w:ind w:left="0" w:right="0"/>
        <w:jc w:val="left"/>
        <w:rPr>
          <w:rFonts w:ascii="Arial"/>
          <w:color w:val="FF0000"/>
          <w:spacing w:val="0"/>
          <w:sz w:val="2"/>
        </w:rPr>
      </w:pPr>
      <w:r>
        <w:pict>
          <v:shape id="_x0000119" o:spid="_x0000_s114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04" o:title=""/>
            <o:lock v:ext="edit" aspectratio="t"/>
          </v:shape>
        </w:pict>
      </w:r>
      <w:r>
        <w:pict>
          <v:shape id="_x0000120" o:spid="_x0000_s1146"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10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66"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www.qianjing.com</w:t>
      </w:r>
    </w:p>
    <w:p>
      <w:pPr>
        <w:framePr w:w="526" w:wrap="around" w:vAnchor="margin" w:hAnchor="text" w:x="4213"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88</w:t>
      </w:r>
    </w:p>
    <w:p>
      <w:pPr>
        <w:framePr w:w="2901"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深圳宜投基金销售有限公司</w:t>
      </w:r>
    </w:p>
    <w:p>
      <w:pPr>
        <w:framePr w:w="3020"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作区前湾一路鲤鱼门街 </w:t>
      </w:r>
      <w:r>
        <w:rPr>
          <w:rFonts w:ascii="Times New Roman"/>
          <w:color w:val="000000"/>
          <w:spacing w:val="0"/>
          <w:sz w:val="21"/>
        </w:rPr>
        <w:t>1</w:t>
      </w:r>
      <w:r>
        <w:rPr>
          <w:rFonts w:ascii="SKJVQB+å®ä½" w:hAnsi="SKJVQB+å®ä½" w:cs="SKJVQB+å®ä½"/>
          <w:color w:val="000000"/>
          <w:spacing w:val="0"/>
          <w:sz w:val="21"/>
        </w:rPr>
        <w:t>号</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前海深港合作区管理局综合</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办公楼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201</w:t>
      </w:r>
      <w:r>
        <w:rPr>
          <w:rFonts w:ascii="SKJVQB+å®ä½" w:hAnsi="SKJVQB+å®ä½" w:cs="SKJVQB+å®ä½"/>
          <w:color w:val="000000"/>
          <w:spacing w:val="0"/>
          <w:sz w:val="21"/>
        </w:rPr>
        <w:t>室</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办公地址：深圳市福田区嘉里</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建设广场 </w:t>
      </w:r>
      <w:r>
        <w:rPr>
          <w:rFonts w:ascii="Times New Roman"/>
          <w:color w:val="000000"/>
          <w:spacing w:val="0"/>
          <w:sz w:val="21"/>
        </w:rPr>
        <w:t>2</w:t>
      </w:r>
      <w:r>
        <w:rPr>
          <w:rFonts w:ascii="SKJVQB+å®ä½" w:hAnsi="SKJVQB+å®ä½" w:cs="SKJVQB+å®ä½"/>
          <w:color w:val="000000"/>
          <w:spacing w:val="0"/>
          <w:sz w:val="21"/>
        </w:rPr>
        <w:t xml:space="preserve">座  </w:t>
      </w:r>
      <w:r>
        <w:rPr>
          <w:rFonts w:ascii="Times New Roman"/>
          <w:color w:val="000000"/>
          <w:spacing w:val="0"/>
          <w:sz w:val="21"/>
        </w:rPr>
        <w:t>15</w:t>
      </w:r>
      <w:r>
        <w:rPr>
          <w:rFonts w:ascii="SKJVQB+å®ä½" w:hAnsi="SKJVQB+å®ä½" w:cs="SKJVQB+å®ä½"/>
          <w:color w:val="000000"/>
          <w:spacing w:val="0"/>
          <w:sz w:val="21"/>
        </w:rPr>
        <w:t>层</w:t>
      </w:r>
    </w:p>
    <w:p>
      <w:pPr>
        <w:framePr w:w="2209"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法定代表人：雷凤潮</w:t>
      </w:r>
    </w:p>
    <w:p>
      <w:pPr>
        <w:framePr w:w="2209"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联系人：梁菲菲</w:t>
      </w:r>
    </w:p>
    <w:p>
      <w:pPr>
        <w:framePr w:w="3020"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0755-33043063</w:t>
      </w:r>
    </w:p>
    <w:p>
      <w:pPr>
        <w:framePr w:w="3020" w:wrap="around" w:vAnchor="margin" w:hAnchor="text" w:x="7482" w:y="4296"/>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4008955811</w:t>
      </w:r>
    </w:p>
    <w:p>
      <w:pPr>
        <w:framePr w:w="3020" w:wrap="around" w:vAnchor="margin" w:hAnchor="text" w:x="7482" w:y="42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www.yitfund.com</w:t>
      </w:r>
    </w:p>
    <w:p>
      <w:pPr>
        <w:framePr w:w="3020" w:wrap="around" w:vAnchor="margin" w:hAnchor="text" w:x="7482" w:y="429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注册地址：北京市西城区民</w:t>
      </w:r>
    </w:p>
    <w:p>
      <w:pPr>
        <w:framePr w:w="3020" w:wrap="around" w:vAnchor="margin" w:hAnchor="text" w:x="7482" w:y="42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丰胡同 </w:t>
      </w:r>
      <w:r>
        <w:rPr>
          <w:rFonts w:ascii="Times New Roman"/>
          <w:color w:val="000000"/>
          <w:spacing w:val="0"/>
          <w:sz w:val="21"/>
        </w:rPr>
        <w:t>31</w:t>
      </w:r>
      <w:r>
        <w:rPr>
          <w:rFonts w:ascii="SKJVQB+å®ä½" w:hAnsi="SKJVQB+å®ä½" w:cs="SKJVQB+å®ä½"/>
          <w:color w:val="000000"/>
          <w:spacing w:val="0"/>
          <w:sz w:val="21"/>
        </w:rPr>
        <w:t xml:space="preserve">号  </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 xml:space="preserve"> 215A</w:t>
      </w:r>
    </w:p>
    <w:p>
      <w:pPr>
        <w:framePr w:w="3020"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办公地址：北京市西城区白</w:t>
      </w:r>
    </w:p>
    <w:p>
      <w:pPr>
        <w:framePr w:w="3020"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纸坊东街 </w:t>
      </w:r>
      <w:r>
        <w:rPr>
          <w:rFonts w:ascii="Times New Roman"/>
          <w:color w:val="000000"/>
          <w:spacing w:val="0"/>
          <w:sz w:val="21"/>
        </w:rPr>
        <w:t>2</w:t>
      </w:r>
      <w:r>
        <w:rPr>
          <w:rFonts w:ascii="SKJVQB+å®ä½" w:hAnsi="SKJVQB+å®ä½" w:cs="SKJVQB+å®ä½"/>
          <w:color w:val="000000"/>
          <w:spacing w:val="0"/>
          <w:sz w:val="21"/>
        </w:rPr>
        <w:t>号</w:t>
      </w:r>
    </w:p>
    <w:p>
      <w:pPr>
        <w:framePr w:w="526" w:wrap="around" w:vAnchor="margin" w:hAnchor="text" w:x="4213" w:y="524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89</w:t>
      </w:r>
    </w:p>
    <w:p>
      <w:pPr>
        <w:framePr w:w="2901" w:wrap="around" w:vAnchor="margin" w:hAnchor="text" w:x="4640" w:y="524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北京创金启富基金销售有限</w:t>
      </w:r>
    </w:p>
    <w:p>
      <w:pPr>
        <w:framePr w:w="2901" w:wrap="around" w:vAnchor="margin" w:hAnchor="text" w:x="4640" w:y="524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2893" w:wrap="around" w:vAnchor="margin" w:hAnchor="text" w:x="7482" w:y="6490"/>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经济日报社综合楼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 xml:space="preserve"> 712</w:t>
      </w:r>
    </w:p>
    <w:p>
      <w:pPr>
        <w:framePr w:w="2893" w:wrap="around" w:vAnchor="margin" w:hAnchor="text" w:x="7482" w:y="64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1998"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法定代表人：梁蓉</w:t>
      </w:r>
    </w:p>
    <w:p>
      <w:pPr>
        <w:framePr w:w="1789"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联系人：魏素清</w:t>
      </w:r>
    </w:p>
    <w:p>
      <w:pPr>
        <w:framePr w:w="3021"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010-66154828-8006</w:t>
      </w:r>
    </w:p>
    <w:p>
      <w:pPr>
        <w:framePr w:w="3021"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010-63583991</w:t>
      </w:r>
    </w:p>
    <w:p>
      <w:pPr>
        <w:framePr w:w="3021"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400-6262-818</w:t>
      </w:r>
    </w:p>
    <w:p>
      <w:pPr>
        <w:framePr w:w="3021"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www.5irich.com</w:t>
      </w:r>
    </w:p>
    <w:p>
      <w:pPr>
        <w:framePr w:w="3021" w:wrap="around" w:vAnchor="margin" w:hAnchor="text" w:x="7482" w:y="773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w:t>
      </w:r>
      <w:r>
        <w:rPr>
          <w:rFonts w:ascii="Times New Roman"/>
          <w:color w:val="000000"/>
          <w:spacing w:val="0"/>
          <w:sz w:val="21"/>
        </w:rPr>
        <w:t>(</w:t>
      </w:r>
      <w:r>
        <w:rPr>
          <w:rFonts w:ascii="SKJVQB+å®ä½" w:hAnsi="SKJVQB+å®ä½" w:cs="SKJVQB+å®ä½"/>
          <w:color w:val="000000"/>
          <w:spacing w:val="0"/>
          <w:sz w:val="21"/>
        </w:rPr>
        <w:t>上海</w:t>
      </w:r>
      <w:r>
        <w:rPr>
          <w:rFonts w:ascii="Times New Roman"/>
          <w:color w:val="000000"/>
          <w:spacing w:val="0"/>
          <w:sz w:val="21"/>
        </w:rPr>
        <w:t>)</w:t>
      </w:r>
      <w:r>
        <w:rPr>
          <w:rFonts w:ascii="SKJVQB+å®ä½" w:hAnsi="SKJVQB+å®ä½" w:cs="SKJVQB+å®ä½"/>
          <w:color w:val="000000"/>
          <w:spacing w:val="0"/>
          <w:sz w:val="21"/>
        </w:rPr>
        <w:t>自由贸</w:t>
      </w:r>
    </w:p>
    <w:p>
      <w:pPr>
        <w:framePr w:w="3021"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易试验区银城中路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 xml:space="preserve"> 402</w:t>
      </w:r>
    </w:p>
    <w:p>
      <w:pPr>
        <w:framePr w:w="3021"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526" w:wrap="around" w:vAnchor="margin" w:hAnchor="text" w:x="4213" w:y="89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90</w:t>
      </w:r>
    </w:p>
    <w:p>
      <w:pPr>
        <w:framePr w:w="2418" w:wrap="around" w:vAnchor="margin" w:hAnchor="text" w:x="4640"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海银基金销售有限公司</w:t>
      </w:r>
    </w:p>
    <w:p>
      <w:pPr>
        <w:framePr w:w="3020"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framePr w:w="3020" w:wrap="around" w:vAnchor="margin" w:hAnchor="text" w:x="7482" w:y="994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4</w:t>
      </w:r>
      <w:r>
        <w:rPr>
          <w:rFonts w:ascii="SKJVQB+å®ä½" w:hAnsi="SKJVQB+å®ä½" w:cs="SKJVQB+å®ä½"/>
          <w:color w:val="000000"/>
          <w:spacing w:val="0"/>
          <w:sz w:val="21"/>
        </w:rPr>
        <w:t>楼</w:t>
      </w:r>
    </w:p>
    <w:p>
      <w:pPr>
        <w:framePr w:w="2209"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法定代表人：巩巧丽</w:t>
      </w:r>
    </w:p>
    <w:p>
      <w:pPr>
        <w:framePr w:w="2209" w:wrap="around" w:vAnchor="margin" w:hAnchor="text" w:x="7482"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联系人：刘晖</w:t>
      </w:r>
    </w:p>
    <w:p>
      <w:pPr>
        <w:framePr w:w="3020"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021-60206991</w:t>
      </w:r>
    </w:p>
    <w:p>
      <w:pPr>
        <w:framePr w:w="3020"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021-80133413</w:t>
      </w:r>
    </w:p>
    <w:p>
      <w:pPr>
        <w:framePr w:w="3020"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400-808-1016</w:t>
      </w:r>
    </w:p>
    <w:p>
      <w:pPr>
        <w:framePr w:w="3020"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www.fundhaiyin.com</w:t>
      </w:r>
    </w:p>
    <w:p>
      <w:pPr>
        <w:framePr w:w="3020" w:wrap="around" w:vAnchor="margin" w:hAnchor="text" w:x="7482" w:y="1118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注册地址：北京市密云县兴盛</w:t>
      </w:r>
    </w:p>
    <w:p>
      <w:pPr>
        <w:framePr w:w="3020"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106-67</w:t>
      </w:r>
    </w:p>
    <w:p>
      <w:pPr>
        <w:framePr w:w="3020"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办公地址：北京市朝阳区盛世</w:t>
      </w:r>
    </w:p>
    <w:p>
      <w:pPr>
        <w:framePr w:w="3020"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龙源国食苑 </w:t>
      </w:r>
      <w:r>
        <w:rPr>
          <w:rFonts w:ascii="Times New Roman"/>
          <w:color w:val="000000"/>
          <w:spacing w:val="0"/>
          <w:sz w:val="21"/>
        </w:rPr>
        <w:t>10</w:t>
      </w:r>
      <w:r>
        <w:rPr>
          <w:rFonts w:ascii="SKJVQB+å®ä½" w:hAnsi="SKJVQB+å®ä½" w:cs="SKJVQB+å®ä½"/>
          <w:color w:val="000000"/>
          <w:spacing w:val="0"/>
          <w:sz w:val="21"/>
        </w:rPr>
        <w:t>号楼</w:t>
      </w:r>
    </w:p>
    <w:p>
      <w:pPr>
        <w:framePr w:w="526" w:wrap="around" w:vAnchor="margin" w:hAnchor="text" w:x="4213" w:y="124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91</w:t>
      </w:r>
    </w:p>
    <w:p>
      <w:pPr>
        <w:framePr w:w="2901" w:wrap="around" w:vAnchor="margin" w:hAnchor="text" w:x="4640"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北京植信基金销售有限公司</w:t>
      </w:r>
    </w:p>
    <w:p>
      <w:pPr>
        <w:framePr w:w="2312"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法定代表人：王军辉</w:t>
      </w:r>
    </w:p>
    <w:p>
      <w:pPr>
        <w:framePr w:w="2312"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联系人：吴鹏</w:t>
      </w:r>
    </w:p>
    <w:p>
      <w:pPr>
        <w:framePr w:w="2588" w:wrap="around" w:vAnchor="margin" w:hAnchor="text" w:x="7482" w:y="1431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010-56075718</w:t>
      </w:r>
    </w:p>
    <w:p>
      <w:pPr>
        <w:framePr w:w="2588"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010-67767615</w:t>
      </w:r>
    </w:p>
    <w:p>
      <w:pPr>
        <w:framePr w:w="2588"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4006-802-123</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58</w:t>
      </w:r>
    </w:p>
    <w:p>
      <w:pPr>
        <w:spacing w:before="0" w:after="0" w:line="0" w:lineRule="exact"/>
        <w:ind w:left="0" w:right="0"/>
        <w:jc w:val="left"/>
        <w:rPr>
          <w:rFonts w:ascii="Arial"/>
          <w:color w:val="FF0000"/>
          <w:spacing w:val="0"/>
          <w:sz w:val="2"/>
        </w:rPr>
      </w:pPr>
      <w:r>
        <w:pict>
          <v:shape id="_x0000121" o:spid="_x0000_s114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06" o:title=""/>
            <o:lock v:ext="edit" aspectratio="t"/>
          </v:shape>
        </w:pict>
      </w:r>
      <w:r>
        <w:pict>
          <v:shape id="_x0000122" o:spid="_x0000_s114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0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4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599" w:wrap="around" w:vAnchor="margin" w:hAnchor="text" w:x="7482" w:y="178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http://www.zhixin-inv.com</w:t>
      </w:r>
    </w:p>
    <w:p>
      <w:pPr>
        <w:framePr w:w="526" w:wrap="around" w:vAnchor="margin" w:hAnchor="text" w:x="4213" w:y="21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92</w:t>
      </w:r>
    </w:p>
    <w:p>
      <w:pPr>
        <w:framePr w:w="2901" w:wrap="around" w:vAnchor="margin" w:hAnchor="text" w:x="4640"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上海大智慧基金销售有限公</w:t>
      </w:r>
    </w:p>
    <w:p>
      <w:pPr>
        <w:framePr w:w="2901" w:wrap="around" w:vAnchor="margin" w:hAnchor="text" w:x="4640"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0" w:wrap="around" w:vAnchor="margin" w:hAnchor="text" w:x="7482"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注册地址：上海浦东杨高南</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428</w:t>
      </w: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10-11</w:t>
      </w:r>
      <w:r>
        <w:rPr>
          <w:rFonts w:ascii="SKJVQB+å®ä½" w:hAnsi="SKJVQB+å®ä½" w:cs="SKJVQB+å®ä½"/>
          <w:color w:val="000000"/>
          <w:spacing w:val="0"/>
          <w:sz w:val="21"/>
        </w:rPr>
        <w:t>层</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办公地址：上海浦东杨高南路</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428</w:t>
      </w: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10-11</w:t>
      </w:r>
      <w:r>
        <w:rPr>
          <w:rFonts w:ascii="SKJVQB+å®ä½" w:hAnsi="SKJVQB+å®ä½" w:cs="SKJVQB+å®ä½"/>
          <w:color w:val="000000"/>
          <w:spacing w:val="0"/>
          <w:sz w:val="21"/>
        </w:rPr>
        <w:t>层</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法定代表人：申健</w:t>
      </w:r>
    </w:p>
    <w:p>
      <w:pPr>
        <w:framePr w:w="1578"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联系人：张蜓</w:t>
      </w:r>
    </w:p>
    <w:p>
      <w:pPr>
        <w:framePr w:w="3228" w:wrap="around" w:vAnchor="margin" w:hAnchor="text" w:x="7482" w:y="3984"/>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021-20219988</w:t>
      </w:r>
      <w:r>
        <w:rPr>
          <w:rFonts w:ascii="SKJVQB+å®ä½" w:hAnsi="SKJVQB+å®ä½" w:cs="SKJVQB+å®ä½"/>
          <w:color w:val="000000"/>
          <w:spacing w:val="0"/>
          <w:sz w:val="21"/>
        </w:rPr>
        <w:t>（</w:t>
      </w:r>
      <w:r>
        <w:rPr>
          <w:rFonts w:ascii="Times New Roman"/>
          <w:color w:val="000000"/>
          <w:spacing w:val="0"/>
          <w:sz w:val="21"/>
        </w:rPr>
        <w:t>35374</w:t>
      </w:r>
      <w:r>
        <w:rPr>
          <w:rFonts w:ascii="SKJVQB+å®ä½" w:hAnsi="SKJVQB+å®ä½" w:cs="SKJVQB+å®ä½"/>
          <w:color w:val="000000"/>
          <w:spacing w:val="0"/>
          <w:sz w:val="21"/>
        </w:rPr>
        <w:t>）</w:t>
      </w:r>
    </w:p>
    <w:p>
      <w:pPr>
        <w:framePr w:w="3228" w:wrap="around" w:vAnchor="margin" w:hAnchor="text" w:x="7482" w:y="398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021-20219923</w:t>
      </w:r>
    </w:p>
    <w:p>
      <w:pPr>
        <w:framePr w:w="3228" w:wrap="around" w:vAnchor="margin" w:hAnchor="text" w:x="7482" w:y="3984"/>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021-20292031</w:t>
      </w:r>
    </w:p>
    <w:p>
      <w:pPr>
        <w:framePr w:w="3228" w:wrap="around" w:vAnchor="margin" w:hAnchor="text" w:x="7482" w:y="398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http://www.wg.com.cn</w:t>
      </w:r>
    </w:p>
    <w:p>
      <w:pPr>
        <w:framePr w:w="3228" w:wrap="around" w:vAnchor="margin" w:hAnchor="text" w:x="7482" w:y="3984"/>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228" w:wrap="around" w:vAnchor="margin" w:hAnchor="text" w:x="7482" w:y="398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贸易试验区富特北路 </w:t>
      </w:r>
      <w:r>
        <w:rPr>
          <w:rFonts w:ascii="Times New Roman"/>
          <w:color w:val="000000"/>
          <w:spacing w:val="0"/>
          <w:sz w:val="21"/>
        </w:rPr>
        <w:t>277</w:t>
      </w:r>
      <w:r>
        <w:rPr>
          <w:rFonts w:ascii="SKJVQB+å®ä½" w:hAnsi="SKJVQB+å®ä½" w:cs="SKJVQB+å®ä½"/>
          <w:color w:val="000000"/>
          <w:spacing w:val="0"/>
          <w:sz w:val="21"/>
        </w:rPr>
        <w:t xml:space="preserve">号 </w:t>
      </w:r>
      <w:r>
        <w:rPr>
          <w:rFonts w:ascii="Times New Roman"/>
          <w:color w:val="000000"/>
          <w:spacing w:val="0"/>
          <w:sz w:val="21"/>
        </w:rPr>
        <w:t xml:space="preserve"> 3</w:t>
      </w:r>
    </w:p>
    <w:p>
      <w:pPr>
        <w:framePr w:w="3228" w:wrap="around" w:vAnchor="margin" w:hAnchor="text" w:x="7482" w:y="39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310</w:t>
      </w:r>
      <w:r>
        <w:rPr>
          <w:rFonts w:ascii="SKJVQB+å®ä½" w:hAnsi="SKJVQB+å®ä½" w:cs="SKJVQB+å®ä½"/>
          <w:color w:val="000000"/>
          <w:spacing w:val="0"/>
          <w:sz w:val="21"/>
        </w:rPr>
        <w:t>室</w:t>
      </w:r>
    </w:p>
    <w:p>
      <w:pPr>
        <w:framePr w:w="526" w:wrap="around" w:vAnchor="margin" w:hAnchor="text" w:x="4213" w:y="524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93</w:t>
      </w:r>
    </w:p>
    <w:p>
      <w:pPr>
        <w:framePr w:w="2901" w:wrap="around" w:vAnchor="margin" w:hAnchor="text" w:x="4640" w:y="524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上海联泰基金销售有限公司</w:t>
      </w:r>
    </w:p>
    <w:p>
      <w:pPr>
        <w:framePr w:w="3020" w:wrap="around" w:vAnchor="margin" w:hAnchor="text" w:x="7482"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办公地址：上海市长宁区福泉</w:t>
      </w:r>
    </w:p>
    <w:p>
      <w:pPr>
        <w:framePr w:w="3020"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北路 </w:t>
      </w:r>
      <w:r>
        <w:rPr>
          <w:rFonts w:ascii="Times New Roman"/>
          <w:color w:val="000000"/>
          <w:spacing w:val="0"/>
          <w:sz w:val="21"/>
        </w:rPr>
        <w:t>518</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座  </w:t>
      </w:r>
      <w:r>
        <w:rPr>
          <w:rFonts w:ascii="Times New Roman"/>
          <w:color w:val="000000"/>
          <w:spacing w:val="0"/>
          <w:sz w:val="21"/>
        </w:rPr>
        <w:t>3</w:t>
      </w:r>
      <w:r>
        <w:rPr>
          <w:rFonts w:ascii="SKJVQB+å®ä½" w:hAnsi="SKJVQB+å®ä½" w:cs="SKJVQB+å®ä½"/>
          <w:color w:val="000000"/>
          <w:spacing w:val="0"/>
          <w:sz w:val="21"/>
        </w:rPr>
        <w:t>层</w:t>
      </w:r>
    </w:p>
    <w:p>
      <w:pPr>
        <w:framePr w:w="3020"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法定代表人：尹彬彬</w:t>
      </w:r>
    </w:p>
    <w:p>
      <w:pPr>
        <w:framePr w:w="3020"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联系人：陈东</w:t>
      </w:r>
    </w:p>
    <w:p>
      <w:pPr>
        <w:framePr w:w="2588"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021-52822063</w:t>
      </w:r>
    </w:p>
    <w:p>
      <w:pPr>
        <w:framePr w:w="2588" w:wrap="around" w:vAnchor="margin" w:hAnchor="text" w:x="7482" w:y="74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021-52975270</w:t>
      </w:r>
    </w:p>
    <w:p>
      <w:pPr>
        <w:framePr w:w="2588" w:wrap="around" w:vAnchor="margin" w:hAnchor="text" w:x="7482" w:y="74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400-166-6788</w:t>
      </w:r>
    </w:p>
    <w:p>
      <w:pPr>
        <w:framePr w:w="2588"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867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http://www.66liantai.com</w:t>
      </w:r>
    </w:p>
    <w:p>
      <w:pPr>
        <w:framePr w:w="3020" w:wrap="around" w:vAnchor="margin" w:hAnchor="text" w:x="7482" w:y="8672"/>
        <w:widowControl w:val="0"/>
        <w:autoSpaceDE w:val="0"/>
        <w:autoSpaceDN w:val="0"/>
        <w:spacing w:before="0" w:after="0" w:line="326"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注册地址：上海市宝山区蕴川</w:t>
      </w:r>
    </w:p>
    <w:p>
      <w:pPr>
        <w:framePr w:w="3020" w:wrap="around" w:vAnchor="margin" w:hAnchor="text" w:x="7482" w:y="86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5475</w:t>
      </w:r>
      <w:r>
        <w:rPr>
          <w:rFonts w:ascii="SKJVQB+å®ä½" w:hAnsi="SKJVQB+å®ä½" w:cs="SKJVQB+å®ä½"/>
          <w:color w:val="000000"/>
          <w:spacing w:val="0"/>
          <w:sz w:val="21"/>
        </w:rPr>
        <w:t xml:space="preserve">号  </w:t>
      </w:r>
      <w:r>
        <w:rPr>
          <w:rFonts w:ascii="Times New Roman"/>
          <w:color w:val="000000"/>
          <w:spacing w:val="0"/>
          <w:sz w:val="21"/>
        </w:rPr>
        <w:t>1033</w:t>
      </w:r>
      <w:r>
        <w:rPr>
          <w:rFonts w:ascii="SKJVQB+å®ä½" w:hAnsi="SKJVQB+å®ä½" w:cs="SKJVQB+å®ä½"/>
          <w:color w:val="000000"/>
          <w:spacing w:val="0"/>
          <w:sz w:val="21"/>
        </w:rPr>
        <w:t>室</w:t>
      </w:r>
    </w:p>
    <w:p>
      <w:pPr>
        <w:framePr w:w="526" w:wrap="around" w:vAnchor="margin" w:hAnchor="text" w:x="4213" w:y="89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94</w:t>
      </w:r>
    </w:p>
    <w:p>
      <w:pPr>
        <w:framePr w:w="2901" w:wrap="around" w:vAnchor="margin" w:hAnchor="text" w:x="4640"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上海利得基金销售有限公司</w:t>
      </w:r>
    </w:p>
    <w:p>
      <w:pPr>
        <w:framePr w:w="3020"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办公地址：上海市虹口区东大</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名路 </w:t>
      </w:r>
      <w:r>
        <w:rPr>
          <w:rFonts w:ascii="Times New Roman"/>
          <w:color w:val="000000"/>
          <w:spacing w:val="0"/>
          <w:sz w:val="21"/>
        </w:rPr>
        <w:t>1098</w:t>
      </w:r>
      <w:r>
        <w:rPr>
          <w:rFonts w:ascii="SKJVQB+å®ä½" w:hAnsi="SKJVQB+å®ä½" w:cs="SKJVQB+å®ä½"/>
          <w:color w:val="000000"/>
          <w:spacing w:val="0"/>
          <w:sz w:val="21"/>
        </w:rPr>
        <w:t>号浦江国际金融广</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场 </w:t>
      </w:r>
      <w:r>
        <w:rPr>
          <w:rFonts w:ascii="Times New Roman"/>
          <w:color w:val="000000"/>
          <w:spacing w:val="0"/>
          <w:sz w:val="21"/>
        </w:rPr>
        <w:t>18</w:t>
      </w:r>
      <w:r>
        <w:rPr>
          <w:rFonts w:ascii="SKJVQB+å®ä½" w:hAnsi="SKJVQB+å®ä½" w:cs="SKJVQB+å®ä½"/>
          <w:color w:val="000000"/>
          <w:spacing w:val="0"/>
          <w:sz w:val="21"/>
        </w:rPr>
        <w:t>层</w:t>
      </w:r>
    </w:p>
    <w:p>
      <w:pPr>
        <w:framePr w:w="2209"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法定代表人：李兴春</w:t>
      </w:r>
    </w:p>
    <w:p>
      <w:pPr>
        <w:framePr w:w="2209" w:wrap="around" w:vAnchor="margin" w:hAnchor="text" w:x="7482"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联系人：陈孜明</w:t>
      </w:r>
    </w:p>
    <w:p>
      <w:pPr>
        <w:framePr w:w="2106"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18516109631</w:t>
      </w:r>
    </w:p>
    <w:p>
      <w:pPr>
        <w:framePr w:w="2171" w:wrap="around" w:vAnchor="margin" w:hAnchor="text" w:x="7482" w:y="1149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021-61101630</w:t>
      </w:r>
    </w:p>
    <w:p>
      <w:pPr>
        <w:framePr w:w="2171" w:wrap="around" w:vAnchor="margin" w:hAnchor="text" w:x="7482" w:y="1149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95733</w:t>
      </w:r>
    </w:p>
    <w:p>
      <w:pPr>
        <w:framePr w:w="3020"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www.leadfund.com.cn</w:t>
      </w:r>
    </w:p>
    <w:p>
      <w:pPr>
        <w:framePr w:w="3020" w:wrap="around" w:vAnchor="margin" w:hAnchor="text" w:x="7482" w:y="1211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注册地址：上海市黄浦区中山</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100</w:t>
      </w:r>
      <w:r>
        <w:rPr>
          <w:rFonts w:ascii="SKJVQB+å®ä½" w:hAnsi="SKJVQB+å®ä½" w:cs="SKJVQB+å®ä½"/>
          <w:color w:val="000000"/>
          <w:spacing w:val="0"/>
          <w:sz w:val="21"/>
        </w:rPr>
        <w:t xml:space="preserve">号  </w:t>
      </w:r>
      <w:r>
        <w:rPr>
          <w:rFonts w:ascii="Times New Roman"/>
          <w:color w:val="000000"/>
          <w:spacing w:val="0"/>
          <w:sz w:val="21"/>
        </w:rPr>
        <w:t>19</w:t>
      </w:r>
      <w:r>
        <w:rPr>
          <w:rFonts w:ascii="SKJVQB+å®ä½" w:hAnsi="SKJVQB+å®ä½" w:cs="SKJVQB+å®ä½"/>
          <w:color w:val="000000"/>
          <w:spacing w:val="0"/>
          <w:sz w:val="21"/>
        </w:rPr>
        <w:t>层</w:t>
      </w:r>
    </w:p>
    <w:p>
      <w:pPr>
        <w:framePr w:w="526" w:wrap="around" w:vAnchor="margin" w:hAnchor="text" w:x="4213" w:y="124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95</w:t>
      </w:r>
    </w:p>
    <w:p>
      <w:pPr>
        <w:framePr w:w="2418" w:wrap="around" w:vAnchor="margin" w:hAnchor="text" w:x="4640"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汇付基金销售有限公司</w:t>
      </w:r>
    </w:p>
    <w:p>
      <w:pPr>
        <w:framePr w:w="2838" w:wrap="around" w:vAnchor="margin" w:hAnchor="text" w:x="7482" w:y="1306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上海市黄浦区中山南路 </w:t>
      </w:r>
      <w:r>
        <w:rPr>
          <w:rFonts w:ascii="Times New Roman"/>
          <w:color w:val="000000"/>
          <w:spacing w:val="0"/>
          <w:sz w:val="21"/>
        </w:rPr>
        <w:t xml:space="preserve"> 100</w:t>
      </w:r>
    </w:p>
    <w:p>
      <w:pPr>
        <w:framePr w:w="2838" w:wrap="around" w:vAnchor="margin" w:hAnchor="text" w:x="7482" w:y="1306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号金外滩国际广场 </w:t>
      </w:r>
      <w:r>
        <w:rPr>
          <w:rFonts w:ascii="Times New Roman"/>
          <w:color w:val="000000"/>
          <w:spacing w:val="0"/>
          <w:sz w:val="21"/>
        </w:rPr>
        <w:t>19</w:t>
      </w:r>
      <w:r>
        <w:rPr>
          <w:rFonts w:ascii="SKJVQB+å®ä½" w:hAnsi="SKJVQB+å®ä½" w:cs="SKJVQB+å®ä½"/>
          <w:color w:val="000000"/>
          <w:spacing w:val="0"/>
          <w:sz w:val="21"/>
        </w:rPr>
        <w:t>楼</w:t>
      </w:r>
    </w:p>
    <w:p>
      <w:pPr>
        <w:framePr w:w="2838" w:wrap="around" w:vAnchor="margin" w:hAnchor="text" w:x="7482" w:y="1306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法定代表人：金佶</w:t>
      </w:r>
    </w:p>
    <w:p>
      <w:pPr>
        <w:framePr w:w="1892"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联系人：陈云卉</w:t>
      </w:r>
    </w:p>
    <w:p>
      <w:pPr>
        <w:framePr w:w="2588" w:wrap="around" w:vAnchor="margin" w:hAnchor="text" w:x="7482" w:y="1431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021-33323999</w:t>
      </w:r>
    </w:p>
    <w:p>
      <w:pPr>
        <w:framePr w:w="2588"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021-33323837</w:t>
      </w:r>
    </w:p>
    <w:p>
      <w:pPr>
        <w:framePr w:w="2588"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400-821-3999</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59</w:t>
      </w:r>
    </w:p>
    <w:p>
      <w:pPr>
        <w:spacing w:before="0" w:after="0" w:line="0" w:lineRule="exact"/>
        <w:ind w:left="0" w:right="0"/>
        <w:jc w:val="left"/>
        <w:rPr>
          <w:rFonts w:ascii="Arial"/>
          <w:color w:val="FF0000"/>
          <w:spacing w:val="0"/>
          <w:sz w:val="2"/>
        </w:rPr>
      </w:pPr>
      <w:r>
        <w:pict>
          <v:shape id="_x0000123" o:spid="_x0000_s114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08" o:title=""/>
            <o:lock v:ext="edit" aspectratio="t"/>
          </v:shape>
        </w:pict>
      </w:r>
      <w:r>
        <w:pict>
          <v:shape id="_x0000124" o:spid="_x0000_s115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0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33"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www.hotjijin.com/</w:t>
      </w:r>
    </w:p>
    <w:p>
      <w:pPr>
        <w:framePr w:w="526" w:wrap="around" w:vAnchor="margin" w:hAnchor="text" w:x="4213"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96</w:t>
      </w:r>
    </w:p>
    <w:p>
      <w:pPr>
        <w:framePr w:w="2901"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厦门市鑫鼎盛控股有限公司</w:t>
      </w:r>
    </w:p>
    <w:p>
      <w:pPr>
        <w:framePr w:w="3020"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注册地址：厦门市思明区鹭</w:t>
      </w:r>
    </w:p>
    <w:p>
      <w:pPr>
        <w:framePr w:w="3020" w:wrap="around" w:vAnchor="margin" w:hAnchor="text" w:x="7482" w:y="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江道 </w:t>
      </w:r>
      <w:r>
        <w:rPr>
          <w:rFonts w:ascii="Times New Roman"/>
          <w:color w:val="000000"/>
          <w:spacing w:val="0"/>
          <w:sz w:val="21"/>
        </w:rPr>
        <w:t>2</w:t>
      </w:r>
      <w:r>
        <w:rPr>
          <w:rFonts w:ascii="SKJVQB+å®ä½" w:hAnsi="SKJVQB+å®ä½" w:cs="SKJVQB+å®ä½"/>
          <w:color w:val="000000"/>
          <w:spacing w:val="0"/>
          <w:sz w:val="21"/>
        </w:rPr>
        <w:t xml:space="preserve">号第一广场  </w:t>
      </w:r>
      <w:r>
        <w:rPr>
          <w:rFonts w:ascii="Times New Roman"/>
          <w:color w:val="000000"/>
          <w:spacing w:val="0"/>
          <w:sz w:val="21"/>
        </w:rPr>
        <w:t>1501-1504</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办公地址：厦门市思明区鹭</w:t>
      </w:r>
    </w:p>
    <w:p>
      <w:pPr>
        <w:framePr w:w="3020" w:wrap="around" w:vAnchor="margin" w:hAnchor="text" w:x="7482" w:y="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江道 </w:t>
      </w:r>
      <w:r>
        <w:rPr>
          <w:rFonts w:ascii="Times New Roman"/>
          <w:color w:val="000000"/>
          <w:spacing w:val="0"/>
          <w:sz w:val="21"/>
        </w:rPr>
        <w:t>2</w:t>
      </w:r>
      <w:r>
        <w:rPr>
          <w:rFonts w:ascii="SKJVQB+å®ä½" w:hAnsi="SKJVQB+å®ä½" w:cs="SKJVQB+å®ä½"/>
          <w:color w:val="000000"/>
          <w:spacing w:val="0"/>
          <w:sz w:val="21"/>
        </w:rPr>
        <w:t xml:space="preserve">号第一广场  </w:t>
      </w:r>
      <w:r>
        <w:rPr>
          <w:rFonts w:ascii="Times New Roman"/>
          <w:color w:val="000000"/>
          <w:spacing w:val="0"/>
          <w:sz w:val="21"/>
        </w:rPr>
        <w:t>1501-1504</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法定代表人：陈洪生</w:t>
      </w:r>
    </w:p>
    <w:p>
      <w:pPr>
        <w:framePr w:w="1789"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联系人：梁云波</w:t>
      </w:r>
    </w:p>
    <w:p>
      <w:pPr>
        <w:framePr w:w="2178" w:wrap="around" w:vAnchor="margin" w:hAnchor="text" w:x="7482" w:y="367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0592-3122757</w:t>
      </w:r>
    </w:p>
    <w:p>
      <w:pPr>
        <w:framePr w:w="2178" w:wrap="around" w:vAnchor="margin" w:hAnchor="text" w:x="7482" w:y="398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0592-3122701</w:t>
      </w:r>
    </w:p>
    <w:p>
      <w:pPr>
        <w:framePr w:w="3021"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400-918-0808</w:t>
      </w:r>
    </w:p>
    <w:p>
      <w:pPr>
        <w:framePr w:w="3021" w:wrap="around" w:vAnchor="margin" w:hAnchor="text" w:x="7482" w:y="4296"/>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www.xds.com.cn</w:t>
      </w:r>
    </w:p>
    <w:p>
      <w:pPr>
        <w:framePr w:w="3021" w:wrap="around" w:vAnchor="margin" w:hAnchor="text" w:x="7482" w:y="429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注册地址：上海市浦东新区陆</w:t>
      </w:r>
    </w:p>
    <w:p>
      <w:pPr>
        <w:framePr w:w="3021"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1333</w:t>
      </w:r>
      <w:r>
        <w:rPr>
          <w:rFonts w:ascii="SKJVQB+å®ä½" w:hAnsi="SKJVQB+å®ä½" w:cs="SKJVQB+å®ä½"/>
          <w:color w:val="000000"/>
          <w:spacing w:val="0"/>
          <w:sz w:val="21"/>
        </w:rPr>
        <w:t xml:space="preserve">号  </w:t>
      </w:r>
      <w:r>
        <w:rPr>
          <w:rFonts w:ascii="Times New Roman"/>
          <w:color w:val="000000"/>
          <w:spacing w:val="0"/>
          <w:sz w:val="21"/>
        </w:rPr>
        <w:t>14</w:t>
      </w:r>
      <w:r>
        <w:rPr>
          <w:rFonts w:ascii="SKJVQB+å®ä½" w:hAnsi="SKJVQB+å®ä½" w:cs="SKJVQB+å®ä½"/>
          <w:color w:val="000000"/>
          <w:spacing w:val="0"/>
          <w:sz w:val="21"/>
        </w:rPr>
        <w:t xml:space="preserve">楼  </w:t>
      </w:r>
      <w:r>
        <w:rPr>
          <w:rFonts w:ascii="Times New Roman"/>
          <w:color w:val="000000"/>
          <w:spacing w:val="0"/>
          <w:sz w:val="21"/>
        </w:rPr>
        <w:t>09</w:t>
      </w:r>
      <w:r>
        <w:rPr>
          <w:rFonts w:ascii="SKJVQB+å®ä½" w:hAnsi="SKJVQB+å®ä½" w:cs="SKJVQB+å®ä½"/>
          <w:color w:val="000000"/>
          <w:spacing w:val="0"/>
          <w:sz w:val="21"/>
        </w:rPr>
        <w:t>单</w:t>
      </w:r>
    </w:p>
    <w:p>
      <w:pPr>
        <w:framePr w:w="3021"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元</w:t>
      </w:r>
    </w:p>
    <w:p>
      <w:pPr>
        <w:framePr w:w="526" w:wrap="around" w:vAnchor="margin" w:hAnchor="text" w:x="4213" w:y="492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97</w:t>
      </w:r>
    </w:p>
    <w:p>
      <w:pPr>
        <w:framePr w:w="2901" w:wrap="around" w:vAnchor="margin" w:hAnchor="text" w:x="4640" w:y="493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上海陆金所基金销售有限公</w:t>
      </w:r>
    </w:p>
    <w:p>
      <w:pPr>
        <w:framePr w:w="2901" w:wrap="around" w:vAnchor="margin" w:hAnchor="text" w:x="4640" w:y="493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0" w:wrap="around" w:vAnchor="margin" w:hAnchor="text" w:x="7482"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办公地址：上海市浦东新区陆</w:t>
      </w:r>
    </w:p>
    <w:p>
      <w:pPr>
        <w:framePr w:w="3020" w:wrap="around" w:vAnchor="margin" w:hAnchor="text" w:x="7482" w:y="587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1333</w:t>
      </w:r>
      <w:r>
        <w:rPr>
          <w:rFonts w:ascii="SKJVQB+å®ä½" w:hAnsi="SKJVQB+å®ä½" w:cs="SKJVQB+å®ä½"/>
          <w:color w:val="000000"/>
          <w:spacing w:val="0"/>
          <w:sz w:val="21"/>
        </w:rPr>
        <w:t xml:space="preserve">号  </w:t>
      </w:r>
      <w:r>
        <w:rPr>
          <w:rFonts w:ascii="Times New Roman"/>
          <w:color w:val="000000"/>
          <w:spacing w:val="0"/>
          <w:sz w:val="21"/>
        </w:rPr>
        <w:t>14</w:t>
      </w:r>
      <w:r>
        <w:rPr>
          <w:rFonts w:ascii="SKJVQB+å®ä½" w:hAnsi="SKJVQB+å®ä½" w:cs="SKJVQB+å®ä½"/>
          <w:color w:val="000000"/>
          <w:spacing w:val="0"/>
          <w:sz w:val="21"/>
        </w:rPr>
        <w:t>楼</w:t>
      </w:r>
    </w:p>
    <w:p>
      <w:pPr>
        <w:framePr w:w="3020" w:wrap="around" w:vAnchor="margin" w:hAnchor="text" w:x="7482" w:y="587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法定代表人：王之光</w:t>
      </w:r>
    </w:p>
    <w:p>
      <w:pPr>
        <w:framePr w:w="1789" w:wrap="around" w:vAnchor="margin" w:hAnchor="text" w:x="7482"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联系人：宁博宇</w:t>
      </w:r>
    </w:p>
    <w:p>
      <w:pPr>
        <w:framePr w:w="2178" w:wrap="around" w:vAnchor="margin" w:hAnchor="text" w:x="7482" w:y="711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021-20665952</w:t>
      </w:r>
    </w:p>
    <w:p>
      <w:pPr>
        <w:framePr w:w="2178"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021-22066653</w:t>
      </w:r>
    </w:p>
    <w:p>
      <w:pPr>
        <w:framePr w:w="3020"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4008219031</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www.lufunds.com</w:t>
      </w:r>
    </w:p>
    <w:p>
      <w:pPr>
        <w:framePr w:w="3020" w:wrap="around" w:vAnchor="margin" w:hAnchor="text" w:x="7482" w:y="773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注册地址：北京市西城区车</w:t>
      </w:r>
    </w:p>
    <w:p>
      <w:pPr>
        <w:framePr w:w="3020"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公庄大街 </w:t>
      </w:r>
      <w:r>
        <w:rPr>
          <w:rFonts w:ascii="Times New Roman"/>
          <w:color w:val="000000"/>
          <w:spacing w:val="0"/>
          <w:sz w:val="21"/>
        </w:rPr>
        <w:t>4</w:t>
      </w:r>
      <w:r>
        <w:rPr>
          <w:rFonts w:ascii="SKJVQB+å®ä½" w:hAnsi="SKJVQB+å®ä½" w:cs="SKJVQB+å®ä½"/>
          <w:color w:val="000000"/>
          <w:spacing w:val="0"/>
          <w:sz w:val="21"/>
        </w:rPr>
        <w:t xml:space="preserve">号  </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1</w:t>
      </w:r>
      <w:r>
        <w:rPr>
          <w:rFonts w:ascii="SKJVQB+å®ä½" w:hAnsi="SKJVQB+å®ä½" w:cs="SKJVQB+å®ä½"/>
          <w:color w:val="000000"/>
          <w:spacing w:val="0"/>
          <w:sz w:val="21"/>
        </w:rPr>
        <w:t>层</w:t>
      </w:r>
    </w:p>
    <w:p>
      <w:pPr>
        <w:framePr w:w="3020"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融街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703</w:t>
      </w:r>
    </w:p>
    <w:p>
      <w:pPr>
        <w:framePr w:w="526" w:wrap="around" w:vAnchor="margin" w:hAnchor="text" w:x="4213" w:y="837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98</w:t>
      </w:r>
    </w:p>
    <w:p>
      <w:pPr>
        <w:framePr w:w="2901" w:wrap="around" w:vAnchor="margin" w:hAnchor="text" w:x="4640" w:y="83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北京加和基金销售有限公司</w:t>
      </w:r>
    </w:p>
    <w:p>
      <w:pPr>
        <w:framePr w:w="2312"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法定代表人：徐福贺</w:t>
      </w:r>
    </w:p>
    <w:p>
      <w:pPr>
        <w:framePr w:w="2312"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联系人：张巍</w:t>
      </w:r>
    </w:p>
    <w:p>
      <w:pPr>
        <w:framePr w:w="2226" w:wrap="around" w:vAnchor="margin" w:hAnchor="text" w:x="7482" w:y="1024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010-5086 6176</w:t>
      </w:r>
    </w:p>
    <w:p>
      <w:pPr>
        <w:framePr w:w="2226" w:wrap="around" w:vAnchor="margin" w:hAnchor="text" w:x="7482" w:y="1055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010-5086 6173</w:t>
      </w:r>
    </w:p>
    <w:p>
      <w:pPr>
        <w:framePr w:w="3020" w:wrap="around" w:vAnchor="margin" w:hAnchor="text" w:x="7482" w:y="108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400-600-0030</w:t>
      </w:r>
    </w:p>
    <w:p>
      <w:pPr>
        <w:framePr w:w="3020"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www.bzfunds.com</w:t>
      </w:r>
    </w:p>
    <w:p>
      <w:pPr>
        <w:framePr w:w="3020" w:wrap="around" w:vAnchor="margin" w:hAnchor="text" w:x="7482" w:y="1087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注册地址：北京市朝阳区东三</w:t>
      </w:r>
    </w:p>
    <w:p>
      <w:pPr>
        <w:framePr w:w="3020" w:wrap="around" w:vAnchor="margin" w:hAnchor="text" w:x="7482" w:y="1087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 </w:t>
      </w:r>
      <w:r>
        <w:rPr>
          <w:rFonts w:ascii="Times New Roman"/>
          <w:color w:val="000000"/>
          <w:spacing w:val="0"/>
          <w:sz w:val="21"/>
        </w:rPr>
        <w:t>17</w:t>
      </w:r>
      <w:r>
        <w:rPr>
          <w:rFonts w:ascii="SKJVQB+å®ä½" w:hAnsi="SKJVQB+å®ä½" w:cs="SKJVQB+å®ä½"/>
          <w:color w:val="000000"/>
          <w:spacing w:val="0"/>
          <w:sz w:val="21"/>
        </w:rPr>
        <w:t xml:space="preserve">号  </w:t>
      </w:r>
      <w:r>
        <w:rPr>
          <w:rFonts w:ascii="Times New Roman"/>
          <w:color w:val="000000"/>
          <w:spacing w:val="0"/>
          <w:sz w:val="21"/>
        </w:rPr>
        <w:t>10</w:t>
      </w:r>
      <w:r>
        <w:rPr>
          <w:rFonts w:ascii="SKJVQB+å®ä½" w:hAnsi="SKJVQB+å®ä½" w:cs="SKJVQB+å®ä½"/>
          <w:color w:val="000000"/>
          <w:spacing w:val="0"/>
          <w:sz w:val="21"/>
        </w:rPr>
        <w:t xml:space="preserve">层  </w:t>
      </w:r>
      <w:r>
        <w:rPr>
          <w:rFonts w:ascii="Times New Roman"/>
          <w:color w:val="000000"/>
          <w:spacing w:val="0"/>
          <w:sz w:val="21"/>
        </w:rPr>
        <w:t>1015</w:t>
      </w:r>
      <w:r>
        <w:rPr>
          <w:rFonts w:ascii="SKJVQB+å®ä½" w:hAnsi="SKJVQB+å®ä½" w:cs="SKJVQB+å®ä½"/>
          <w:color w:val="000000"/>
          <w:spacing w:val="0"/>
          <w:sz w:val="21"/>
        </w:rPr>
        <w:t>室</w:t>
      </w:r>
    </w:p>
    <w:p>
      <w:pPr>
        <w:framePr w:w="3020" w:wrap="around" w:vAnchor="margin" w:hAnchor="text" w:x="7482" w:y="1087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办公地址：北京市朝阳区东三</w:t>
      </w:r>
    </w:p>
    <w:p>
      <w:pPr>
        <w:framePr w:w="3020" w:wrap="around" w:vAnchor="margin" w:hAnchor="text" w:x="7482" w:y="1087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 </w:t>
      </w:r>
      <w:r>
        <w:rPr>
          <w:rFonts w:ascii="Times New Roman"/>
          <w:color w:val="000000"/>
          <w:spacing w:val="0"/>
          <w:sz w:val="21"/>
        </w:rPr>
        <w:t>17</w:t>
      </w:r>
      <w:r>
        <w:rPr>
          <w:rFonts w:ascii="SKJVQB+å®ä½" w:hAnsi="SKJVQB+å®ä½" w:cs="SKJVQB+å®ä½"/>
          <w:color w:val="000000"/>
          <w:spacing w:val="0"/>
          <w:sz w:val="21"/>
        </w:rPr>
        <w:t xml:space="preserve">号  </w:t>
      </w:r>
      <w:r>
        <w:rPr>
          <w:rFonts w:ascii="Times New Roman"/>
          <w:color w:val="000000"/>
          <w:spacing w:val="0"/>
          <w:sz w:val="21"/>
        </w:rPr>
        <w:t>10</w:t>
      </w:r>
      <w:r>
        <w:rPr>
          <w:rFonts w:ascii="SKJVQB+å®ä½" w:hAnsi="SKJVQB+å®ä½" w:cs="SKJVQB+å®ä½"/>
          <w:color w:val="000000"/>
          <w:spacing w:val="0"/>
          <w:sz w:val="21"/>
        </w:rPr>
        <w:t xml:space="preserve">层  </w:t>
      </w:r>
      <w:r>
        <w:rPr>
          <w:rFonts w:ascii="Times New Roman"/>
          <w:color w:val="000000"/>
          <w:spacing w:val="0"/>
          <w:sz w:val="21"/>
        </w:rPr>
        <w:t>1015</w:t>
      </w:r>
      <w:r>
        <w:rPr>
          <w:rFonts w:ascii="SKJVQB+å®ä½" w:hAnsi="SKJVQB+å®ä½" w:cs="SKJVQB+å®ä½"/>
          <w:color w:val="000000"/>
          <w:spacing w:val="0"/>
          <w:sz w:val="21"/>
        </w:rPr>
        <w:t>室</w:t>
      </w:r>
    </w:p>
    <w:p>
      <w:pPr>
        <w:framePr w:w="3020" w:wrap="around" w:vAnchor="margin" w:hAnchor="text" w:x="7482" w:y="1087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法定代表人：何静</w:t>
      </w:r>
    </w:p>
    <w:p>
      <w:pPr>
        <w:framePr w:w="526" w:wrap="around" w:vAnchor="margin" w:hAnchor="text" w:x="4213" w:y="1150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99</w:t>
      </w:r>
    </w:p>
    <w:p>
      <w:pPr>
        <w:framePr w:w="2901" w:wrap="around" w:vAnchor="margin" w:hAnchor="text" w:x="4640" w:y="1151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北京虹点基金销售有限公司</w:t>
      </w:r>
    </w:p>
    <w:p>
      <w:pPr>
        <w:framePr w:w="1789" w:wrap="around" w:vAnchor="margin" w:hAnchor="text" w:x="7482" w:y="130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联系人：陈铭洲</w:t>
      </w:r>
    </w:p>
    <w:p>
      <w:pPr>
        <w:framePr w:w="3112" w:wrap="around" w:vAnchor="margin" w:hAnchor="text" w:x="7482" w:y="1337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010-65951887</w:t>
      </w:r>
    </w:p>
    <w:p>
      <w:pPr>
        <w:framePr w:w="3112" w:wrap="around" w:vAnchor="margin" w:hAnchor="text" w:x="7482" w:y="1337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400-618-0707</w:t>
      </w:r>
    </w:p>
    <w:p>
      <w:pPr>
        <w:framePr w:w="3112" w:wrap="around" w:vAnchor="margin" w:hAnchor="text" w:x="7482" w:y="1337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www.hongdianfund.com</w:t>
      </w:r>
    </w:p>
    <w:p>
      <w:pPr>
        <w:framePr w:w="3112" w:wrap="around" w:vAnchor="margin" w:hAnchor="text" w:x="7482" w:y="1337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注册地址：北京市海淀区东北</w:t>
      </w:r>
    </w:p>
    <w:p>
      <w:pPr>
        <w:framePr w:w="3112" w:wrap="around" w:vAnchor="margin" w:hAnchor="text" w:x="7482" w:y="1337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旺西路中关村软件园二期</w:t>
      </w:r>
      <w:r>
        <w:rPr>
          <w:rFonts w:ascii="Times New Roman"/>
          <w:color w:val="000000"/>
          <w:spacing w:val="0"/>
          <w:sz w:val="21"/>
        </w:rPr>
        <w:t>(</w:t>
      </w:r>
      <w:r>
        <w:rPr>
          <w:rFonts w:ascii="SKJVQB+å®ä½" w:hAnsi="SKJVQB+å®ä½" w:cs="SKJVQB+å®ä½"/>
          <w:color w:val="000000"/>
          <w:spacing w:val="0"/>
          <w:sz w:val="21"/>
        </w:rPr>
        <w:t>西</w:t>
      </w:r>
    </w:p>
    <w:p>
      <w:pPr>
        <w:framePr w:w="3112" w:wrap="around" w:vAnchor="margin" w:hAnchor="text" w:x="7482" w:y="1337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扩</w:t>
      </w:r>
      <w:r>
        <w:rPr>
          <w:rFonts w:ascii="Times New Roman"/>
          <w:color w:val="000000"/>
          <w:spacing w:val="0"/>
          <w:sz w:val="21"/>
        </w:rPr>
        <w:t>)N-1</w:t>
      </w:r>
      <w:r>
        <w:rPr>
          <w:rFonts w:ascii="SKJVQB+å®ä½" w:hAnsi="SKJVQB+å®ä½" w:cs="SKJVQB+å®ä½"/>
          <w:color w:val="000000"/>
          <w:spacing w:val="0"/>
          <w:sz w:val="21"/>
        </w:rPr>
        <w:t>、</w:t>
      </w:r>
      <w:r>
        <w:rPr>
          <w:rFonts w:ascii="Times New Roman"/>
          <w:color w:val="000000"/>
          <w:spacing w:val="0"/>
          <w:sz w:val="21"/>
        </w:rPr>
        <w:t>N-2</w:t>
      </w:r>
      <w:r>
        <w:rPr>
          <w:rFonts w:ascii="SKJVQB+å®ä½" w:hAnsi="SKJVQB+å®ä½" w:cs="SKJVQB+å®ä½"/>
          <w:color w:val="000000"/>
          <w:spacing w:val="0"/>
          <w:sz w:val="21"/>
        </w:rPr>
        <w:t>地块新浪总部科</w:t>
      </w:r>
    </w:p>
    <w:p>
      <w:pPr>
        <w:framePr w:w="632" w:wrap="around" w:vAnchor="margin" w:hAnchor="text" w:x="4110" w:y="1432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100</w:t>
      </w:r>
    </w:p>
    <w:p>
      <w:pPr>
        <w:framePr w:w="2901" w:wrap="around" w:vAnchor="margin" w:hAnchor="text" w:x="4640" w:y="1433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北京新浪仓石基金销售有限</w:t>
      </w:r>
    </w:p>
    <w:p>
      <w:pPr>
        <w:framePr w:w="2901" w:wrap="around" w:vAnchor="margin" w:hAnchor="text" w:x="4640" w:y="1433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60</w:t>
      </w:r>
    </w:p>
    <w:p>
      <w:pPr>
        <w:spacing w:before="0" w:after="0" w:line="0" w:lineRule="exact"/>
        <w:ind w:left="0" w:right="0"/>
        <w:jc w:val="left"/>
        <w:rPr>
          <w:rFonts w:ascii="Arial"/>
          <w:color w:val="FF0000"/>
          <w:spacing w:val="0"/>
          <w:sz w:val="2"/>
        </w:rPr>
      </w:pPr>
      <w:r>
        <w:pict>
          <v:shape id="_x0000125" o:spid="_x0000_s115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0" o:title=""/>
            <o:lock v:ext="edit" aspectratio="t"/>
          </v:shape>
        </w:pict>
      </w:r>
      <w:r>
        <w:pict>
          <v:shape id="_x0000126" o:spid="_x0000_s1152"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11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789"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研楼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518</w:t>
      </w:r>
      <w:r>
        <w:rPr>
          <w:rFonts w:ascii="SKJVQB+å®ä½" w:hAnsi="SKJVQB+å®ä½" w:cs="SKJVQB+å®ä½"/>
          <w:color w:val="000000"/>
          <w:spacing w:val="0"/>
          <w:sz w:val="21"/>
        </w:rPr>
        <w:t>室</w:t>
      </w:r>
    </w:p>
    <w:p>
      <w:pPr>
        <w:framePr w:w="3020"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办公地址：北京市海淀区西北</w:t>
      </w:r>
    </w:p>
    <w:p>
      <w:pPr>
        <w:framePr w:w="3020"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旺东路 </w:t>
      </w:r>
      <w:r>
        <w:rPr>
          <w:rFonts w:ascii="Times New Roman"/>
          <w:color w:val="000000"/>
          <w:spacing w:val="0"/>
          <w:sz w:val="21"/>
        </w:rPr>
        <w:t>10</w:t>
      </w:r>
      <w:r>
        <w:rPr>
          <w:rFonts w:ascii="SKJVQB+å®ä½" w:hAnsi="SKJVQB+å®ä½" w:cs="SKJVQB+å®ä½"/>
          <w:color w:val="000000"/>
          <w:spacing w:val="0"/>
          <w:sz w:val="21"/>
        </w:rPr>
        <w:t xml:space="preserve">号院东区  </w:t>
      </w:r>
      <w:r>
        <w:rPr>
          <w:rFonts w:ascii="Times New Roman"/>
          <w:color w:val="000000"/>
          <w:spacing w:val="0"/>
          <w:sz w:val="21"/>
        </w:rPr>
        <w:t>3</w:t>
      </w:r>
      <w:r>
        <w:rPr>
          <w:rFonts w:ascii="SKJVQB+å®ä½" w:hAnsi="SKJVQB+å®ä½" w:cs="SKJVQB+å®ä½"/>
          <w:color w:val="000000"/>
          <w:spacing w:val="0"/>
          <w:sz w:val="21"/>
        </w:rPr>
        <w:t>号楼为</w:t>
      </w:r>
    </w:p>
    <w:p>
      <w:pPr>
        <w:framePr w:w="3020"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明大厦 </w:t>
      </w:r>
      <w:r>
        <w:rPr>
          <w:rFonts w:ascii="Times New Roman"/>
          <w:color w:val="000000"/>
          <w:spacing w:val="0"/>
          <w:sz w:val="21"/>
        </w:rPr>
        <w:t>C</w:t>
      </w:r>
      <w:r>
        <w:rPr>
          <w:rFonts w:ascii="SKJVQB+å®ä½" w:hAnsi="SKJVQB+å®ä½" w:cs="SKJVQB+å®ä½"/>
          <w:color w:val="000000"/>
          <w:spacing w:val="0"/>
          <w:sz w:val="21"/>
        </w:rPr>
        <w:t>座</w:t>
      </w:r>
    </w:p>
    <w:p>
      <w:pPr>
        <w:framePr w:w="2312" w:wrap="around" w:vAnchor="margin" w:hAnchor="text" w:x="7482" w:y="27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法定代表人：赵芯蕊</w:t>
      </w:r>
    </w:p>
    <w:p>
      <w:pPr>
        <w:framePr w:w="2312" w:wrap="around" w:vAnchor="margin" w:hAnchor="text" w:x="7482" w:y="27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联系人：赵芯蕊</w:t>
      </w:r>
    </w:p>
    <w:p>
      <w:pPr>
        <w:framePr w:w="2941"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010-62675768</w:t>
      </w:r>
    </w:p>
    <w:p>
      <w:pPr>
        <w:framePr w:w="2941"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010-62675369</w:t>
      </w:r>
    </w:p>
    <w:p>
      <w:pPr>
        <w:framePr w:w="2941"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http://www.xincai.com</w:t>
      </w:r>
    </w:p>
    <w:p>
      <w:pPr>
        <w:framePr w:w="632" w:wrap="around" w:vAnchor="margin" w:hAnchor="text" w:x="4110"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101</w:t>
      </w:r>
    </w:p>
    <w:p>
      <w:pPr>
        <w:framePr w:w="2901"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珠海盈米基金销售有限公司</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注册地址：珠海市横琴新区</w:t>
      </w:r>
    </w:p>
    <w:p>
      <w:pPr>
        <w:framePr w:w="3020" w:wrap="around" w:vAnchor="margin" w:hAnchor="text" w:x="7482" w:y="4303"/>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 xml:space="preserve">宝华路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105</w:t>
      </w:r>
      <w:r>
        <w:rPr>
          <w:rFonts w:ascii="SKJVQB+å®ä½" w:hAnsi="SKJVQB+å®ä½" w:cs="SKJVQB+å®ä½"/>
          <w:color w:val="000000"/>
          <w:spacing w:val="0"/>
          <w:sz w:val="21"/>
        </w:rPr>
        <w:t>室</w:t>
      </w:r>
      <w:r>
        <w:rPr>
          <w:rFonts w:ascii="Times New Roman"/>
          <w:color w:val="000000"/>
          <w:spacing w:val="0"/>
          <w:sz w:val="21"/>
        </w:rPr>
        <w:t>-3491</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办公地址：广州市海珠区琶洲</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大道东 </w:t>
      </w:r>
      <w:r>
        <w:rPr>
          <w:rFonts w:ascii="Times New Roman"/>
          <w:color w:val="000000"/>
          <w:spacing w:val="0"/>
          <w:sz w:val="21"/>
        </w:rPr>
        <w:t>1</w:t>
      </w:r>
      <w:r>
        <w:rPr>
          <w:rFonts w:ascii="SKJVQB+å®ä½" w:hAnsi="SKJVQB+å®ä½" w:cs="SKJVQB+å®ä½"/>
          <w:color w:val="000000"/>
          <w:spacing w:val="0"/>
          <w:sz w:val="21"/>
        </w:rPr>
        <w:t>号保利国际广场南</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塔 </w:t>
      </w:r>
      <w:r>
        <w:rPr>
          <w:rFonts w:ascii="Times New Roman"/>
          <w:color w:val="000000"/>
          <w:spacing w:val="0"/>
          <w:sz w:val="21"/>
        </w:rPr>
        <w:t>12</w:t>
      </w:r>
      <w:r>
        <w:rPr>
          <w:rFonts w:ascii="SKJVQB+å®ä½" w:hAnsi="SKJVQB+å®ä½" w:cs="SKJVQB+å®ä½"/>
          <w:color w:val="000000"/>
          <w:spacing w:val="0"/>
          <w:sz w:val="21"/>
        </w:rPr>
        <w:t xml:space="preserve">楼   </w:t>
      </w:r>
      <w:r>
        <w:rPr>
          <w:rFonts w:ascii="Times New Roman"/>
          <w:color w:val="000000"/>
          <w:spacing w:val="0"/>
          <w:sz w:val="21"/>
        </w:rPr>
        <w:t>1201-1203</w:t>
      </w:r>
      <w:r>
        <w:rPr>
          <w:rFonts w:ascii="SKJVQB+å®ä½" w:hAnsi="SKJVQB+å®ä½" w:cs="SKJVQB+å®ä½"/>
          <w:color w:val="000000"/>
          <w:spacing w:val="0"/>
          <w:sz w:val="21"/>
        </w:rPr>
        <w:t>室</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法定代表人：肖雯</w:t>
      </w:r>
    </w:p>
    <w:p>
      <w:pPr>
        <w:framePr w:w="1789"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联系人：邱湘湘</w:t>
      </w:r>
    </w:p>
    <w:p>
      <w:pPr>
        <w:framePr w:w="2178"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020-89629099</w:t>
      </w:r>
    </w:p>
    <w:p>
      <w:pPr>
        <w:framePr w:w="2178"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020-89629011</w:t>
      </w:r>
    </w:p>
    <w:p>
      <w:pPr>
        <w:framePr w:w="3021" w:wrap="around" w:vAnchor="margin" w:hAnchor="text" w:x="7482" w:y="710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020-89629066</w:t>
      </w:r>
    </w:p>
    <w:p>
      <w:pPr>
        <w:framePr w:w="3021" w:wrap="around" w:vAnchor="margin" w:hAnchor="text" w:x="7482" w:y="710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www.yingmi.cn</w:t>
      </w:r>
    </w:p>
    <w:p>
      <w:pPr>
        <w:framePr w:w="3021" w:wrap="around" w:vAnchor="margin" w:hAnchor="text" w:x="7482" w:y="710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framePr w:w="3021"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街道岗厦社区金田路 </w:t>
      </w:r>
      <w:r>
        <w:rPr>
          <w:rFonts w:ascii="Times New Roman"/>
          <w:color w:val="000000"/>
          <w:spacing w:val="0"/>
          <w:sz w:val="21"/>
        </w:rPr>
        <w:t>3088</w:t>
      </w:r>
      <w:r>
        <w:rPr>
          <w:rFonts w:ascii="SKJVQB+å®ä½" w:hAnsi="SKJVQB+å®ä½" w:cs="SKJVQB+å®ä½"/>
          <w:color w:val="000000"/>
          <w:spacing w:val="0"/>
          <w:sz w:val="21"/>
        </w:rPr>
        <w:t>号</w:t>
      </w:r>
    </w:p>
    <w:p>
      <w:pPr>
        <w:framePr w:w="3021"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中洲大厦 </w:t>
      </w:r>
      <w:r>
        <w:rPr>
          <w:rFonts w:ascii="Times New Roman"/>
          <w:color w:val="000000"/>
          <w:spacing w:val="0"/>
          <w:sz w:val="21"/>
        </w:rPr>
        <w:t>3203A</w:t>
      </w:r>
      <w:r>
        <w:rPr>
          <w:rFonts w:ascii="SKJVQB+å®ä½" w:hAnsi="SKJVQB+å®ä½" w:cs="SKJVQB+å®ä½"/>
          <w:color w:val="000000"/>
          <w:spacing w:val="0"/>
          <w:sz w:val="21"/>
        </w:rPr>
        <w:t>单元</w:t>
      </w:r>
    </w:p>
    <w:p>
      <w:pPr>
        <w:framePr w:w="3021"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办公地址：深圳市福田区福田</w:t>
      </w:r>
    </w:p>
    <w:p>
      <w:pPr>
        <w:framePr w:w="3021"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街道岗厦社区金田路 </w:t>
      </w:r>
      <w:r>
        <w:rPr>
          <w:rFonts w:ascii="Times New Roman"/>
          <w:color w:val="000000"/>
          <w:spacing w:val="0"/>
          <w:sz w:val="21"/>
        </w:rPr>
        <w:t>3088</w:t>
      </w:r>
      <w:r>
        <w:rPr>
          <w:rFonts w:ascii="SKJVQB+å®ä½" w:hAnsi="SKJVQB+å®ä½" w:cs="SKJVQB+å®ä½"/>
          <w:color w:val="000000"/>
          <w:spacing w:val="0"/>
          <w:sz w:val="21"/>
        </w:rPr>
        <w:t>号</w:t>
      </w:r>
    </w:p>
    <w:p>
      <w:pPr>
        <w:framePr w:w="3021"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中洲大厦 </w:t>
      </w:r>
      <w:r>
        <w:rPr>
          <w:rFonts w:ascii="Times New Roman"/>
          <w:color w:val="000000"/>
          <w:spacing w:val="0"/>
          <w:sz w:val="21"/>
        </w:rPr>
        <w:t>3203A</w:t>
      </w:r>
      <w:r>
        <w:rPr>
          <w:rFonts w:ascii="SKJVQB+å®ä½" w:hAnsi="SKJVQB+å®ä½" w:cs="SKJVQB+å®ä½"/>
          <w:color w:val="000000"/>
          <w:spacing w:val="0"/>
          <w:sz w:val="21"/>
        </w:rPr>
        <w:t>单元</w:t>
      </w:r>
    </w:p>
    <w:p>
      <w:pPr>
        <w:framePr w:w="3021"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法定代表人：刘鹏宇</w:t>
      </w:r>
    </w:p>
    <w:p>
      <w:pPr>
        <w:framePr w:w="3021"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联系人：刘勇</w:t>
      </w:r>
    </w:p>
    <w:p>
      <w:pPr>
        <w:framePr w:w="632" w:wrap="around" w:vAnchor="margin" w:hAnchor="text" w:x="4110" w:y="77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102</w:t>
      </w:r>
    </w:p>
    <w:p>
      <w:pPr>
        <w:framePr w:w="2901"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深圳富济基金销售有限公司</w:t>
      </w:r>
    </w:p>
    <w:p>
      <w:pPr>
        <w:framePr w:w="3020"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0755-83999907-8814</w:t>
      </w:r>
    </w:p>
    <w:p>
      <w:pPr>
        <w:framePr w:w="3020" w:wrap="around" w:vAnchor="margin" w:hAnchor="text" w:x="7482" w:y="1023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0755-83999926</w:t>
      </w:r>
    </w:p>
    <w:p>
      <w:pPr>
        <w:framePr w:w="302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0755-83999907</w:t>
      </w:r>
    </w:p>
    <w:p>
      <w:pPr>
        <w:framePr w:w="302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www.fujifund.cn</w:t>
      </w:r>
    </w:p>
    <w:p>
      <w:pPr>
        <w:framePr w:w="3020" w:wrap="around" w:vAnchor="margin" w:hAnchor="text" w:x="7482" w:y="1023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注册地址：北京市延庆县延</w:t>
      </w:r>
    </w:p>
    <w:p>
      <w:pPr>
        <w:framePr w:w="302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庆经济开发区百泉街 </w:t>
      </w:r>
      <w:r>
        <w:rPr>
          <w:rFonts w:ascii="Times New Roman"/>
          <w:color w:val="000000"/>
          <w:spacing w:val="0"/>
          <w:sz w:val="21"/>
        </w:rPr>
        <w:t>10</w:t>
      </w:r>
      <w:r>
        <w:rPr>
          <w:rFonts w:ascii="SKJVQB+å®ä½" w:hAnsi="SKJVQB+å®ä½" w:cs="SKJVQB+å®ä½"/>
          <w:color w:val="000000"/>
          <w:spacing w:val="0"/>
          <w:sz w:val="21"/>
        </w:rPr>
        <w:t xml:space="preserve">号  </w:t>
      </w:r>
      <w:r>
        <w:rPr>
          <w:rFonts w:ascii="Times New Roman"/>
          <w:color w:val="000000"/>
          <w:spacing w:val="0"/>
          <w:sz w:val="21"/>
        </w:rPr>
        <w:t xml:space="preserve"> 2</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栋 </w:t>
      </w:r>
      <w:r>
        <w:rPr>
          <w:rFonts w:ascii="Times New Roman"/>
          <w:color w:val="000000"/>
          <w:spacing w:val="0"/>
          <w:sz w:val="21"/>
        </w:rPr>
        <w:t>236</w:t>
      </w:r>
      <w:r>
        <w:rPr>
          <w:rFonts w:ascii="SKJVQB+å®ä½" w:hAnsi="SKJVQB+å®ä½" w:cs="SKJVQB+å®ä½"/>
          <w:color w:val="000000"/>
          <w:spacing w:val="0"/>
          <w:sz w:val="21"/>
        </w:rPr>
        <w:t>室</w:t>
      </w:r>
    </w:p>
    <w:p>
      <w:pPr>
        <w:framePr w:w="632" w:wrap="around" w:vAnchor="margin" w:hAnchor="text" w:x="4110" w:y="1149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103</w:t>
      </w:r>
    </w:p>
    <w:p>
      <w:pPr>
        <w:framePr w:w="2901" w:wrap="around" w:vAnchor="margin" w:hAnchor="text" w:x="4640"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北京唐鼎耀华基金销售有限</w:t>
      </w:r>
    </w:p>
    <w:p>
      <w:pPr>
        <w:framePr w:w="2901" w:wrap="around" w:vAnchor="margin" w:hAnchor="text" w:x="4640"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办公地址：北京市朝阳区建</w:t>
      </w:r>
    </w:p>
    <w:p>
      <w:pPr>
        <w:framePr w:w="3020" w:wrap="around" w:vAnchor="margin" w:hAnchor="text" w:x="7482" w:y="1243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国门外大街 </w:t>
      </w:r>
      <w:r>
        <w:rPr>
          <w:rFonts w:ascii="Times New Roman"/>
          <w:color w:val="000000"/>
          <w:spacing w:val="0"/>
          <w:sz w:val="21"/>
        </w:rPr>
        <w:t>19</w:t>
      </w:r>
      <w:r>
        <w:rPr>
          <w:rFonts w:ascii="SKJVQB+å®ä½" w:hAnsi="SKJVQB+å®ä½" w:cs="SKJVQB+å®ä½"/>
          <w:color w:val="000000"/>
          <w:spacing w:val="0"/>
          <w:sz w:val="21"/>
        </w:rPr>
        <w:t xml:space="preserve">号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 xml:space="preserve"> 1505</w:t>
      </w:r>
    </w:p>
    <w:p>
      <w:pPr>
        <w:framePr w:w="3020"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209" w:wrap="around" w:vAnchor="margin" w:hAnchor="text" w:x="7482" w:y="1337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法定代表人：张冠宇</w:t>
      </w:r>
    </w:p>
    <w:p>
      <w:pPr>
        <w:framePr w:w="2209" w:wrap="around" w:vAnchor="margin" w:hAnchor="text" w:x="7482" w:y="1337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联系人：孙书慧</w:t>
      </w:r>
    </w:p>
    <w:p>
      <w:pPr>
        <w:framePr w:w="2588" w:wrap="around" w:vAnchor="margin" w:hAnchor="text" w:x="7482" w:y="1399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010-85932884</w:t>
      </w:r>
    </w:p>
    <w:p>
      <w:pPr>
        <w:framePr w:w="2588" w:wrap="around" w:vAnchor="margin" w:hAnchor="text" w:x="7482" w:y="1399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400-819-9868</w:t>
      </w:r>
    </w:p>
    <w:p>
      <w:pPr>
        <w:framePr w:w="2588" w:wrap="around" w:vAnchor="margin" w:hAnchor="text" w:x="7482" w:y="1399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590" w:wrap="around" w:vAnchor="margin" w:hAnchor="text" w:x="7482" w:y="1492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https://www.tdyhfund.com</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61</w:t>
      </w:r>
    </w:p>
    <w:p>
      <w:pPr>
        <w:spacing w:before="0" w:after="0" w:line="0" w:lineRule="exact"/>
        <w:ind w:left="0" w:right="0"/>
        <w:jc w:val="left"/>
        <w:rPr>
          <w:rFonts w:ascii="Arial"/>
          <w:color w:val="FF0000"/>
          <w:spacing w:val="0"/>
          <w:sz w:val="2"/>
        </w:rPr>
      </w:pPr>
      <w:r>
        <w:pict>
          <v:shape id="_x0000127" o:spid="_x0000_s115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02" o:title=""/>
            <o:lock v:ext="edit" aspectratio="t"/>
          </v:shape>
        </w:pict>
      </w:r>
      <w:r>
        <w:pict>
          <v:shape id="_x0000128" o:spid="_x0000_s1154"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10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632" w:wrap="around" w:vAnchor="margin" w:hAnchor="text" w:x="4110"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104</w:t>
      </w:r>
    </w:p>
    <w:p>
      <w:pPr>
        <w:framePr w:w="2901" w:wrap="around" w:vAnchor="margin" w:hAnchor="text" w:x="4640"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上海凯石财富基金销售有限</w:t>
      </w:r>
    </w:p>
    <w:p>
      <w:pPr>
        <w:framePr w:w="2901" w:wrap="around" w:vAnchor="margin" w:hAnchor="text" w:x="4640"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注册地址：上海市黄浦区西藏</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765</w:t>
      </w:r>
      <w:r>
        <w:rPr>
          <w:rFonts w:ascii="SKJVQB+å®ä½" w:hAnsi="SKJVQB+å®ä½" w:cs="SKJVQB+å®ä½"/>
          <w:color w:val="000000"/>
          <w:spacing w:val="0"/>
          <w:sz w:val="21"/>
        </w:rPr>
        <w:t xml:space="preserve">号  </w:t>
      </w:r>
      <w:r>
        <w:rPr>
          <w:rFonts w:ascii="Times New Roman"/>
          <w:color w:val="000000"/>
          <w:spacing w:val="0"/>
          <w:sz w:val="21"/>
        </w:rPr>
        <w:t>602-115</w:t>
      </w:r>
      <w:r>
        <w:rPr>
          <w:rFonts w:ascii="SKJVQB+å®ä½" w:hAnsi="SKJVQB+å®ä½" w:cs="SKJVQB+å®ä½"/>
          <w:color w:val="000000"/>
          <w:spacing w:val="0"/>
          <w:sz w:val="21"/>
        </w:rPr>
        <w:t>室</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办公地址：上海市黄浦区延安</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w:t>
      </w:r>
      <w:r>
        <w:rPr>
          <w:rFonts w:ascii="SKJVQB+å®ä½" w:hAnsi="SKJVQB+å®ä½" w:cs="SKJVQB+å®ä½"/>
          <w:color w:val="000000"/>
          <w:spacing w:val="0"/>
          <w:sz w:val="21"/>
        </w:rPr>
        <w:t xml:space="preserve">号凯石大厦  </w:t>
      </w:r>
      <w:r>
        <w:rPr>
          <w:rFonts w:ascii="Times New Roman"/>
          <w:color w:val="000000"/>
          <w:spacing w:val="0"/>
          <w:sz w:val="21"/>
        </w:rPr>
        <w:t>4</w:t>
      </w:r>
      <w:r>
        <w:rPr>
          <w:rFonts w:ascii="SKJVQB+å®ä½" w:hAnsi="SKJVQB+å®ä½" w:cs="SKJVQB+å®ä½"/>
          <w:color w:val="000000"/>
          <w:spacing w:val="0"/>
          <w:sz w:val="21"/>
        </w:rPr>
        <w:t>楼</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法定代表人：陈继武</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联系人：高皓辉</w:t>
      </w:r>
    </w:p>
    <w:p>
      <w:pPr>
        <w:framePr w:w="2588"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021-63333389-230</w:t>
      </w:r>
    </w:p>
    <w:p>
      <w:pPr>
        <w:framePr w:w="2588"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021-63333390</w:t>
      </w:r>
    </w:p>
    <w:p>
      <w:pPr>
        <w:framePr w:w="2588"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4006-433-389</w:t>
      </w:r>
    </w:p>
    <w:p>
      <w:pPr>
        <w:framePr w:w="2588" w:wrap="around" w:vAnchor="margin" w:hAnchor="text" w:x="7482" w:y="33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459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www.vstonewealth.com</w:t>
      </w:r>
    </w:p>
    <w:p>
      <w:pPr>
        <w:framePr w:w="3020" w:wrap="around" w:vAnchor="margin" w:hAnchor="text" w:x="7482" w:y="459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注册地址：南京市建邺区江东</w:t>
      </w:r>
    </w:p>
    <w:p>
      <w:pPr>
        <w:framePr w:w="3020" w:wrap="around" w:vAnchor="margin" w:hAnchor="text" w:x="7482" w:y="45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222</w:t>
      </w:r>
      <w:r>
        <w:rPr>
          <w:rFonts w:ascii="SKJVQB+å®ä½" w:hAnsi="SKJVQB+å®ä½" w:cs="SKJVQB+å®ä½"/>
          <w:color w:val="000000"/>
          <w:spacing w:val="0"/>
          <w:sz w:val="21"/>
        </w:rPr>
        <w:t>号南京奥体中心现</w:t>
      </w:r>
    </w:p>
    <w:p>
      <w:pPr>
        <w:framePr w:w="3020" w:wrap="around" w:vAnchor="margin" w:hAnchor="text" w:x="7482" w:y="45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代五项馆 </w:t>
      </w:r>
      <w:r>
        <w:rPr>
          <w:rFonts w:ascii="Times New Roman"/>
          <w:color w:val="000000"/>
          <w:spacing w:val="0"/>
          <w:sz w:val="21"/>
        </w:rPr>
        <w:t>2105</w:t>
      </w:r>
      <w:r>
        <w:rPr>
          <w:rFonts w:ascii="SKJVQB+å®ä½" w:hAnsi="SKJVQB+å®ä½" w:cs="SKJVQB+å®ä½"/>
          <w:color w:val="000000"/>
          <w:spacing w:val="0"/>
          <w:sz w:val="21"/>
        </w:rPr>
        <w:t>室</w:t>
      </w:r>
    </w:p>
    <w:p>
      <w:pPr>
        <w:framePr w:w="632" w:wrap="around" w:vAnchor="margin" w:hAnchor="text" w:x="4110" w:y="491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105</w:t>
      </w:r>
    </w:p>
    <w:p>
      <w:pPr>
        <w:framePr w:w="2901" w:wrap="around" w:vAnchor="margin" w:hAnchor="text" w:x="4640"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大泰金石基金销售有限公司</w:t>
      </w:r>
    </w:p>
    <w:p>
      <w:pPr>
        <w:framePr w:w="3020" w:wrap="around" w:vAnchor="margin" w:hAnchor="text" w:x="7482" w:y="58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办公地址：上海市浦东新区峨</w:t>
      </w:r>
    </w:p>
    <w:p>
      <w:pPr>
        <w:framePr w:w="3020" w:wrap="around" w:vAnchor="margin" w:hAnchor="text" w:x="7482" w:y="58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山路 </w:t>
      </w:r>
      <w:r>
        <w:rPr>
          <w:rFonts w:ascii="Times New Roman"/>
          <w:color w:val="000000"/>
          <w:spacing w:val="0"/>
          <w:sz w:val="21"/>
        </w:rPr>
        <w:t>505</w:t>
      </w:r>
      <w:r>
        <w:rPr>
          <w:rFonts w:ascii="SKJVQB+å®ä½" w:hAnsi="SKJVQB+å®ä½" w:cs="SKJVQB+å®ä½"/>
          <w:color w:val="000000"/>
          <w:spacing w:val="0"/>
          <w:sz w:val="21"/>
        </w:rPr>
        <w:t xml:space="preserve">号东方纯一大厦  </w:t>
      </w:r>
      <w:r>
        <w:rPr>
          <w:rFonts w:ascii="Times New Roman"/>
          <w:color w:val="000000"/>
          <w:spacing w:val="0"/>
          <w:sz w:val="21"/>
        </w:rPr>
        <w:t xml:space="preserve"> 15</w:t>
      </w:r>
    </w:p>
    <w:p>
      <w:pPr>
        <w:framePr w:w="3020" w:wrap="around" w:vAnchor="margin" w:hAnchor="text" w:x="7482" w:y="58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209" w:wrap="around" w:vAnchor="margin" w:hAnchor="text" w:x="7482" w:y="679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法定代表人：袁顾明</w:t>
      </w:r>
    </w:p>
    <w:p>
      <w:pPr>
        <w:framePr w:w="2209" w:wrap="around" w:vAnchor="margin" w:hAnchor="text" w:x="7482" w:y="67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联系人：孟召社</w:t>
      </w:r>
    </w:p>
    <w:p>
      <w:pPr>
        <w:framePr w:w="2178" w:wrap="around" w:vAnchor="margin" w:hAnchor="text" w:x="7482" w:y="741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15621569619</w:t>
      </w:r>
    </w:p>
    <w:p>
      <w:pPr>
        <w:framePr w:w="2178" w:wrap="around" w:vAnchor="margin" w:hAnchor="text" w:x="7482" w:y="741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021-20324199</w:t>
      </w:r>
    </w:p>
    <w:p>
      <w:pPr>
        <w:framePr w:w="2178"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p>
    <w:p>
      <w:pPr>
        <w:framePr w:w="3021" w:wrap="around" w:vAnchor="margin" w:hAnchor="text" w:x="7482" w:y="835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400-928-2266/021-22267995</w:t>
      </w:r>
    </w:p>
    <w:p>
      <w:pPr>
        <w:framePr w:w="3021" w:wrap="around" w:vAnchor="margin" w:hAnchor="text" w:x="7482" w:y="8351"/>
        <w:widowControl w:val="0"/>
        <w:autoSpaceDE w:val="0"/>
        <w:autoSpaceDN w:val="0"/>
        <w:spacing w:before="0" w:after="0" w:line="31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www.dtfunds.com</w:t>
      </w:r>
    </w:p>
    <w:p>
      <w:pPr>
        <w:framePr w:w="3021" w:wrap="around" w:vAnchor="margin" w:hAnchor="text" w:x="7482" w:y="835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注册地址：北京市朝阳区太</w:t>
      </w:r>
    </w:p>
    <w:p>
      <w:pPr>
        <w:framePr w:w="3021" w:wrap="around" w:vAnchor="margin" w:hAnchor="text" w:x="7482" w:y="83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阳宫中路 </w:t>
      </w:r>
      <w:r>
        <w:rPr>
          <w:rFonts w:ascii="Times New Roman"/>
          <w:color w:val="000000"/>
          <w:spacing w:val="0"/>
          <w:sz w:val="21"/>
        </w:rPr>
        <w:t>16</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3</w:t>
      </w:r>
      <w:r>
        <w:rPr>
          <w:rFonts w:ascii="SKJVQB+å®ä½" w:hAnsi="SKJVQB+å®ä½" w:cs="SKJVQB+å®ä½"/>
          <w:color w:val="000000"/>
          <w:spacing w:val="0"/>
          <w:sz w:val="21"/>
        </w:rPr>
        <w:t>层</w:t>
      </w:r>
    </w:p>
    <w:p>
      <w:pPr>
        <w:framePr w:w="3021" w:wrap="around" w:vAnchor="margin" w:hAnchor="text" w:x="7482" w:y="8351"/>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307</w:t>
      </w:r>
    </w:p>
    <w:p>
      <w:pPr>
        <w:framePr w:w="632" w:wrap="around" w:vAnchor="margin" w:hAnchor="text" w:x="4110" w:y="898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106</w:t>
      </w:r>
    </w:p>
    <w:p>
      <w:pPr>
        <w:framePr w:w="3020" w:wrap="around" w:vAnchor="margin" w:hAnchor="text" w:x="4640"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济安财富（北京）基金销售有</w:t>
      </w:r>
    </w:p>
    <w:p>
      <w:pPr>
        <w:framePr w:w="3020" w:wrap="around" w:vAnchor="margin" w:hAnchor="text" w:x="4640" w:y="89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framePr w:w="3021" w:wrap="around" w:vAnchor="margin" w:hAnchor="text" w:x="7482" w:y="99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办公地址：北京市朝阳区太</w:t>
      </w:r>
    </w:p>
    <w:p>
      <w:pPr>
        <w:framePr w:w="3021" w:wrap="around" w:vAnchor="margin" w:hAnchor="text" w:x="7482" w:y="99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阳宫中路 </w:t>
      </w:r>
      <w:r>
        <w:rPr>
          <w:rFonts w:ascii="Times New Roman"/>
          <w:color w:val="000000"/>
          <w:spacing w:val="0"/>
          <w:sz w:val="21"/>
        </w:rPr>
        <w:t>16</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3</w:t>
      </w:r>
      <w:r>
        <w:rPr>
          <w:rFonts w:ascii="SKJVQB+å®ä½" w:hAnsi="SKJVQB+å®ä½" w:cs="SKJVQB+å®ä½"/>
          <w:color w:val="000000"/>
          <w:spacing w:val="0"/>
          <w:sz w:val="21"/>
        </w:rPr>
        <w:t>层</w:t>
      </w:r>
    </w:p>
    <w:p>
      <w:pPr>
        <w:framePr w:w="3021" w:wrap="around" w:vAnchor="margin" w:hAnchor="text" w:x="7482" w:y="992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307</w:t>
      </w:r>
    </w:p>
    <w:p>
      <w:pPr>
        <w:framePr w:w="2104" w:wrap="around" w:vAnchor="margin" w:hAnchor="text" w:x="7482" w:y="108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法定代表人：杨健</w:t>
      </w:r>
    </w:p>
    <w:p>
      <w:pPr>
        <w:framePr w:w="2104" w:wrap="around" w:vAnchor="margin" w:hAnchor="text" w:x="7482" w:y="108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联系人：李海燕</w:t>
      </w:r>
    </w:p>
    <w:p>
      <w:pPr>
        <w:framePr w:w="2588" w:wrap="around" w:vAnchor="margin" w:hAnchor="text" w:x="7482" w:y="114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010-65309516</w:t>
      </w:r>
    </w:p>
    <w:p>
      <w:pPr>
        <w:framePr w:w="2588"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010-65330699</w:t>
      </w:r>
    </w:p>
    <w:p>
      <w:pPr>
        <w:framePr w:w="2588"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400-673-7010</w:t>
      </w:r>
    </w:p>
    <w:p>
      <w:pPr>
        <w:framePr w:w="2588"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272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http://www.jianfortune.com</w:t>
      </w:r>
    </w:p>
    <w:p>
      <w:pPr>
        <w:framePr w:w="3020" w:wrap="around" w:vAnchor="margin" w:hAnchor="text" w:x="7482" w:y="12729"/>
        <w:widowControl w:val="0"/>
        <w:autoSpaceDE w:val="0"/>
        <w:autoSpaceDN w:val="0"/>
        <w:spacing w:before="0" w:after="0" w:line="326"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注册地址：北京市丰台区东管</w:t>
      </w:r>
    </w:p>
    <w:p>
      <w:pPr>
        <w:framePr w:w="3020" w:wrap="around" w:vAnchor="margin" w:hAnchor="text" w:x="7482" w:y="12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头 </w:t>
      </w:r>
      <w:r>
        <w:rPr>
          <w:rFonts w:ascii="Times New Roman"/>
          <w:color w:val="000000"/>
          <w:spacing w:val="0"/>
          <w:sz w:val="21"/>
        </w:rPr>
        <w:t>1</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2-45</w:t>
      </w:r>
      <w:r>
        <w:rPr>
          <w:rFonts w:ascii="SKJVQB+å®ä½" w:hAnsi="SKJVQB+å®ä½" w:cs="SKJVQB+å®ä½"/>
          <w:color w:val="000000"/>
          <w:spacing w:val="0"/>
          <w:sz w:val="21"/>
        </w:rPr>
        <w:t>室</w:t>
      </w:r>
    </w:p>
    <w:p>
      <w:pPr>
        <w:framePr w:w="3020" w:wrap="around" w:vAnchor="margin" w:hAnchor="text" w:x="7482" w:y="12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办公地址：北京市西城区宣</w:t>
      </w:r>
    </w:p>
    <w:p>
      <w:pPr>
        <w:framePr w:w="3020" w:wrap="around" w:vAnchor="margin" w:hAnchor="text" w:x="7482" w:y="12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武门外大街甲 </w:t>
      </w:r>
      <w:r>
        <w:rPr>
          <w:rFonts w:ascii="Times New Roman"/>
          <w:color w:val="000000"/>
          <w:spacing w:val="0"/>
          <w:sz w:val="21"/>
        </w:rPr>
        <w:t>1</w:t>
      </w:r>
      <w:r>
        <w:rPr>
          <w:rFonts w:ascii="SKJVQB+å®ä½" w:hAnsi="SKJVQB+å®ä½" w:cs="SKJVQB+å®ä½"/>
          <w:color w:val="000000"/>
          <w:spacing w:val="0"/>
          <w:sz w:val="21"/>
        </w:rPr>
        <w:t>号环球财讯</w:t>
      </w:r>
    </w:p>
    <w:p>
      <w:pPr>
        <w:framePr w:w="3020" w:wrap="around" w:vAnchor="margin" w:hAnchor="text" w:x="7482" w:y="12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中心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632" w:wrap="around" w:vAnchor="margin" w:hAnchor="text" w:x="4110" w:y="1305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107</w:t>
      </w:r>
    </w:p>
    <w:p>
      <w:pPr>
        <w:framePr w:w="3020" w:wrap="around" w:vAnchor="margin" w:hAnchor="text" w:x="4640" w:y="1306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中证金牛（北京）投资咨询有</w:t>
      </w:r>
    </w:p>
    <w:p>
      <w:pPr>
        <w:framePr w:w="3020" w:wrap="around" w:vAnchor="margin" w:hAnchor="text" w:x="4640" w:y="1306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framePr w:w="2209" w:wrap="around" w:vAnchor="margin" w:hAnchor="text" w:x="7482" w:y="1462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法定代表人：钱昊旻</w:t>
      </w:r>
    </w:p>
    <w:p>
      <w:pPr>
        <w:framePr w:w="2209" w:wrap="around" w:vAnchor="margin" w:hAnchor="text" w:x="7482" w:y="1462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联系人：沈晨</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62</w:t>
      </w:r>
    </w:p>
    <w:p>
      <w:pPr>
        <w:spacing w:before="0" w:after="0" w:line="0" w:lineRule="exact"/>
        <w:ind w:left="0" w:right="0"/>
        <w:jc w:val="left"/>
        <w:rPr>
          <w:rFonts w:ascii="Arial"/>
          <w:color w:val="FF0000"/>
          <w:spacing w:val="0"/>
          <w:sz w:val="2"/>
        </w:rPr>
      </w:pPr>
      <w:r>
        <w:pict>
          <v:shape id="_x0000129" o:spid="_x0000_s115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2" o:title=""/>
            <o:lock v:ext="edit" aspectratio="t"/>
          </v:shape>
        </w:pict>
      </w:r>
      <w:r>
        <w:pict>
          <v:shape id="_x0000130" o:spid="_x0000_s1156"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11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88"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010-59336544</w:t>
      </w:r>
    </w:p>
    <w:p>
      <w:pPr>
        <w:framePr w:w="2588"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010-59336586</w:t>
      </w:r>
    </w:p>
    <w:p>
      <w:pPr>
        <w:framePr w:w="2588"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4008-909-998</w:t>
      </w:r>
    </w:p>
    <w:p>
      <w:pPr>
        <w:framePr w:w="2588"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www.jnlc.com</w:t>
      </w:r>
    </w:p>
    <w:p>
      <w:pPr>
        <w:framePr w:w="632" w:wrap="around" w:vAnchor="margin" w:hAnchor="text" w:x="4110" w:y="273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108</w:t>
      </w:r>
    </w:p>
    <w:p>
      <w:pPr>
        <w:framePr w:w="632" w:wrap="around" w:vAnchor="margin" w:hAnchor="text" w:x="4110" w:y="2734"/>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109</w:t>
      </w:r>
    </w:p>
    <w:p>
      <w:pPr>
        <w:framePr w:w="632" w:wrap="around" w:vAnchor="margin" w:hAnchor="text" w:x="4110" w:y="2734"/>
        <w:widowControl w:val="0"/>
        <w:autoSpaceDE w:val="0"/>
        <w:autoSpaceDN w:val="0"/>
        <w:spacing w:before="0" w:after="0" w:line="3132" w:lineRule="exact"/>
        <w:ind w:left="0" w:right="0"/>
        <w:jc w:val="left"/>
        <w:rPr>
          <w:rFonts w:ascii="Times New Roman"/>
          <w:color w:val="000000"/>
          <w:spacing w:val="0"/>
          <w:sz w:val="21"/>
        </w:rPr>
      </w:pPr>
      <w:r>
        <w:rPr>
          <w:rFonts w:ascii="Times New Roman"/>
          <w:color w:val="000000"/>
          <w:spacing w:val="0"/>
          <w:sz w:val="21"/>
        </w:rPr>
        <w:t>110</w:t>
      </w:r>
    </w:p>
    <w:p>
      <w:pPr>
        <w:framePr w:w="632" w:wrap="around" w:vAnchor="margin" w:hAnchor="text" w:x="4110" w:y="2734"/>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111</w:t>
      </w:r>
    </w:p>
    <w:p>
      <w:pPr>
        <w:framePr w:w="3020" w:wrap="around" w:vAnchor="margin" w:hAnchor="text" w:x="4640"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鼎信汇金（北京）投资管理有</w:t>
      </w:r>
    </w:p>
    <w:p>
      <w:pPr>
        <w:framePr w:w="3020" w:wrap="around" w:vAnchor="margin" w:hAnchor="text" w:x="4640"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framePr w:w="3020"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注册地址：北京市海淀区太月</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园 </w:t>
      </w:r>
      <w:r>
        <w:rPr>
          <w:rFonts w:ascii="Times New Roman"/>
          <w:color w:val="000000"/>
          <w:spacing w:val="0"/>
          <w:sz w:val="21"/>
        </w:rPr>
        <w:t>3</w:t>
      </w:r>
      <w:r>
        <w:rPr>
          <w:rFonts w:ascii="SKJVQB+å®ä½" w:hAnsi="SKJVQB+å®ä½" w:cs="SKJVQB+å®ä½"/>
          <w:color w:val="000000"/>
          <w:spacing w:val="0"/>
          <w:sz w:val="21"/>
        </w:rPr>
        <w:t xml:space="preserve">号楼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521</w:t>
      </w:r>
      <w:r>
        <w:rPr>
          <w:rFonts w:ascii="SKJVQB+å®ä½" w:hAnsi="SKJVQB+å®ä½" w:cs="SKJVQB+å®ä½"/>
          <w:color w:val="000000"/>
          <w:spacing w:val="0"/>
          <w:sz w:val="21"/>
        </w:rPr>
        <w:t>室</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办公地址：北京市海淀区太月</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园 </w:t>
      </w:r>
      <w:r>
        <w:rPr>
          <w:rFonts w:ascii="Times New Roman"/>
          <w:color w:val="000000"/>
          <w:spacing w:val="0"/>
          <w:sz w:val="21"/>
        </w:rPr>
        <w:t>3</w:t>
      </w:r>
      <w:r>
        <w:rPr>
          <w:rFonts w:ascii="SKJVQB+å®ä½" w:hAnsi="SKJVQB+å®ä½" w:cs="SKJVQB+å®ä½"/>
          <w:color w:val="000000"/>
          <w:spacing w:val="0"/>
          <w:sz w:val="21"/>
        </w:rPr>
        <w:t xml:space="preserve">号楼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521</w:t>
      </w:r>
      <w:r>
        <w:rPr>
          <w:rFonts w:ascii="SKJVQB+å®ä½" w:hAnsi="SKJVQB+å®ä½" w:cs="SKJVQB+å®ä½"/>
          <w:color w:val="000000"/>
          <w:spacing w:val="0"/>
          <w:sz w:val="21"/>
        </w:rPr>
        <w:t>室</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法定代表人：齐凌峰</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联系人：阮志凌</w:t>
      </w:r>
    </w:p>
    <w:p>
      <w:pPr>
        <w:framePr w:w="3020"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010-82050520</w:t>
      </w:r>
    </w:p>
    <w:p>
      <w:pPr>
        <w:framePr w:w="3020"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010-82086110</w:t>
      </w:r>
    </w:p>
    <w:p>
      <w:pPr>
        <w:framePr w:w="3020"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400-158-5050</w:t>
      </w:r>
    </w:p>
    <w:p>
      <w:pPr>
        <w:framePr w:w="3020"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www.9ifund.com</w:t>
      </w:r>
    </w:p>
    <w:p>
      <w:pPr>
        <w:framePr w:w="3020" w:wrap="around" w:vAnchor="margin" w:hAnchor="text" w:x="7482" w:y="460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注册地址：北京市海淀区中</w:t>
      </w:r>
    </w:p>
    <w:p>
      <w:pPr>
        <w:framePr w:w="3020"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关村大街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1108</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办公地址：北京市海淀区中</w:t>
      </w:r>
    </w:p>
    <w:p>
      <w:pPr>
        <w:framePr w:w="3020"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关村大街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1108</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法定代表人：王伟刚</w:t>
      </w:r>
    </w:p>
    <w:p>
      <w:pPr>
        <w:framePr w:w="3020"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联系人：王骁骁</w:t>
      </w:r>
    </w:p>
    <w:p>
      <w:pPr>
        <w:framePr w:w="2901" w:wrap="around" w:vAnchor="margin" w:hAnchor="text" w:x="4640"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北京汇成基金销售有限公司</w:t>
      </w:r>
    </w:p>
    <w:p>
      <w:pPr>
        <w:framePr w:w="3020"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010-56282140</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010-62680827</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4006199059</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www.hcjijin.com</w:t>
      </w:r>
    </w:p>
    <w:p>
      <w:pPr>
        <w:framePr w:w="3020" w:wrap="around" w:vAnchor="margin" w:hAnchor="text" w:x="7482" w:y="773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注册地址：南京市玄武区苏</w:t>
      </w:r>
    </w:p>
    <w:p>
      <w:pPr>
        <w:framePr w:w="3020"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宁大道 </w:t>
      </w:r>
      <w:r>
        <w:rPr>
          <w:rFonts w:ascii="Times New Roman"/>
          <w:color w:val="000000"/>
          <w:spacing w:val="0"/>
          <w:sz w:val="21"/>
        </w:rPr>
        <w:t>1-5</w:t>
      </w:r>
      <w:r>
        <w:rPr>
          <w:rFonts w:ascii="SKJVQB+å®ä½" w:hAnsi="SKJVQB+å®ä½" w:cs="SKJVQB+å®ä½"/>
          <w:color w:val="000000"/>
          <w:spacing w:val="0"/>
          <w:sz w:val="21"/>
        </w:rPr>
        <w:t>号</w:t>
      </w:r>
    </w:p>
    <w:p>
      <w:pPr>
        <w:framePr w:w="2901" w:wrap="around" w:vAnchor="margin" w:hAnchor="text" w:x="4640"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南京苏宁基金销售有限公司</w:t>
      </w:r>
    </w:p>
    <w:p>
      <w:pPr>
        <w:framePr w:w="3020"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办公地址：南京市玄武区苏宁</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1-5</w:t>
      </w:r>
      <w:r>
        <w:rPr>
          <w:rFonts w:ascii="SKJVQB+å®ä½" w:hAnsi="SKJVQB+å®ä½" w:cs="SKJVQB+å®ä½"/>
          <w:color w:val="000000"/>
          <w:spacing w:val="0"/>
          <w:sz w:val="21"/>
        </w:rPr>
        <w:t>号</w:t>
      </w:r>
    </w:p>
    <w:p>
      <w:pPr>
        <w:framePr w:w="2104" w:wrap="around" w:vAnchor="margin" w:hAnchor="text" w:x="7482"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法定代表人：王锋</w:t>
      </w:r>
    </w:p>
    <w:p>
      <w:pPr>
        <w:framePr w:w="1892"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联系人：张云飞</w:t>
      </w:r>
    </w:p>
    <w:p>
      <w:pPr>
        <w:framePr w:w="2950" w:wrap="around" w:vAnchor="margin" w:hAnchor="text" w:x="7482" w:y="108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025-66996699-887226</w:t>
      </w:r>
    </w:p>
    <w:p>
      <w:pPr>
        <w:framePr w:w="2950"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025-66996699</w:t>
      </w:r>
    </w:p>
    <w:p>
      <w:pPr>
        <w:framePr w:w="2950"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95177</w:t>
      </w:r>
    </w:p>
    <w:p>
      <w:pPr>
        <w:framePr w:w="3020" w:wrap="around" w:vAnchor="margin" w:hAnchor="text" w:x="7482" w:y="1180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www.snjijin.com</w:t>
      </w:r>
    </w:p>
    <w:p>
      <w:pPr>
        <w:framePr w:w="3020" w:wrap="around" w:vAnchor="margin" w:hAnchor="text" w:x="7482" w:y="1180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注册地址：北京市西城区新</w:t>
      </w:r>
    </w:p>
    <w:p>
      <w:pPr>
        <w:framePr w:w="302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街口外大街 </w:t>
      </w:r>
      <w:r>
        <w:rPr>
          <w:rFonts w:ascii="Times New Roman"/>
          <w:color w:val="000000"/>
          <w:spacing w:val="0"/>
          <w:sz w:val="21"/>
        </w:rPr>
        <w:t>28</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座六层</w:t>
      </w:r>
    </w:p>
    <w:p>
      <w:pPr>
        <w:framePr w:w="302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605</w:t>
      </w:r>
      <w:r>
        <w:rPr>
          <w:rFonts w:ascii="SKJVQB+å®ä½" w:hAnsi="SKJVQB+å®ä½" w:cs="SKJVQB+å®ä½"/>
          <w:color w:val="000000"/>
          <w:spacing w:val="0"/>
          <w:sz w:val="21"/>
        </w:rPr>
        <w:t>室</w:t>
      </w:r>
    </w:p>
    <w:p>
      <w:pPr>
        <w:framePr w:w="2901" w:wrap="around" w:vAnchor="margin" w:hAnchor="text" w:x="4640"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北京广源达信投资管理有限</w:t>
      </w:r>
    </w:p>
    <w:p>
      <w:pPr>
        <w:framePr w:w="2901" w:wrap="around" w:vAnchor="margin" w:hAnchor="text" w:x="4640" w:y="1213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1" w:wrap="around" w:vAnchor="margin" w:hAnchor="text" w:x="7482" w:y="130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framePr w:w="3021"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东园四区浦项中心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19</w:t>
      </w:r>
      <w:r>
        <w:rPr>
          <w:rFonts w:ascii="SKJVQB+å®ä½" w:hAnsi="SKJVQB+å®ä½" w:cs="SKJVQB+å®ä½"/>
          <w:color w:val="000000"/>
          <w:spacing w:val="0"/>
          <w:sz w:val="21"/>
        </w:rPr>
        <w:t>层</w:t>
      </w:r>
    </w:p>
    <w:p>
      <w:pPr>
        <w:framePr w:w="3021"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法定代表人：齐剑辉</w:t>
      </w:r>
    </w:p>
    <w:p>
      <w:pPr>
        <w:framePr w:w="3021"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联系人：姜英华</w:t>
      </w:r>
    </w:p>
    <w:p>
      <w:pPr>
        <w:framePr w:w="2000" w:wrap="around" w:vAnchor="margin" w:hAnchor="text" w:x="7482" w:y="1431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4006236060</w:t>
      </w:r>
    </w:p>
    <w:p>
      <w:pPr>
        <w:framePr w:w="2421"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010-82055860</w:t>
      </w:r>
    </w:p>
    <w:p>
      <w:pPr>
        <w:framePr w:w="2421"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4006236060</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63</w:t>
      </w:r>
    </w:p>
    <w:p>
      <w:pPr>
        <w:spacing w:before="0" w:after="0" w:line="0" w:lineRule="exact"/>
        <w:ind w:left="0" w:right="0"/>
        <w:jc w:val="left"/>
        <w:rPr>
          <w:rFonts w:ascii="Arial"/>
          <w:color w:val="FF0000"/>
          <w:spacing w:val="0"/>
          <w:sz w:val="2"/>
        </w:rPr>
      </w:pPr>
      <w:r>
        <w:pict>
          <v:shape id="_x0000131" o:spid="_x0000_s115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4" o:title=""/>
            <o:lock v:ext="edit" aspectratio="t"/>
          </v:shape>
        </w:pict>
      </w:r>
      <w:r>
        <w:pict>
          <v:shape id="_x0000132" o:spid="_x0000_s115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1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831"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www.niuniufund.com</w:t>
      </w:r>
    </w:p>
    <w:p>
      <w:pPr>
        <w:framePr w:w="625" w:wrap="around" w:vAnchor="margin" w:hAnchor="text" w:x="4117"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112</w:t>
      </w:r>
    </w:p>
    <w:p>
      <w:pPr>
        <w:framePr w:w="2901"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上海万得基金销售有限公司</w:t>
      </w:r>
    </w:p>
    <w:p>
      <w:pPr>
        <w:framePr w:w="3023"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w:t>
      </w:r>
    </w:p>
    <w:p>
      <w:pPr>
        <w:framePr w:w="3023" w:wrap="around" w:vAnchor="margin" w:hAnchor="text" w:x="7482" w:y="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由贸易试验区福山路 </w:t>
      </w:r>
      <w:r>
        <w:rPr>
          <w:rFonts w:ascii="Times New Roman"/>
          <w:color w:val="000000"/>
          <w:spacing w:val="0"/>
          <w:sz w:val="21"/>
        </w:rPr>
        <w:t>33</w:t>
      </w:r>
      <w:r>
        <w:rPr>
          <w:rFonts w:ascii="SKJVQB+å®ä½" w:hAnsi="SKJVQB+å®ä½" w:cs="SKJVQB+å®ä½"/>
          <w:color w:val="000000"/>
          <w:spacing w:val="0"/>
          <w:sz w:val="21"/>
        </w:rPr>
        <w:t xml:space="preserve">号 </w:t>
      </w:r>
      <w:r>
        <w:rPr>
          <w:rFonts w:ascii="Times New Roman"/>
          <w:color w:val="000000"/>
          <w:spacing w:val="0"/>
          <w:sz w:val="21"/>
        </w:rPr>
        <w:t xml:space="preserve"> 11</w:t>
      </w:r>
    </w:p>
    <w:p>
      <w:pPr>
        <w:framePr w:w="3023"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B</w:t>
      </w:r>
      <w:r>
        <w:rPr>
          <w:rFonts w:ascii="SKJVQB+å®ä½" w:hAnsi="SKJVQB+å®ä½" w:cs="SKJVQB+å®ä½"/>
          <w:color w:val="000000"/>
          <w:spacing w:val="0"/>
          <w:sz w:val="21"/>
        </w:rPr>
        <w:t>座</w:t>
      </w:r>
    </w:p>
    <w:p>
      <w:pPr>
        <w:framePr w:w="3020"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w:t>
      </w:r>
    </w:p>
    <w:p>
      <w:pPr>
        <w:framePr w:w="3020" w:wrap="around" w:vAnchor="margin" w:hAnchor="text" w:x="7482" w:y="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浦明路 </w:t>
      </w:r>
      <w:r>
        <w:rPr>
          <w:rFonts w:ascii="Times New Roman"/>
          <w:color w:val="000000"/>
          <w:spacing w:val="0"/>
          <w:sz w:val="21"/>
        </w:rPr>
        <w:t>1500</w:t>
      </w:r>
      <w:r>
        <w:rPr>
          <w:rFonts w:ascii="SKJVQB+å®ä½" w:hAnsi="SKJVQB+å®ä½" w:cs="SKJVQB+å®ä½"/>
          <w:color w:val="000000"/>
          <w:spacing w:val="0"/>
          <w:sz w:val="21"/>
        </w:rPr>
        <w:t xml:space="preserve">号万得大厦  </w:t>
      </w:r>
      <w:r>
        <w:rPr>
          <w:rFonts w:ascii="Times New Roman"/>
          <w:color w:val="000000"/>
          <w:spacing w:val="0"/>
          <w:sz w:val="21"/>
        </w:rPr>
        <w:t xml:space="preserve"> 11</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209"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法定代表人：王廷富</w:t>
      </w:r>
    </w:p>
    <w:p>
      <w:pPr>
        <w:framePr w:w="2209"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联系人：徐亚丹</w:t>
      </w:r>
    </w:p>
    <w:p>
      <w:pPr>
        <w:framePr w:w="3020"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021-50712782</w:t>
      </w:r>
    </w:p>
    <w:p>
      <w:pPr>
        <w:framePr w:w="3020" w:wrap="around" w:vAnchor="margin" w:hAnchor="text" w:x="7482" w:y="4296"/>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021-50710161</w:t>
      </w:r>
    </w:p>
    <w:p>
      <w:pPr>
        <w:framePr w:w="3020" w:wrap="around" w:vAnchor="margin" w:hAnchor="text" w:x="7482" w:y="42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400-821-0203</w:t>
      </w:r>
    </w:p>
    <w:p>
      <w:pPr>
        <w:framePr w:w="3020" w:wrap="around" w:vAnchor="margin" w:hAnchor="text" w:x="7482" w:y="42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www.520fund.com.cn</w:t>
      </w:r>
    </w:p>
    <w:p>
      <w:pPr>
        <w:framePr w:w="3020" w:wrap="around" w:vAnchor="margin" w:hAnchor="text" w:x="7482" w:y="429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注册地址：北京市朝阳区阜通</w:t>
      </w:r>
    </w:p>
    <w:p>
      <w:pPr>
        <w:framePr w:w="3020"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东大街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单元</w:t>
      </w:r>
    </w:p>
    <w:p>
      <w:pPr>
        <w:framePr w:w="3020" w:wrap="around" w:vAnchor="margin" w:hAnchor="text" w:x="7482" w:y="4296"/>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21</w:t>
      </w:r>
      <w:r>
        <w:rPr>
          <w:rFonts w:ascii="SKJVQB+å®ä½" w:hAnsi="SKJVQB+å®ä½" w:cs="SKJVQB+å®ä½"/>
          <w:color w:val="000000"/>
          <w:spacing w:val="0"/>
          <w:sz w:val="21"/>
        </w:rPr>
        <w:t xml:space="preserve">层  </w:t>
      </w:r>
      <w:r>
        <w:rPr>
          <w:rFonts w:ascii="Times New Roman"/>
          <w:color w:val="000000"/>
          <w:spacing w:val="0"/>
          <w:sz w:val="21"/>
        </w:rPr>
        <w:t xml:space="preserve"> 222507</w:t>
      </w:r>
    </w:p>
    <w:p>
      <w:pPr>
        <w:framePr w:w="625" w:wrap="around" w:vAnchor="margin" w:hAnchor="text" w:x="4117" w:y="555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113</w:t>
      </w:r>
    </w:p>
    <w:p>
      <w:pPr>
        <w:framePr w:w="2901" w:wrap="around" w:vAnchor="margin" w:hAnchor="text" w:x="4640"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北京蛋卷基金销售有限公司</w:t>
      </w:r>
    </w:p>
    <w:p>
      <w:pPr>
        <w:framePr w:w="3020" w:wrap="around" w:vAnchor="margin" w:hAnchor="text" w:x="7482"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办公地址：北京市朝阳区创远</w:t>
      </w:r>
    </w:p>
    <w:p>
      <w:pPr>
        <w:framePr w:w="3020" w:wrap="around" w:vAnchor="margin" w:hAnchor="text" w:x="7482" w:y="649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34</w:t>
      </w:r>
      <w:r>
        <w:rPr>
          <w:rFonts w:ascii="SKJVQB+å®ä½" w:hAnsi="SKJVQB+å®ä½" w:cs="SKJVQB+å®ä½"/>
          <w:color w:val="000000"/>
          <w:spacing w:val="0"/>
          <w:sz w:val="21"/>
        </w:rPr>
        <w:t xml:space="preserve">号院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 xml:space="preserve">层  </w:t>
      </w:r>
      <w:r>
        <w:rPr>
          <w:rFonts w:ascii="Times New Roman"/>
          <w:color w:val="000000"/>
          <w:spacing w:val="0"/>
          <w:sz w:val="21"/>
        </w:rPr>
        <w:t xml:space="preserve"> 1501</w:t>
      </w:r>
    </w:p>
    <w:p>
      <w:pPr>
        <w:framePr w:w="3020" w:wrap="around" w:vAnchor="margin" w:hAnchor="text" w:x="7482" w:y="6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209"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法定代表人：钟斐斐</w:t>
      </w:r>
    </w:p>
    <w:p>
      <w:pPr>
        <w:framePr w:w="2209" w:wrap="around" w:vAnchor="margin" w:hAnchor="text" w:x="7482"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联系人：侯芳芳</w:t>
      </w:r>
    </w:p>
    <w:p>
      <w:pPr>
        <w:framePr w:w="2421" w:wrap="around" w:vAnchor="margin" w:hAnchor="text" w:x="7482" w:y="80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010-61840688</w:t>
      </w:r>
    </w:p>
    <w:p>
      <w:pPr>
        <w:framePr w:w="2421"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010-84997571</w:t>
      </w:r>
    </w:p>
    <w:p>
      <w:pPr>
        <w:framePr w:w="2421"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4001599288</w:t>
      </w:r>
    </w:p>
    <w:p>
      <w:pPr>
        <w:framePr w:w="2421"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92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https://www.danjuanapp.com</w:t>
      </w:r>
    </w:p>
    <w:p>
      <w:pPr>
        <w:framePr w:w="3020" w:wrap="around" w:vAnchor="margin" w:hAnchor="text" w:x="7482" w:y="9296"/>
        <w:widowControl w:val="0"/>
        <w:autoSpaceDE w:val="0"/>
        <w:autoSpaceDN w:val="0"/>
        <w:spacing w:before="0" w:after="0" w:line="326"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020" w:wrap="around" w:vAnchor="margin" w:hAnchor="text" w:x="7482" w:y="9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贸易试验区新金桥路 </w:t>
      </w:r>
      <w:r>
        <w:rPr>
          <w:rFonts w:ascii="Times New Roman"/>
          <w:color w:val="000000"/>
          <w:spacing w:val="0"/>
          <w:sz w:val="21"/>
        </w:rPr>
        <w:t>27</w:t>
      </w:r>
      <w:r>
        <w:rPr>
          <w:rFonts w:ascii="SKJVQB+å®ä½" w:hAnsi="SKJVQB+å®ä½" w:cs="SKJVQB+å®ä½"/>
          <w:color w:val="000000"/>
          <w:spacing w:val="0"/>
          <w:sz w:val="21"/>
        </w:rPr>
        <w:t>号、</w:t>
      </w:r>
    </w:p>
    <w:p>
      <w:pPr>
        <w:framePr w:w="3020" w:wrap="around" w:vAnchor="margin" w:hAnchor="text" w:x="7482" w:y="9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明月路 </w:t>
      </w:r>
      <w:r>
        <w:rPr>
          <w:rFonts w:ascii="Times New Roman"/>
          <w:color w:val="000000"/>
          <w:spacing w:val="0"/>
          <w:sz w:val="21"/>
        </w:rPr>
        <w:t>1257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framePr w:w="3020" w:wrap="around" w:vAnchor="margin" w:hAnchor="text" w:x="7482" w:y="9296"/>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Times New Roman"/>
          <w:color w:val="000000"/>
          <w:spacing w:val="0"/>
          <w:sz w:val="21"/>
        </w:rPr>
        <w:t>103-1</w:t>
      </w:r>
      <w:r>
        <w:rPr>
          <w:rFonts w:ascii="SKJVQB+å®ä½" w:hAnsi="SKJVQB+å®ä½" w:cs="SKJVQB+å®ä½"/>
          <w:color w:val="000000"/>
          <w:spacing w:val="0"/>
          <w:sz w:val="21"/>
        </w:rPr>
        <w:t>、</w:t>
      </w:r>
      <w:r>
        <w:rPr>
          <w:rFonts w:ascii="Times New Roman"/>
          <w:color w:val="000000"/>
          <w:spacing w:val="0"/>
          <w:sz w:val="21"/>
        </w:rPr>
        <w:t>103-2</w:t>
      </w:r>
      <w:r>
        <w:rPr>
          <w:rFonts w:ascii="SKJVQB+å®ä½" w:hAnsi="SKJVQB+å®ä½" w:cs="SKJVQB+å®ä½"/>
          <w:color w:val="000000"/>
          <w:spacing w:val="0"/>
          <w:sz w:val="21"/>
        </w:rPr>
        <w:t>办公区</w:t>
      </w:r>
    </w:p>
    <w:p>
      <w:pPr>
        <w:framePr w:w="3020" w:wrap="around" w:vAnchor="margin" w:hAnchor="text" w:x="7482" w:y="9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办公地址：中国（上海）自由</w:t>
      </w:r>
    </w:p>
    <w:p>
      <w:pPr>
        <w:framePr w:w="3020" w:wrap="around" w:vAnchor="margin" w:hAnchor="text" w:x="7482" w:y="9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贸易试验区新金桥路 </w:t>
      </w:r>
      <w:r>
        <w:rPr>
          <w:rFonts w:ascii="Times New Roman"/>
          <w:color w:val="000000"/>
          <w:spacing w:val="0"/>
          <w:sz w:val="21"/>
        </w:rPr>
        <w:t>27</w:t>
      </w:r>
      <w:r>
        <w:rPr>
          <w:rFonts w:ascii="SKJVQB+å®ä½" w:hAnsi="SKJVQB+å®ä½" w:cs="SKJVQB+å®ä½"/>
          <w:color w:val="000000"/>
          <w:spacing w:val="0"/>
          <w:sz w:val="21"/>
        </w:rPr>
        <w:t>号、</w:t>
      </w:r>
    </w:p>
    <w:p>
      <w:pPr>
        <w:framePr w:w="3020" w:wrap="around" w:vAnchor="margin" w:hAnchor="text" w:x="7482" w:y="9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明月路 </w:t>
      </w:r>
      <w:r>
        <w:rPr>
          <w:rFonts w:ascii="Times New Roman"/>
          <w:color w:val="000000"/>
          <w:spacing w:val="0"/>
          <w:sz w:val="21"/>
        </w:rPr>
        <w:t>1257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framePr w:w="3020" w:wrap="around" w:vAnchor="margin" w:hAnchor="text" w:x="7482" w:y="9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103-1</w:t>
      </w:r>
      <w:r>
        <w:rPr>
          <w:rFonts w:ascii="SKJVQB+å®ä½" w:hAnsi="SKJVQB+å®ä½" w:cs="SKJVQB+å®ä½"/>
          <w:color w:val="000000"/>
          <w:spacing w:val="0"/>
          <w:sz w:val="21"/>
        </w:rPr>
        <w:t>、</w:t>
      </w:r>
      <w:r>
        <w:rPr>
          <w:rFonts w:ascii="Times New Roman"/>
          <w:color w:val="000000"/>
          <w:spacing w:val="0"/>
          <w:sz w:val="21"/>
        </w:rPr>
        <w:t>103-2</w:t>
      </w:r>
      <w:r>
        <w:rPr>
          <w:rFonts w:ascii="SKJVQB+å®ä½" w:hAnsi="SKJVQB+å®ä½" w:cs="SKJVQB+å®ä½"/>
          <w:color w:val="000000"/>
          <w:spacing w:val="0"/>
          <w:sz w:val="21"/>
        </w:rPr>
        <w:t>办公区</w:t>
      </w:r>
    </w:p>
    <w:p>
      <w:pPr>
        <w:framePr w:w="3020" w:wrap="around" w:vAnchor="margin" w:hAnchor="text" w:x="7482" w:y="9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法定代表人：冯轶明</w:t>
      </w:r>
    </w:p>
    <w:p>
      <w:pPr>
        <w:framePr w:w="3020" w:wrap="around" w:vAnchor="margin" w:hAnchor="text" w:x="7482" w:y="9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联系人：王宁</w:t>
      </w:r>
    </w:p>
    <w:p>
      <w:pPr>
        <w:framePr w:w="625" w:wrap="around" w:vAnchor="margin" w:hAnchor="text" w:x="4117" w:y="962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114</w:t>
      </w:r>
    </w:p>
    <w:p>
      <w:pPr>
        <w:framePr w:w="2901" w:wrap="around" w:vAnchor="margin" w:hAnchor="text" w:x="4640"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上海云湾基金销售有限公司</w:t>
      </w:r>
    </w:p>
    <w:p>
      <w:pPr>
        <w:framePr w:w="2588" w:wrap="around" w:vAnchor="margin" w:hAnchor="text" w:x="7482" w:y="1274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021-20538888</w:t>
      </w:r>
    </w:p>
    <w:p>
      <w:pPr>
        <w:framePr w:w="2588"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021-20538999</w:t>
      </w:r>
    </w:p>
    <w:p>
      <w:pPr>
        <w:framePr w:w="2588"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400-820-1515</w:t>
      </w:r>
    </w:p>
    <w:p>
      <w:pPr>
        <w:framePr w:w="2588"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398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www.zhengtongfunds.com</w:t>
      </w:r>
    </w:p>
    <w:p>
      <w:pPr>
        <w:framePr w:w="3020" w:wrap="around" w:vAnchor="margin" w:hAnchor="text" w:x="7482" w:y="1398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注册地址：上海市徐汇区龙腾</w:t>
      </w:r>
    </w:p>
    <w:p>
      <w:pPr>
        <w:framePr w:w="3020" w:wrap="around" w:vAnchor="margin" w:hAnchor="text" w:x="7482" w:y="1398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2815</w:t>
      </w:r>
      <w:r>
        <w:rPr>
          <w:rFonts w:ascii="SKJVQB+å®ä½" w:hAnsi="SKJVQB+å®ä½" w:cs="SKJVQB+å®ä½"/>
          <w:color w:val="000000"/>
          <w:spacing w:val="0"/>
          <w:sz w:val="21"/>
        </w:rPr>
        <w:t xml:space="preserve">号  </w:t>
      </w:r>
      <w:r>
        <w:rPr>
          <w:rFonts w:ascii="Times New Roman"/>
          <w:color w:val="000000"/>
          <w:spacing w:val="0"/>
          <w:sz w:val="21"/>
        </w:rPr>
        <w:t>302</w:t>
      </w:r>
      <w:r>
        <w:rPr>
          <w:rFonts w:ascii="SKJVQB+å®ä½" w:hAnsi="SKJVQB+å®ä½" w:cs="SKJVQB+å®ä½"/>
          <w:color w:val="000000"/>
          <w:spacing w:val="0"/>
          <w:sz w:val="21"/>
        </w:rPr>
        <w:t>室</w:t>
      </w:r>
    </w:p>
    <w:p>
      <w:pPr>
        <w:framePr w:w="625" w:wrap="around" w:vAnchor="margin" w:hAnchor="text" w:x="4117" w:y="1431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115</w:t>
      </w:r>
    </w:p>
    <w:p>
      <w:pPr>
        <w:framePr w:w="2901" w:wrap="around" w:vAnchor="margin" w:hAnchor="text" w:x="4640"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上海中正达广基金销售有限</w:t>
      </w:r>
    </w:p>
    <w:p>
      <w:pPr>
        <w:framePr w:w="2901" w:wrap="around" w:vAnchor="margin" w:hAnchor="text" w:x="4640"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办公地址：上海市徐汇区龙腾</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64</w:t>
      </w:r>
    </w:p>
    <w:p>
      <w:pPr>
        <w:spacing w:before="0" w:after="0" w:line="0" w:lineRule="exact"/>
        <w:ind w:left="0" w:right="0"/>
        <w:jc w:val="left"/>
        <w:rPr>
          <w:rFonts w:ascii="Arial"/>
          <w:color w:val="FF0000"/>
          <w:spacing w:val="0"/>
          <w:sz w:val="2"/>
        </w:rPr>
      </w:pPr>
      <w:r>
        <w:pict>
          <v:shape id="_x0000133" o:spid="_x0000_s115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47" o:title=""/>
            <o:lock v:ext="edit" aspectratio="t"/>
          </v:shape>
        </w:pict>
      </w:r>
      <w:r>
        <w:pict>
          <v:shape id="_x0000134" o:spid="_x0000_s116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1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104"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2815</w:t>
      </w:r>
      <w:r>
        <w:rPr>
          <w:rFonts w:ascii="SKJVQB+å®ä½" w:hAnsi="SKJVQB+å®ä½" w:cs="SKJVQB+å®ä½"/>
          <w:color w:val="000000"/>
          <w:spacing w:val="0"/>
          <w:sz w:val="21"/>
        </w:rPr>
        <w:t xml:space="preserve">号  </w:t>
      </w:r>
      <w:r>
        <w:rPr>
          <w:rFonts w:ascii="Times New Roman"/>
          <w:color w:val="000000"/>
          <w:spacing w:val="0"/>
          <w:sz w:val="21"/>
        </w:rPr>
        <w:t>302</w:t>
      </w:r>
      <w:r>
        <w:rPr>
          <w:rFonts w:ascii="SKJVQB+å®ä½" w:hAnsi="SKJVQB+å®ä½" w:cs="SKJVQB+å®ä½"/>
          <w:color w:val="000000"/>
          <w:spacing w:val="0"/>
          <w:sz w:val="21"/>
        </w:rPr>
        <w:t>室</w:t>
      </w:r>
    </w:p>
    <w:p>
      <w:pPr>
        <w:framePr w:w="2104"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法定代表人：黄欣</w:t>
      </w:r>
    </w:p>
    <w:p>
      <w:pPr>
        <w:framePr w:w="2104"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联系人：戴珉微</w:t>
      </w:r>
    </w:p>
    <w:p>
      <w:pPr>
        <w:framePr w:w="2588" w:wrap="around" w:vAnchor="margin" w:hAnchor="text" w:x="7482" w:y="241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021-33768132</w:t>
      </w:r>
    </w:p>
    <w:p>
      <w:pPr>
        <w:framePr w:w="2588"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021-33768132-802</w:t>
      </w:r>
    </w:p>
    <w:p>
      <w:pPr>
        <w:framePr w:w="2588"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400-6767-523</w:t>
      </w:r>
    </w:p>
    <w:p>
      <w:pPr>
        <w:framePr w:w="2588" w:wrap="around" w:vAnchor="margin" w:hAnchor="text" w:x="7482" w:y="24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657" w:wrap="around" w:vAnchor="margin" w:hAnchor="text" w:x="7482" w:y="366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www.zhongzhengfund.com</w:t>
      </w:r>
    </w:p>
    <w:p>
      <w:pPr>
        <w:framePr w:w="625" w:wrap="around" w:vAnchor="margin" w:hAnchor="text" w:x="4117" w:y="398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116</w:t>
      </w:r>
    </w:p>
    <w:p>
      <w:pPr>
        <w:framePr w:w="2901" w:wrap="around" w:vAnchor="margin" w:hAnchor="text" w:x="4640"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南京途牛基金销售有限公司</w:t>
      </w:r>
    </w:p>
    <w:p>
      <w:pPr>
        <w:framePr w:w="3020"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注册地址：南京市玄武区玄武</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699-1</w:t>
      </w:r>
      <w:r>
        <w:rPr>
          <w:rFonts w:ascii="SKJVQB+å®ä½" w:hAnsi="SKJVQB+å®ä½" w:cs="SKJVQB+å®ä½"/>
          <w:color w:val="000000"/>
          <w:spacing w:val="0"/>
          <w:sz w:val="21"/>
        </w:rPr>
        <w:t>号</w:t>
      </w:r>
    </w:p>
    <w:p>
      <w:pPr>
        <w:framePr w:w="3020"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办公地址：南京市玄武区玄</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武大道 </w:t>
      </w:r>
      <w:r>
        <w:rPr>
          <w:rFonts w:ascii="Times New Roman"/>
          <w:color w:val="000000"/>
          <w:spacing w:val="0"/>
          <w:sz w:val="21"/>
        </w:rPr>
        <w:t>699-1</w:t>
      </w:r>
      <w:r>
        <w:rPr>
          <w:rFonts w:ascii="SKJVQB+å®ä½" w:hAnsi="SKJVQB+å®ä½" w:cs="SKJVQB+å®ä½"/>
          <w:color w:val="000000"/>
          <w:spacing w:val="0"/>
          <w:sz w:val="21"/>
        </w:rPr>
        <w:t>号</w:t>
      </w:r>
    </w:p>
    <w:p>
      <w:pPr>
        <w:framePr w:w="2312"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法定代表人：宋时琳</w:t>
      </w:r>
    </w:p>
    <w:p>
      <w:pPr>
        <w:framePr w:w="2312" w:wrap="around" w:vAnchor="margin" w:hAnchor="text" w:x="7482"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联系人：贺杰</w:t>
      </w:r>
    </w:p>
    <w:p>
      <w:pPr>
        <w:framePr w:w="2831" w:wrap="around" w:vAnchor="margin" w:hAnchor="text" w:x="7482" w:y="585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025-86853969-66727</w:t>
      </w:r>
    </w:p>
    <w:p>
      <w:pPr>
        <w:framePr w:w="2831"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4007-999-999</w:t>
      </w:r>
    </w:p>
    <w:p>
      <w:pPr>
        <w:framePr w:w="2831"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http://jr.tuniu.com</w:t>
      </w:r>
    </w:p>
    <w:p>
      <w:pPr>
        <w:framePr w:w="625" w:wrap="around" w:vAnchor="margin" w:hAnchor="text" w:x="4117" w:y="711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117</w:t>
      </w:r>
    </w:p>
    <w:p>
      <w:pPr>
        <w:framePr w:w="2901" w:wrap="around" w:vAnchor="margin" w:hAnchor="text" w:x="4640"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上海基煜基金销售有限公司</w:t>
      </w:r>
    </w:p>
    <w:p>
      <w:pPr>
        <w:framePr w:w="3021"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注册地址：上海市崇明县长</w:t>
      </w:r>
    </w:p>
    <w:p>
      <w:pPr>
        <w:framePr w:w="3021"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兴镇路潘园公路 </w:t>
      </w:r>
      <w:r>
        <w:rPr>
          <w:rFonts w:ascii="Times New Roman"/>
          <w:color w:val="000000"/>
          <w:spacing w:val="0"/>
          <w:sz w:val="21"/>
        </w:rPr>
        <w:t>1800</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号</w:t>
      </w:r>
    </w:p>
    <w:p>
      <w:pPr>
        <w:framePr w:w="3021"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6153</w:t>
      </w:r>
      <w:r>
        <w:rPr>
          <w:rFonts w:ascii="SKJVQB+å®ä½" w:hAnsi="SKJVQB+å®ä½" w:cs="SKJVQB+å®ä½"/>
          <w:color w:val="000000"/>
          <w:spacing w:val="0"/>
          <w:sz w:val="21"/>
        </w:rPr>
        <w:t>室（上海泰和经济发</w:t>
      </w:r>
    </w:p>
    <w:p>
      <w:pPr>
        <w:framePr w:w="3021"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展区）</w:t>
      </w:r>
    </w:p>
    <w:p>
      <w:pPr>
        <w:framePr w:w="3020"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办公地址：上海市昆明路 </w:t>
      </w:r>
      <w:r>
        <w:rPr>
          <w:rFonts w:ascii="Times New Roman"/>
          <w:color w:val="000000"/>
          <w:spacing w:val="0"/>
          <w:sz w:val="21"/>
        </w:rPr>
        <w:t xml:space="preserve"> 518</w:t>
      </w:r>
    </w:p>
    <w:p>
      <w:pPr>
        <w:framePr w:w="3020"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号北美广场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1002-1003</w:t>
      </w:r>
    </w:p>
    <w:p>
      <w:pPr>
        <w:framePr w:w="3020"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104" w:wrap="around" w:vAnchor="margin" w:hAnchor="text" w:x="7482" w:y="93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法定代表人：王翔</w:t>
      </w:r>
    </w:p>
    <w:p>
      <w:pPr>
        <w:framePr w:w="1684" w:wrap="around" w:vAnchor="margin" w:hAnchor="text" w:x="7482" w:y="96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联系人：蓝杰</w:t>
      </w:r>
    </w:p>
    <w:p>
      <w:pPr>
        <w:framePr w:w="3021" w:wrap="around" w:vAnchor="margin" w:hAnchor="text" w:x="7482" w:y="992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021-35385521</w:t>
      </w:r>
    </w:p>
    <w:p>
      <w:pPr>
        <w:framePr w:w="3021" w:wrap="around" w:vAnchor="margin" w:hAnchor="text" w:x="7482" w:y="992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021-55085991</w:t>
      </w:r>
    </w:p>
    <w:p>
      <w:pPr>
        <w:framePr w:w="3021" w:wrap="around" w:vAnchor="margin" w:hAnchor="text" w:x="7482" w:y="9923"/>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400-820-5369</w:t>
      </w:r>
    </w:p>
    <w:p>
      <w:pPr>
        <w:framePr w:w="3021" w:wrap="around" w:vAnchor="margin" w:hAnchor="text" w:x="7482" w:y="992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www.jiyufund.com.cn</w:t>
      </w:r>
    </w:p>
    <w:p>
      <w:pPr>
        <w:framePr w:w="3021" w:wrap="around" w:vAnchor="margin" w:hAnchor="text" w:x="7482" w:y="992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注册地址：深圳市南山区粤海</w:t>
      </w:r>
    </w:p>
    <w:p>
      <w:pPr>
        <w:framePr w:w="3021" w:wrap="around" w:vAnchor="margin" w:hAnchor="text" w:x="7482" w:y="992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街道科技园中区科苑路 </w:t>
      </w:r>
      <w:r>
        <w:rPr>
          <w:rFonts w:ascii="Times New Roman"/>
          <w:color w:val="000000"/>
          <w:spacing w:val="0"/>
          <w:sz w:val="21"/>
        </w:rPr>
        <w:t>15</w:t>
      </w:r>
      <w:r>
        <w:rPr>
          <w:rFonts w:ascii="SKJVQB+å®ä½" w:hAnsi="SKJVQB+å®ä½" w:cs="SKJVQB+å®ä½"/>
          <w:color w:val="000000"/>
          <w:spacing w:val="0"/>
          <w:sz w:val="21"/>
        </w:rPr>
        <w:t>号</w:t>
      </w:r>
    </w:p>
    <w:p>
      <w:pPr>
        <w:framePr w:w="3021" w:wrap="around" w:vAnchor="margin" w:hAnchor="text" w:x="7482" w:y="992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科兴科学园 </w:t>
      </w:r>
      <w:r>
        <w:rPr>
          <w:rFonts w:ascii="Times New Roman"/>
          <w:color w:val="000000"/>
          <w:spacing w:val="0"/>
          <w:sz w:val="21"/>
        </w:rPr>
        <w:t>B</w:t>
      </w:r>
      <w:r>
        <w:rPr>
          <w:rFonts w:ascii="SKJVQB+å®ä½" w:hAnsi="SKJVQB+å®ä½" w:cs="SKJVQB+å®ä½"/>
          <w:color w:val="000000"/>
          <w:spacing w:val="0"/>
          <w:sz w:val="21"/>
        </w:rPr>
        <w:t xml:space="preserve">栋  </w:t>
      </w:r>
      <w:r>
        <w:rPr>
          <w:rFonts w:ascii="Times New Roman"/>
          <w:color w:val="000000"/>
          <w:spacing w:val="0"/>
          <w:sz w:val="21"/>
        </w:rPr>
        <w:t>3</w:t>
      </w:r>
      <w:r>
        <w:rPr>
          <w:rFonts w:ascii="SKJVQB+å®ä½" w:hAnsi="SKJVQB+å®ä½" w:cs="SKJVQB+å®ä½"/>
          <w:color w:val="000000"/>
          <w:spacing w:val="0"/>
          <w:sz w:val="21"/>
        </w:rPr>
        <w:t xml:space="preserve">单元  </w:t>
      </w:r>
      <w:r>
        <w:rPr>
          <w:rFonts w:ascii="Times New Roman"/>
          <w:color w:val="000000"/>
          <w:spacing w:val="0"/>
          <w:sz w:val="21"/>
        </w:rPr>
        <w:t>11</w:t>
      </w:r>
      <w:r>
        <w:rPr>
          <w:rFonts w:ascii="SKJVQB+å®ä½" w:hAnsi="SKJVQB+å®ä½" w:cs="SKJVQB+å®ä½"/>
          <w:color w:val="000000"/>
          <w:spacing w:val="0"/>
          <w:sz w:val="21"/>
        </w:rPr>
        <w:t>层</w:t>
      </w:r>
    </w:p>
    <w:p>
      <w:pPr>
        <w:framePr w:w="3021" w:wrap="around" w:vAnchor="margin" w:hAnchor="text" w:x="7482" w:y="9923"/>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1108</w:t>
      </w:r>
    </w:p>
    <w:p>
      <w:pPr>
        <w:framePr w:w="625" w:wrap="around" w:vAnchor="margin" w:hAnchor="text" w:x="4117" w:y="1118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118</w:t>
      </w:r>
    </w:p>
    <w:p>
      <w:pPr>
        <w:framePr w:w="2901" w:wrap="around" w:vAnchor="margin" w:hAnchor="text" w:x="4640"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深圳市金斧子基金销售有限</w:t>
      </w:r>
    </w:p>
    <w:p>
      <w:pPr>
        <w:framePr w:w="2901" w:wrap="around" w:vAnchor="margin" w:hAnchor="text" w:x="4640"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1"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办公地址：深圳市南山区粤海</w:t>
      </w:r>
    </w:p>
    <w:p>
      <w:pPr>
        <w:framePr w:w="3021"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街道科技园中区科苑路 </w:t>
      </w:r>
      <w:r>
        <w:rPr>
          <w:rFonts w:ascii="Times New Roman"/>
          <w:color w:val="000000"/>
          <w:spacing w:val="0"/>
          <w:sz w:val="21"/>
        </w:rPr>
        <w:t>15</w:t>
      </w:r>
      <w:r>
        <w:rPr>
          <w:rFonts w:ascii="SKJVQB+å®ä½" w:hAnsi="SKJVQB+å®ä½" w:cs="SKJVQB+å®ä½"/>
          <w:color w:val="000000"/>
          <w:spacing w:val="0"/>
          <w:sz w:val="21"/>
        </w:rPr>
        <w:t>号</w:t>
      </w:r>
    </w:p>
    <w:p>
      <w:pPr>
        <w:framePr w:w="3021"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科兴科学园 </w:t>
      </w:r>
      <w:r>
        <w:rPr>
          <w:rFonts w:ascii="Times New Roman"/>
          <w:color w:val="000000"/>
          <w:spacing w:val="0"/>
          <w:sz w:val="21"/>
        </w:rPr>
        <w:t>B</w:t>
      </w:r>
      <w:r>
        <w:rPr>
          <w:rFonts w:ascii="SKJVQB+å®ä½" w:hAnsi="SKJVQB+å®ä½" w:cs="SKJVQB+å®ä½"/>
          <w:color w:val="000000"/>
          <w:spacing w:val="0"/>
          <w:sz w:val="21"/>
        </w:rPr>
        <w:t xml:space="preserve">栋  </w:t>
      </w:r>
      <w:r>
        <w:rPr>
          <w:rFonts w:ascii="Times New Roman"/>
          <w:color w:val="000000"/>
          <w:spacing w:val="0"/>
          <w:sz w:val="21"/>
        </w:rPr>
        <w:t>3</w:t>
      </w:r>
      <w:r>
        <w:rPr>
          <w:rFonts w:ascii="SKJVQB+å®ä½" w:hAnsi="SKJVQB+å®ä½" w:cs="SKJVQB+å®ä½"/>
          <w:color w:val="000000"/>
          <w:spacing w:val="0"/>
          <w:sz w:val="21"/>
        </w:rPr>
        <w:t xml:space="preserve">单元  </w:t>
      </w:r>
      <w:r>
        <w:rPr>
          <w:rFonts w:ascii="Times New Roman"/>
          <w:color w:val="000000"/>
          <w:spacing w:val="0"/>
          <w:sz w:val="21"/>
        </w:rPr>
        <w:t>11</w:t>
      </w:r>
      <w:r>
        <w:rPr>
          <w:rFonts w:ascii="SKJVQB+å®ä½" w:hAnsi="SKJVQB+å®ä½" w:cs="SKJVQB+å®ä½"/>
          <w:color w:val="000000"/>
          <w:spacing w:val="0"/>
          <w:sz w:val="21"/>
        </w:rPr>
        <w:t>层</w:t>
      </w:r>
    </w:p>
    <w:p>
      <w:pPr>
        <w:framePr w:w="3021" w:wrap="around" w:vAnchor="margin" w:hAnchor="text" w:x="7482" w:y="12438"/>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1108</w:t>
      </w:r>
    </w:p>
    <w:p>
      <w:pPr>
        <w:framePr w:w="2209" w:wrap="around" w:vAnchor="margin" w:hAnchor="text" w:x="7482" w:y="1368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法定代表人：赖任军</w:t>
      </w:r>
    </w:p>
    <w:p>
      <w:pPr>
        <w:framePr w:w="2209" w:wrap="around" w:vAnchor="margin" w:hAnchor="text" w:x="7482" w:y="136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联系人：刘昕霞</w:t>
      </w:r>
    </w:p>
    <w:p>
      <w:pPr>
        <w:framePr w:w="2588" w:wrap="around" w:vAnchor="margin" w:hAnchor="text" w:x="7482" w:y="1430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0755-29330513</w:t>
      </w:r>
    </w:p>
    <w:p>
      <w:pPr>
        <w:framePr w:w="2588" w:wrap="around" w:vAnchor="margin" w:hAnchor="text" w:x="7482" w:y="1430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0755-26920530</w:t>
      </w:r>
    </w:p>
    <w:p>
      <w:pPr>
        <w:framePr w:w="2588" w:wrap="around" w:vAnchor="margin" w:hAnchor="text" w:x="7482" w:y="1430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400-9302-888</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65</w:t>
      </w:r>
    </w:p>
    <w:p>
      <w:pPr>
        <w:spacing w:before="0" w:after="0" w:line="0" w:lineRule="exact"/>
        <w:ind w:left="0" w:right="0"/>
        <w:jc w:val="left"/>
        <w:rPr>
          <w:rFonts w:ascii="Arial"/>
          <w:color w:val="FF0000"/>
          <w:spacing w:val="0"/>
          <w:sz w:val="2"/>
        </w:rPr>
      </w:pPr>
      <w:r>
        <w:pict>
          <v:shape id="_x0000135" o:spid="_x0000_s116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7" o:title=""/>
            <o:lock v:ext="edit" aspectratio="t"/>
          </v:shape>
        </w:pict>
      </w:r>
      <w:r>
        <w:pict>
          <v:shape id="_x0000136" o:spid="_x0000_s1162"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11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331"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www.jfzinv.com</w:t>
      </w:r>
    </w:p>
    <w:p>
      <w:pPr>
        <w:framePr w:w="625" w:wrap="around" w:vAnchor="margin" w:hAnchor="text" w:x="4117"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119</w:t>
      </w:r>
    </w:p>
    <w:p>
      <w:pPr>
        <w:framePr w:w="2901"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北京肯特瑞基金销售有限公</w:t>
      </w:r>
    </w:p>
    <w:p>
      <w:pPr>
        <w:framePr w:w="2901" w:wrap="around" w:vAnchor="margin" w:hAnchor="text" w:x="4640"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0"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注册地址：北京市海淀区中关</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村东路 </w:t>
      </w:r>
      <w:r>
        <w:rPr>
          <w:rFonts w:ascii="Times New Roman"/>
          <w:color w:val="000000"/>
          <w:spacing w:val="0"/>
          <w:sz w:val="21"/>
        </w:rPr>
        <w:t>66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22</w:t>
      </w:r>
      <w:r>
        <w:rPr>
          <w:rFonts w:ascii="SKJVQB+å®ä½" w:hAnsi="SKJVQB+å®ä½" w:cs="SKJVQB+å®ä½"/>
          <w:color w:val="000000"/>
          <w:spacing w:val="0"/>
          <w:sz w:val="21"/>
        </w:rPr>
        <w:t>层</w:t>
      </w:r>
    </w:p>
    <w:p>
      <w:pPr>
        <w:framePr w:w="3020" w:wrap="around" w:vAnchor="margin" w:hAnchor="text" w:x="7482" w:y="1807"/>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2603-06</w:t>
      </w:r>
    </w:p>
    <w:p>
      <w:pPr>
        <w:framePr w:w="3021"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办公地址：北京市大兴区亦庄</w:t>
      </w:r>
    </w:p>
    <w:p>
      <w:pPr>
        <w:framePr w:w="3021"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经济开发区科创十一街 </w:t>
      </w:r>
      <w:r>
        <w:rPr>
          <w:rFonts w:ascii="Times New Roman"/>
          <w:color w:val="000000"/>
          <w:spacing w:val="0"/>
          <w:sz w:val="21"/>
        </w:rPr>
        <w:t>18</w:t>
      </w:r>
      <w:r>
        <w:rPr>
          <w:rFonts w:ascii="SKJVQB+å®ä½" w:hAnsi="SKJVQB+å®ä½" w:cs="SKJVQB+å®ä½"/>
          <w:color w:val="000000"/>
          <w:spacing w:val="0"/>
          <w:sz w:val="21"/>
        </w:rPr>
        <w:t>号</w:t>
      </w:r>
    </w:p>
    <w:p>
      <w:pPr>
        <w:framePr w:w="3021"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院京东总部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层</w:t>
      </w:r>
    </w:p>
    <w:p>
      <w:pPr>
        <w:framePr w:w="3021"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法定代表人：江卉</w:t>
      </w:r>
    </w:p>
    <w:p>
      <w:pPr>
        <w:framePr w:w="1684"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联系人：娄云</w:t>
      </w:r>
    </w:p>
    <w:p>
      <w:pPr>
        <w:framePr w:w="2178"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010-89188356</w:t>
      </w:r>
    </w:p>
    <w:p>
      <w:pPr>
        <w:framePr w:w="2178"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010-89189566</w:t>
      </w:r>
    </w:p>
    <w:p>
      <w:pPr>
        <w:framePr w:w="1887"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95118</w:t>
      </w:r>
    </w:p>
    <w:p>
      <w:pPr>
        <w:framePr w:w="1697" w:wrap="around" w:vAnchor="margin" w:hAnchor="text" w:x="7482" w:y="523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jr.jd.com</w:t>
      </w:r>
    </w:p>
    <w:p>
      <w:pPr>
        <w:framePr w:w="632" w:wrap="around" w:vAnchor="margin" w:hAnchor="text" w:x="4110" w:y="555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120</w:t>
      </w:r>
    </w:p>
    <w:p>
      <w:pPr>
        <w:framePr w:w="2901" w:wrap="around" w:vAnchor="margin" w:hAnchor="text" w:x="4640"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上海华夏财富投资管理有限</w:t>
      </w:r>
    </w:p>
    <w:p>
      <w:pPr>
        <w:framePr w:w="2901" w:wrap="around" w:vAnchor="margin" w:hAnchor="text" w:x="4640"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1" w:wrap="around" w:vAnchor="margin" w:hAnchor="text" w:x="7482"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注册地址：上海市虹口区东大</w:t>
      </w:r>
    </w:p>
    <w:p>
      <w:pPr>
        <w:framePr w:w="3021"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名路 </w:t>
      </w:r>
      <w:r>
        <w:rPr>
          <w:rFonts w:ascii="Times New Roman"/>
          <w:color w:val="000000"/>
          <w:spacing w:val="0"/>
          <w:sz w:val="21"/>
        </w:rPr>
        <w:t>687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2</w:t>
      </w:r>
      <w:r>
        <w:rPr>
          <w:rFonts w:ascii="SKJVQB+å®ä½" w:hAnsi="SKJVQB+å®ä½" w:cs="SKJVQB+å®ä½"/>
          <w:color w:val="000000"/>
          <w:spacing w:val="0"/>
          <w:sz w:val="21"/>
        </w:rPr>
        <w:t xml:space="preserve">楼  </w:t>
      </w:r>
      <w:r>
        <w:rPr>
          <w:rFonts w:ascii="Times New Roman"/>
          <w:color w:val="000000"/>
          <w:spacing w:val="0"/>
          <w:sz w:val="21"/>
        </w:rPr>
        <w:t>268</w:t>
      </w:r>
      <w:r>
        <w:rPr>
          <w:rFonts w:ascii="SKJVQB+å®ä½" w:hAnsi="SKJVQB+å®ä½" w:cs="SKJVQB+å®ä½"/>
          <w:color w:val="000000"/>
          <w:spacing w:val="0"/>
          <w:sz w:val="21"/>
        </w:rPr>
        <w:t>室</w:t>
      </w:r>
    </w:p>
    <w:p>
      <w:pPr>
        <w:framePr w:w="3021"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1"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33</w:t>
      </w:r>
      <w:r>
        <w:rPr>
          <w:rFonts w:ascii="SKJVQB+å®ä½" w:hAnsi="SKJVQB+å®ä½" w:cs="SKJVQB+å®ä½"/>
          <w:color w:val="000000"/>
          <w:spacing w:val="0"/>
          <w:sz w:val="21"/>
        </w:rPr>
        <w:t xml:space="preserve">号通泰大厦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8</w:t>
      </w:r>
      <w:r>
        <w:rPr>
          <w:rFonts w:ascii="SKJVQB+å®ä½" w:hAnsi="SKJVQB+å®ä½" w:cs="SKJVQB+å®ä½"/>
          <w:color w:val="000000"/>
          <w:spacing w:val="0"/>
          <w:sz w:val="21"/>
        </w:rPr>
        <w:t>层</w:t>
      </w:r>
    </w:p>
    <w:p>
      <w:pPr>
        <w:framePr w:w="3021"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法定代表人：毛淮平</w:t>
      </w:r>
    </w:p>
    <w:p>
      <w:pPr>
        <w:framePr w:w="1789"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联系人：仲秋玥</w:t>
      </w:r>
    </w:p>
    <w:p>
      <w:pPr>
        <w:framePr w:w="2178"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010-88066632</w:t>
      </w:r>
    </w:p>
    <w:p>
      <w:pPr>
        <w:framePr w:w="2178"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010-88066552</w:t>
      </w:r>
    </w:p>
    <w:p>
      <w:pPr>
        <w:framePr w:w="3020" w:wrap="around" w:vAnchor="margin" w:hAnchor="text" w:x="7482" w:y="80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400-817-5666</w:t>
      </w:r>
    </w:p>
    <w:p>
      <w:pPr>
        <w:framePr w:w="3020"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www.amcfortune.com</w:t>
      </w:r>
    </w:p>
    <w:p>
      <w:pPr>
        <w:framePr w:w="3020" w:wrap="around" w:vAnchor="margin" w:hAnchor="text" w:x="7482" w:y="805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注册地址：贵州省贵阳市南</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明区新华路 </w:t>
      </w:r>
      <w:r>
        <w:rPr>
          <w:rFonts w:ascii="Times New Roman"/>
          <w:color w:val="000000"/>
          <w:spacing w:val="0"/>
          <w:sz w:val="21"/>
        </w:rPr>
        <w:t>110-134</w:t>
      </w:r>
      <w:r>
        <w:rPr>
          <w:rFonts w:ascii="SKJVQB+å®ä½" w:hAnsi="SKJVQB+å®ä½" w:cs="SKJVQB+å®ä½"/>
          <w:color w:val="000000"/>
          <w:spacing w:val="0"/>
          <w:sz w:val="21"/>
        </w:rPr>
        <w:t>号富中</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国际广场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w:t>
      </w:r>
      <w:r>
        <w:rPr>
          <w:rFonts w:ascii="SKJVQB+å®ä½" w:hAnsi="SKJVQB+å®ä½" w:cs="SKJVQB+å®ä½"/>
          <w:color w:val="000000"/>
          <w:spacing w:val="0"/>
          <w:sz w:val="21"/>
        </w:rPr>
        <w:t xml:space="preserve">层  </w:t>
      </w:r>
      <w:r>
        <w:rPr>
          <w:rFonts w:ascii="Times New Roman"/>
          <w:color w:val="000000"/>
          <w:spacing w:val="0"/>
          <w:sz w:val="21"/>
        </w:rPr>
        <w:t>1.2</w:t>
      </w:r>
      <w:r>
        <w:rPr>
          <w:rFonts w:ascii="SKJVQB+å®ä½" w:hAnsi="SKJVQB+å®ä½" w:cs="SKJVQB+å®ä½"/>
          <w:color w:val="000000"/>
          <w:spacing w:val="0"/>
          <w:sz w:val="21"/>
        </w:rPr>
        <w:t>号</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办公地址：贵州省贵阳市南明</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区新华路 </w:t>
      </w:r>
      <w:r>
        <w:rPr>
          <w:rFonts w:ascii="Times New Roman"/>
          <w:color w:val="000000"/>
          <w:spacing w:val="0"/>
          <w:sz w:val="21"/>
        </w:rPr>
        <w:t>110-134</w:t>
      </w:r>
      <w:r>
        <w:rPr>
          <w:rFonts w:ascii="SKJVQB+å®ä½" w:hAnsi="SKJVQB+å®ä½" w:cs="SKJVQB+å®ä½"/>
          <w:color w:val="000000"/>
          <w:spacing w:val="0"/>
          <w:sz w:val="21"/>
        </w:rPr>
        <w:t>号富中国</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际广场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w:t>
      </w:r>
      <w:r>
        <w:rPr>
          <w:rFonts w:ascii="SKJVQB+å®ä½" w:hAnsi="SKJVQB+å®ä½" w:cs="SKJVQB+å®ä½"/>
          <w:color w:val="000000"/>
          <w:spacing w:val="0"/>
          <w:sz w:val="21"/>
        </w:rPr>
        <w:t xml:space="preserve">层  </w:t>
      </w:r>
      <w:r>
        <w:rPr>
          <w:rFonts w:ascii="Times New Roman"/>
          <w:color w:val="000000"/>
          <w:spacing w:val="0"/>
          <w:sz w:val="21"/>
        </w:rPr>
        <w:t>1.2</w:t>
      </w:r>
      <w:r>
        <w:rPr>
          <w:rFonts w:ascii="SKJVQB+å®ä½" w:hAnsi="SKJVQB+å®ä½" w:cs="SKJVQB+å®ä½"/>
          <w:color w:val="000000"/>
          <w:spacing w:val="0"/>
          <w:sz w:val="21"/>
        </w:rPr>
        <w:t>号</w:t>
      </w:r>
    </w:p>
    <w:p>
      <w:pPr>
        <w:framePr w:w="3020" w:wrap="around" w:vAnchor="margin" w:hAnchor="text" w:x="7482" w:y="805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法定代表人：王荻</w:t>
      </w:r>
    </w:p>
    <w:p>
      <w:pPr>
        <w:framePr w:w="632" w:wrap="around" w:vAnchor="margin" w:hAnchor="text" w:x="4110" w:y="868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121</w:t>
      </w:r>
    </w:p>
    <w:p>
      <w:pPr>
        <w:framePr w:w="2901" w:wrap="around" w:vAnchor="margin" w:hAnchor="text" w:x="4640" w:y="86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大河财富基金销售有限公司</w:t>
      </w:r>
    </w:p>
    <w:p>
      <w:pPr>
        <w:framePr w:w="1578"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联系人：潘建</w:t>
      </w:r>
    </w:p>
    <w:p>
      <w:pPr>
        <w:framePr w:w="3020"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0851-88405605</w:t>
      </w:r>
    </w:p>
    <w:p>
      <w:pPr>
        <w:framePr w:w="3020"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0851-88405602</w:t>
      </w:r>
    </w:p>
    <w:p>
      <w:pPr>
        <w:framePr w:w="3020"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0851-88235678</w:t>
      </w:r>
    </w:p>
    <w:p>
      <w:pPr>
        <w:framePr w:w="3020"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www.urainf.com</w:t>
      </w:r>
    </w:p>
    <w:p>
      <w:pPr>
        <w:framePr w:w="3020" w:wrap="around" w:vAnchor="margin" w:hAnchor="text" w:x="7482" w:y="1118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注册地址：郑州市郑东新区东</w:t>
      </w:r>
    </w:p>
    <w:p>
      <w:pPr>
        <w:framePr w:w="3020"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风南路东康宁街北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 xml:space="preserve"> 503</w:t>
      </w:r>
    </w:p>
    <w:p>
      <w:pPr>
        <w:framePr w:w="3020"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办公地址：郑州市郑东新区东</w:t>
      </w:r>
    </w:p>
    <w:p>
      <w:pPr>
        <w:framePr w:w="3020"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风南路东康宁街北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 xml:space="preserve"> 503</w:t>
      </w:r>
    </w:p>
    <w:p>
      <w:pPr>
        <w:framePr w:w="3020"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法定代表人：王旋</w:t>
      </w:r>
    </w:p>
    <w:p>
      <w:pPr>
        <w:framePr w:w="632" w:wrap="around" w:vAnchor="margin" w:hAnchor="text" w:x="4110" w:y="124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122</w:t>
      </w:r>
    </w:p>
    <w:p>
      <w:pPr>
        <w:framePr w:w="2901" w:wrap="around" w:vAnchor="margin" w:hAnchor="text" w:x="4640"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和耕传承基金销售有限公司</w:t>
      </w:r>
    </w:p>
    <w:p>
      <w:pPr>
        <w:framePr w:w="1789"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联系人：胡静华</w:t>
      </w:r>
    </w:p>
    <w:p>
      <w:pPr>
        <w:framePr w:w="2588" w:wrap="around" w:vAnchor="margin" w:hAnchor="text" w:x="7482" w:y="1431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0371-85518396</w:t>
      </w:r>
    </w:p>
    <w:p>
      <w:pPr>
        <w:framePr w:w="2588"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0371-85518397</w:t>
      </w:r>
    </w:p>
    <w:p>
      <w:pPr>
        <w:framePr w:w="2588"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4000-555-671</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66</w:t>
      </w:r>
    </w:p>
    <w:p>
      <w:pPr>
        <w:spacing w:before="0" w:after="0" w:line="0" w:lineRule="exact"/>
        <w:ind w:left="0" w:right="0"/>
        <w:jc w:val="left"/>
        <w:rPr>
          <w:rFonts w:ascii="Arial"/>
          <w:color w:val="FF0000"/>
          <w:spacing w:val="0"/>
          <w:sz w:val="2"/>
        </w:rPr>
      </w:pPr>
      <w:r>
        <w:pict>
          <v:shape id="_x0000137" o:spid="_x0000_s116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9" o:title=""/>
            <o:lock v:ext="edit" aspectratio="t"/>
          </v:shape>
        </w:pict>
      </w:r>
      <w:r>
        <w:pict>
          <v:shape id="_x0000138" o:spid="_x0000_s1164"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2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4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390" w:wrap="around" w:vAnchor="margin" w:hAnchor="text" w:x="7482" w:y="178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http://www.hgccpb.com/</w:t>
      </w:r>
    </w:p>
    <w:p>
      <w:pPr>
        <w:framePr w:w="632" w:wrap="around" w:vAnchor="margin" w:hAnchor="text" w:x="4110" w:y="21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123</w:t>
      </w:r>
    </w:p>
    <w:p>
      <w:pPr>
        <w:framePr w:w="2901" w:wrap="around" w:vAnchor="margin" w:hAnchor="text" w:x="4640"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大连网金基金销售有限公司</w:t>
      </w:r>
    </w:p>
    <w:p>
      <w:pPr>
        <w:framePr w:w="3020" w:wrap="around" w:vAnchor="margin" w:hAnchor="text" w:x="7482"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注册地址：辽宁省大连市沙河</w:t>
      </w:r>
    </w:p>
    <w:p>
      <w:pPr>
        <w:framePr w:w="3020" w:wrap="around" w:vAnchor="margin" w:hAnchor="text" w:x="7482" w:y="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口区体坛路 </w:t>
      </w:r>
      <w:r>
        <w:rPr>
          <w:rFonts w:ascii="Times New Roman"/>
          <w:color w:val="000000"/>
          <w:spacing w:val="0"/>
          <w:sz w:val="21"/>
        </w:rPr>
        <w:t>22</w:t>
      </w:r>
      <w:r>
        <w:rPr>
          <w:rFonts w:ascii="SKJVQB+å®ä½" w:hAnsi="SKJVQB+å®ä½" w:cs="SKJVQB+å®ä½"/>
          <w:color w:val="000000"/>
          <w:spacing w:val="0"/>
          <w:sz w:val="21"/>
        </w:rPr>
        <w:t xml:space="preserve">号诺德大厦  </w:t>
      </w:r>
      <w:r>
        <w:rPr>
          <w:rFonts w:ascii="Times New Roman"/>
          <w:color w:val="000000"/>
          <w:spacing w:val="0"/>
          <w:sz w:val="21"/>
        </w:rPr>
        <w:t xml:space="preserve"> 2</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202</w:t>
      </w:r>
      <w:r>
        <w:rPr>
          <w:rFonts w:ascii="SKJVQB+å®ä½" w:hAnsi="SKJVQB+å®ä½" w:cs="SKJVQB+å®ä½"/>
          <w:color w:val="000000"/>
          <w:spacing w:val="0"/>
          <w:sz w:val="21"/>
        </w:rPr>
        <w:t>室</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办公地址：辽宁省大连市沙河</w:t>
      </w:r>
    </w:p>
    <w:p>
      <w:pPr>
        <w:framePr w:w="3020" w:wrap="around" w:vAnchor="margin" w:hAnchor="text" w:x="7482" w:y="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口区体坛路 </w:t>
      </w:r>
      <w:r>
        <w:rPr>
          <w:rFonts w:ascii="Times New Roman"/>
          <w:color w:val="000000"/>
          <w:spacing w:val="0"/>
          <w:sz w:val="21"/>
        </w:rPr>
        <w:t>22</w:t>
      </w:r>
      <w:r>
        <w:rPr>
          <w:rFonts w:ascii="SKJVQB+å®ä½" w:hAnsi="SKJVQB+å®ä½" w:cs="SKJVQB+å®ä½"/>
          <w:color w:val="000000"/>
          <w:spacing w:val="0"/>
          <w:sz w:val="21"/>
        </w:rPr>
        <w:t xml:space="preserve">号诺德大厦  </w:t>
      </w:r>
      <w:r>
        <w:rPr>
          <w:rFonts w:ascii="Times New Roman"/>
          <w:color w:val="000000"/>
          <w:spacing w:val="0"/>
          <w:sz w:val="21"/>
        </w:rPr>
        <w:t xml:space="preserve"> 2</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202</w:t>
      </w:r>
      <w:r>
        <w:rPr>
          <w:rFonts w:ascii="SKJVQB+å®ä½" w:hAnsi="SKJVQB+å®ä½" w:cs="SKJVQB+å®ä½"/>
          <w:color w:val="000000"/>
          <w:spacing w:val="0"/>
          <w:sz w:val="21"/>
        </w:rPr>
        <w:t>室</w:t>
      </w:r>
    </w:p>
    <w:p>
      <w:pPr>
        <w:framePr w:w="2588"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法定代表人：樊怀东</w:t>
      </w:r>
    </w:p>
    <w:p>
      <w:pPr>
        <w:framePr w:w="2588" w:wrap="around" w:vAnchor="margin" w:hAnchor="text" w:x="7482" w:y="39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4000-899-100</w:t>
      </w:r>
    </w:p>
    <w:p>
      <w:pPr>
        <w:framePr w:w="2588" w:wrap="around" w:vAnchor="margin" w:hAnchor="text" w:x="7482" w:y="399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491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http://www.yibaijin.com/</w:t>
      </w:r>
    </w:p>
    <w:p>
      <w:pPr>
        <w:framePr w:w="3020" w:wrap="around" w:vAnchor="margin" w:hAnchor="text" w:x="7482" w:y="4918"/>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framePr w:w="3020" w:wrap="around" w:vAnchor="margin" w:hAnchor="text" w:x="7482" w:y="491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作区前湾一路 </w:t>
      </w:r>
      <w:r>
        <w:rPr>
          <w:rFonts w:ascii="Times New Roman"/>
          <w:color w:val="000000"/>
          <w:spacing w:val="0"/>
          <w:sz w:val="21"/>
        </w:rPr>
        <w:t>1</w:t>
      </w:r>
      <w:r>
        <w:rPr>
          <w:rFonts w:ascii="SKJVQB+å®ä½" w:hAnsi="SKJVQB+å®ä½" w:cs="SKJVQB+å®ä½"/>
          <w:color w:val="000000"/>
          <w:spacing w:val="0"/>
          <w:sz w:val="21"/>
        </w:rPr>
        <w:t xml:space="preserve">号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 xml:space="preserve"> 201</w:t>
      </w:r>
    </w:p>
    <w:p>
      <w:pPr>
        <w:framePr w:w="3020" w:wrap="around" w:vAnchor="margin" w:hAnchor="text" w:x="7482" w:y="49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室（入驻深圳市前海商务秘书</w:t>
      </w:r>
    </w:p>
    <w:p>
      <w:pPr>
        <w:framePr w:w="3020" w:wrap="around" w:vAnchor="margin" w:hAnchor="text" w:x="7482" w:y="49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632" w:wrap="around" w:vAnchor="margin" w:hAnchor="text" w:x="4110" w:y="524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124</w:t>
      </w:r>
    </w:p>
    <w:p>
      <w:pPr>
        <w:framePr w:w="3020" w:wrap="around" w:vAnchor="margin" w:hAnchor="text" w:x="4640" w:y="524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腾安基金销售（深圳）有限公</w:t>
      </w:r>
    </w:p>
    <w:p>
      <w:pPr>
        <w:framePr w:w="3020" w:wrap="around" w:vAnchor="margin" w:hAnchor="text" w:x="4640" w:y="524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0" w:wrap="around" w:vAnchor="margin" w:hAnchor="text" w:x="7482"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办公地址：深圳市南山区海天</w:t>
      </w:r>
    </w:p>
    <w:p>
      <w:pPr>
        <w:framePr w:w="3020" w:wrap="around" w:vAnchor="margin" w:hAnchor="text" w:x="7482" w:y="649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二路 </w:t>
      </w:r>
      <w:r>
        <w:rPr>
          <w:rFonts w:ascii="Times New Roman"/>
          <w:color w:val="000000"/>
          <w:spacing w:val="0"/>
          <w:sz w:val="21"/>
        </w:rPr>
        <w:t>33</w:t>
      </w:r>
      <w:r>
        <w:rPr>
          <w:rFonts w:ascii="SKJVQB+å®ä½" w:hAnsi="SKJVQB+å®ä½" w:cs="SKJVQB+å®ä½"/>
          <w:color w:val="000000"/>
          <w:spacing w:val="0"/>
          <w:sz w:val="21"/>
        </w:rPr>
        <w:t xml:space="preserve">号腾讯滨海大厦  </w:t>
      </w:r>
      <w:r>
        <w:rPr>
          <w:rFonts w:ascii="Times New Roman"/>
          <w:color w:val="000000"/>
          <w:spacing w:val="0"/>
          <w:sz w:val="21"/>
        </w:rPr>
        <w:t xml:space="preserve"> 15</w:t>
      </w:r>
    </w:p>
    <w:p>
      <w:pPr>
        <w:framePr w:w="3020" w:wrap="around" w:vAnchor="margin" w:hAnchor="text" w:x="7482" w:y="6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209"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法定代表人：刘明军</w:t>
      </w:r>
    </w:p>
    <w:p>
      <w:pPr>
        <w:framePr w:w="2209" w:wrap="around" w:vAnchor="margin" w:hAnchor="text" w:x="7482"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联系人：谭广锋</w:t>
      </w:r>
    </w:p>
    <w:p>
      <w:pPr>
        <w:framePr w:w="2559" w:wrap="around" w:vAnchor="margin" w:hAnchor="text" w:x="7482" w:y="8051"/>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0755-86013388</w:t>
      </w:r>
      <w:r>
        <w:rPr>
          <w:rFonts w:ascii="SKJVQB+å®ä½" w:hAnsi="SKJVQB+å®ä½" w:cs="SKJVQB+å®ä½"/>
          <w:color w:val="000000"/>
          <w:spacing w:val="0"/>
          <w:sz w:val="21"/>
        </w:rPr>
        <w:t>转</w:t>
      </w:r>
    </w:p>
    <w:p>
      <w:pPr>
        <w:framePr w:w="2559" w:wrap="around" w:vAnchor="margin" w:hAnchor="text" w:x="7482" w:y="8051"/>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80618</w:t>
      </w:r>
    </w:p>
    <w:p>
      <w:pPr>
        <w:framePr w:w="1008" w:wrap="around" w:vAnchor="margin" w:hAnchor="text" w:x="7482" w:y="86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w:t>
      </w:r>
    </w:p>
    <w:p>
      <w:pPr>
        <w:framePr w:w="1894"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95017</w:t>
      </w:r>
    </w:p>
    <w:p>
      <w:pPr>
        <w:framePr w:w="3020"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www.tenganxinxi.com</w:t>
      </w:r>
    </w:p>
    <w:p>
      <w:pPr>
        <w:framePr w:w="3020" w:wrap="around" w:vAnchor="margin" w:hAnchor="text" w:x="7482" w:y="929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注册地址：北京市海淀区上地</w:t>
      </w:r>
    </w:p>
    <w:p>
      <w:pPr>
        <w:framePr w:w="3020"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十街 </w:t>
      </w:r>
      <w:r>
        <w:rPr>
          <w:rFonts w:ascii="Times New Roman"/>
          <w:color w:val="000000"/>
          <w:spacing w:val="0"/>
          <w:sz w:val="21"/>
        </w:rPr>
        <w:t>10</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 xml:space="preserve">层  </w:t>
      </w:r>
      <w:r>
        <w:rPr>
          <w:rFonts w:ascii="Times New Roman"/>
          <w:color w:val="000000"/>
          <w:spacing w:val="0"/>
          <w:sz w:val="21"/>
        </w:rPr>
        <w:t xml:space="preserve"> 101</w:t>
      </w:r>
    </w:p>
    <w:p>
      <w:pPr>
        <w:framePr w:w="3020"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办公地址：北京市海淀区上地</w:t>
      </w:r>
    </w:p>
    <w:p>
      <w:pPr>
        <w:framePr w:w="3020" w:wrap="around" w:vAnchor="margin" w:hAnchor="text" w:x="7482" w:y="9299"/>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信息路甲 </w:t>
      </w:r>
      <w:r>
        <w:rPr>
          <w:rFonts w:ascii="Times New Roman"/>
          <w:color w:val="000000"/>
          <w:spacing w:val="0"/>
          <w:sz w:val="21"/>
        </w:rPr>
        <w:t>9</w:t>
      </w:r>
      <w:r>
        <w:rPr>
          <w:rFonts w:ascii="SKJVQB+å®ä½" w:hAnsi="SKJVQB+å®ä½" w:cs="SKJVQB+å®ä½"/>
          <w:color w:val="000000"/>
          <w:spacing w:val="0"/>
          <w:sz w:val="21"/>
        </w:rPr>
        <w:t>号奎科科技大厦</w:t>
      </w:r>
    </w:p>
    <w:p>
      <w:pPr>
        <w:framePr w:w="3020"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法定代表人：张旭阳</w:t>
      </w:r>
    </w:p>
    <w:p>
      <w:pPr>
        <w:framePr w:w="3020"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95055</w:t>
      </w:r>
    </w:p>
    <w:p>
      <w:pPr>
        <w:framePr w:w="632" w:wrap="around" w:vAnchor="margin" w:hAnchor="text" w:x="4110" w:y="962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125</w:t>
      </w:r>
    </w:p>
    <w:p>
      <w:pPr>
        <w:framePr w:w="2901" w:wrap="around" w:vAnchor="margin" w:hAnchor="text" w:x="4640"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北京百度百盈基金销售有限</w:t>
      </w:r>
    </w:p>
    <w:p>
      <w:pPr>
        <w:framePr w:w="2901" w:wrap="around" w:vAnchor="margin" w:hAnchor="text" w:x="4640"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2659" w:wrap="around" w:vAnchor="margin" w:hAnchor="text" w:x="7482" w:y="1149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https://8.baidu.com/</w:t>
      </w:r>
    </w:p>
    <w:p>
      <w:pPr>
        <w:framePr w:w="2659" w:wrap="around" w:vAnchor="margin" w:hAnchor="text" w:x="7482" w:y="1149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邮编：</w:t>
      </w:r>
      <w:r>
        <w:rPr>
          <w:rFonts w:ascii="Times New Roman"/>
          <w:color w:val="000000"/>
          <w:spacing w:val="0"/>
          <w:sz w:val="21"/>
        </w:rPr>
        <w:t>100085</w:t>
      </w:r>
    </w:p>
    <w:p>
      <w:pPr>
        <w:framePr w:w="632" w:wrap="around" w:vAnchor="margin" w:hAnchor="text" w:x="4110" w:y="1212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126</w:t>
      </w:r>
    </w:p>
    <w:p>
      <w:pPr>
        <w:framePr w:w="2901" w:wrap="around" w:vAnchor="margin" w:hAnchor="text" w:x="4640"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江苏汇林保大基金销售有限</w:t>
      </w:r>
    </w:p>
    <w:p>
      <w:pPr>
        <w:framePr w:w="2901" w:wrap="around" w:vAnchor="margin" w:hAnchor="text" w:x="4640" w:y="1213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注册地址：南京市高淳区经济</w:t>
      </w:r>
    </w:p>
    <w:p>
      <w:pPr>
        <w:framePr w:w="3020" w:wrap="around" w:vAnchor="margin" w:hAnchor="text" w:x="7482" w:y="1213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开发区古檀大道 </w:t>
      </w:r>
      <w:r>
        <w:rPr>
          <w:rFonts w:ascii="Times New Roman"/>
          <w:color w:val="000000"/>
          <w:spacing w:val="0"/>
          <w:sz w:val="21"/>
        </w:rPr>
        <w:t>47</w:t>
      </w:r>
      <w:r>
        <w:rPr>
          <w:rFonts w:ascii="SKJVQB+å®ä½" w:hAnsi="SKJVQB+å®ä½" w:cs="SKJVQB+å®ä½"/>
          <w:color w:val="000000"/>
          <w:spacing w:val="0"/>
          <w:sz w:val="21"/>
        </w:rPr>
        <w:t>号</w:t>
      </w:r>
    </w:p>
    <w:p>
      <w:pPr>
        <w:framePr w:w="3020" w:wrap="around" w:vAnchor="margin" w:hAnchor="text" w:x="7482" w:y="1213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办公地址：南京市鼓楼区中山</w:t>
      </w:r>
    </w:p>
    <w:p>
      <w:pPr>
        <w:framePr w:w="3020" w:wrap="around" w:vAnchor="margin" w:hAnchor="text" w:x="7482" w:y="1213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北路 </w:t>
      </w:r>
      <w:r>
        <w:rPr>
          <w:rFonts w:ascii="Times New Roman"/>
          <w:color w:val="000000"/>
          <w:spacing w:val="0"/>
          <w:sz w:val="21"/>
        </w:rPr>
        <w:t>2</w:t>
      </w:r>
      <w:r>
        <w:rPr>
          <w:rFonts w:ascii="SKJVQB+å®ä½" w:hAnsi="SKJVQB+å®ä½" w:cs="SKJVQB+å®ä½"/>
          <w:color w:val="000000"/>
          <w:spacing w:val="0"/>
          <w:sz w:val="21"/>
        </w:rPr>
        <w:t xml:space="preserve">号绿地紫峰大厦  </w:t>
      </w:r>
      <w:r>
        <w:rPr>
          <w:rFonts w:ascii="Times New Roman"/>
          <w:color w:val="000000"/>
          <w:spacing w:val="0"/>
          <w:sz w:val="21"/>
        </w:rPr>
        <w:t xml:space="preserve"> 2005</w:t>
      </w:r>
    </w:p>
    <w:p>
      <w:pPr>
        <w:framePr w:w="3020" w:wrap="around" w:vAnchor="margin" w:hAnchor="text" w:x="7482" w:y="1213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209"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法定代表人：吴言林</w:t>
      </w:r>
    </w:p>
    <w:p>
      <w:pPr>
        <w:framePr w:w="2209"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联系人：林伊灵</w:t>
      </w:r>
    </w:p>
    <w:p>
      <w:pPr>
        <w:framePr w:w="3104" w:wrap="around" w:vAnchor="margin" w:hAnchor="text" w:x="7482" w:y="1431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025-66046166-810</w:t>
      </w:r>
    </w:p>
    <w:p>
      <w:pPr>
        <w:framePr w:w="3104"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 025-56878016</w:t>
      </w:r>
    </w:p>
    <w:p>
      <w:pPr>
        <w:framePr w:w="3104"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客户服务电话：</w:t>
      </w:r>
      <w:r>
        <w:rPr>
          <w:rFonts w:ascii="Times New Roman"/>
          <w:color w:val="000000"/>
          <w:spacing w:val="0"/>
          <w:sz w:val="21"/>
        </w:rPr>
        <w:t>025-66046166</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67</w:t>
      </w:r>
    </w:p>
    <w:p>
      <w:pPr>
        <w:spacing w:before="0" w:after="0" w:line="0" w:lineRule="exact"/>
        <w:ind w:left="0" w:right="0"/>
        <w:jc w:val="left"/>
        <w:rPr>
          <w:rFonts w:ascii="Arial"/>
          <w:color w:val="FF0000"/>
          <w:spacing w:val="0"/>
          <w:sz w:val="2"/>
        </w:rPr>
      </w:pPr>
      <w:r>
        <w:pict>
          <v:shape id="_x0000139" o:spid="_x0000_s116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21" o:title=""/>
            <o:lock v:ext="edit" aspectratio="t"/>
          </v:shape>
        </w:pict>
      </w:r>
      <w:r>
        <w:pict>
          <v:shape id="_x0000140" o:spid="_x0000_s1166"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2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77"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www.huilinbd.com</w:t>
      </w:r>
    </w:p>
    <w:p>
      <w:pPr>
        <w:framePr w:w="632" w:wrap="around" w:vAnchor="margin" w:hAnchor="text" w:x="4110"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127</w:t>
      </w:r>
    </w:p>
    <w:p>
      <w:pPr>
        <w:framePr w:w="6045"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本基金其他代销机构情况详见基金管理人发布的相关公告</w:t>
      </w:r>
    </w:p>
    <w:p>
      <w:pPr>
        <w:framePr w:w="2771" w:wrap="around" w:vAnchor="margin" w:hAnchor="text" w:x="1800" w:y="2557"/>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SKJVQB+å®ä½" w:hAnsi="SKJVQB+å®ä½" w:cs="SKJVQB+å®ä½"/>
          <w:color w:val="222222"/>
          <w:spacing w:val="0"/>
          <w:sz w:val="24"/>
        </w:rPr>
        <w:t>南方双元</w:t>
      </w:r>
      <w:r>
        <w:rPr>
          <w:rFonts w:ascii="GGHCMB+å®ä½"/>
          <w:color w:val="222222"/>
          <w:spacing w:val="0"/>
          <w:sz w:val="24"/>
        </w:rPr>
        <w:t>C</w:t>
      </w:r>
      <w:r>
        <w:rPr>
          <w:rFonts w:ascii="SKJVQB+å®ä½" w:hAnsi="SKJVQB+å®ä½" w:cs="SKJVQB+å®ä½"/>
          <w:color w:val="222222"/>
          <w:spacing w:val="0"/>
          <w:sz w:val="24"/>
        </w:rPr>
        <w:t>代销银行：</w:t>
      </w:r>
    </w:p>
    <w:p>
      <w:pPr>
        <w:framePr w:w="737" w:wrap="around" w:vAnchor="margin" w:hAnchor="text" w:x="2902" w:y="349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framePr w:w="1578" w:wrap="around" w:vAnchor="margin" w:hAnchor="text" w:x="5322" w:y="349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代销机构名称</w:t>
      </w:r>
    </w:p>
    <w:p>
      <w:pPr>
        <w:framePr w:w="3020" w:wrap="around" w:vAnchor="margin" w:hAnchor="text" w:x="7482" w:y="3492"/>
        <w:widowControl w:val="0"/>
        <w:autoSpaceDE w:val="0"/>
        <w:autoSpaceDN w:val="0"/>
        <w:spacing w:before="0" w:after="0" w:line="211" w:lineRule="exact"/>
        <w:ind w:left="682" w:right="0"/>
        <w:jc w:val="left"/>
        <w:rPr>
          <w:rFonts w:ascii="SKJVQB+å®ä½" w:hAnsi="SKJVQB+å®ä½" w:cs="SKJVQB+å®ä½"/>
          <w:color w:val="000000"/>
          <w:spacing w:val="0"/>
          <w:sz w:val="21"/>
        </w:rPr>
      </w:pPr>
      <w:r>
        <w:rPr>
          <w:rFonts w:ascii="SKJVQB+å®ä½" w:hAnsi="SKJVQB+å®ä½" w:cs="SKJVQB+å®ä½"/>
          <w:color w:val="000000"/>
          <w:spacing w:val="0"/>
          <w:sz w:val="21"/>
        </w:rPr>
        <w:t>代销机构信息</w:t>
      </w:r>
    </w:p>
    <w:p>
      <w:pPr>
        <w:framePr w:w="3020" w:wrap="around" w:vAnchor="margin" w:hAnchor="text" w:x="7482" w:y="3492"/>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020" w:wrap="around" w:vAnchor="margin" w:hAnchor="text" w:x="7482" w:y="349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贸易试验区银城中路 </w:t>
      </w:r>
      <w:r>
        <w:rPr>
          <w:rFonts w:ascii="Times New Roman"/>
          <w:color w:val="000000"/>
          <w:spacing w:val="0"/>
          <w:sz w:val="21"/>
        </w:rPr>
        <w:t>188</w:t>
      </w:r>
      <w:r>
        <w:rPr>
          <w:rFonts w:ascii="SKJVQB+å®ä½" w:hAnsi="SKJVQB+å®ä½" w:cs="SKJVQB+å®ä½"/>
          <w:color w:val="000000"/>
          <w:spacing w:val="0"/>
          <w:sz w:val="21"/>
        </w:rPr>
        <w:t>号</w:t>
      </w:r>
    </w:p>
    <w:p>
      <w:pPr>
        <w:framePr w:w="3020" w:wrap="around" w:vAnchor="margin" w:hAnchor="text" w:x="7482" w:y="3492"/>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办公地址：上海市银城中路</w:t>
      </w:r>
    </w:p>
    <w:p>
      <w:pPr>
        <w:framePr w:w="3020" w:wrap="around" w:vAnchor="margin" w:hAnchor="text" w:x="7482" w:y="349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188</w:t>
      </w:r>
      <w:r>
        <w:rPr>
          <w:rFonts w:ascii="SKJVQB+å®ä½" w:hAnsi="SKJVQB+å®ä½" w:cs="SKJVQB+å®ä½"/>
          <w:color w:val="000000"/>
          <w:spacing w:val="0"/>
          <w:sz w:val="21"/>
        </w:rPr>
        <w:t>号</w:t>
      </w:r>
    </w:p>
    <w:p>
      <w:pPr>
        <w:framePr w:w="421" w:wrap="around" w:vAnchor="margin" w:hAnchor="text" w:x="3058" w:y="380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w:t>
      </w:r>
    </w:p>
    <w:p>
      <w:pPr>
        <w:framePr w:w="2418" w:wrap="around" w:vAnchor="margin" w:hAnchor="text" w:x="4640" w:y="381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交通银行股份有限公司</w:t>
      </w:r>
    </w:p>
    <w:p>
      <w:pPr>
        <w:framePr w:w="1578" w:wrap="around" w:vAnchor="margin" w:hAnchor="text" w:x="7482" w:y="506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联系人：王菁</w:t>
      </w:r>
    </w:p>
    <w:p>
      <w:pPr>
        <w:framePr w:w="2626" w:wrap="around" w:vAnchor="margin" w:hAnchor="text" w:x="7482" w:y="53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021-58781234</w:t>
      </w:r>
    </w:p>
    <w:p>
      <w:pPr>
        <w:framePr w:w="2626" w:wrap="around" w:vAnchor="margin" w:hAnchor="text" w:x="7482" w:y="5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95559</w:t>
      </w:r>
    </w:p>
    <w:p>
      <w:pPr>
        <w:framePr w:w="3020" w:wrap="around" w:vAnchor="margin" w:hAnchor="text" w:x="7482" w:y="59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www.bankcomm.com</w:t>
      </w:r>
    </w:p>
    <w:p>
      <w:pPr>
        <w:framePr w:w="3020" w:wrap="around" w:vAnchor="margin" w:hAnchor="text" w:x="7482" w:y="599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framePr w:w="3020" w:wrap="around" w:vAnchor="margin" w:hAnchor="text" w:x="7482" w:y="5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55</w:t>
      </w:r>
      <w:r>
        <w:rPr>
          <w:rFonts w:ascii="SKJVQB+å®ä½" w:hAnsi="SKJVQB+å®ä½" w:cs="SKJVQB+å®ä½"/>
          <w:color w:val="000000"/>
          <w:spacing w:val="0"/>
          <w:sz w:val="21"/>
        </w:rPr>
        <w:t>号</w:t>
      </w:r>
    </w:p>
    <w:p>
      <w:pPr>
        <w:framePr w:w="421" w:wrap="around" w:vAnchor="margin" w:hAnchor="text" w:x="3058" w:y="63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w:t>
      </w:r>
    </w:p>
    <w:p>
      <w:pPr>
        <w:framePr w:w="421" w:wrap="around" w:vAnchor="margin" w:hAnchor="text" w:x="3058" w:y="6310"/>
        <w:widowControl w:val="0"/>
        <w:autoSpaceDE w:val="0"/>
        <w:autoSpaceDN w:val="0"/>
        <w:spacing w:before="0" w:after="0" w:line="1882" w:lineRule="exact"/>
        <w:ind w:left="0" w:right="0"/>
        <w:jc w:val="left"/>
        <w:rPr>
          <w:rFonts w:ascii="Times New Roman"/>
          <w:color w:val="000000"/>
          <w:spacing w:val="0"/>
          <w:sz w:val="21"/>
        </w:rPr>
      </w:pPr>
      <w:r>
        <w:rPr>
          <w:rFonts w:ascii="Times New Roman"/>
          <w:color w:val="000000"/>
          <w:spacing w:val="0"/>
          <w:sz w:val="21"/>
        </w:rPr>
        <w:t>3</w:t>
      </w:r>
    </w:p>
    <w:p>
      <w:pPr>
        <w:framePr w:w="2901" w:wrap="around" w:vAnchor="margin" w:hAnchor="text" w:x="4640" w:y="63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中国工商银行股份有限公司</w:t>
      </w:r>
    </w:p>
    <w:p>
      <w:pPr>
        <w:framePr w:w="2209" w:wrap="around" w:vAnchor="margin" w:hAnchor="text" w:x="7482" w:y="69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法定代表人：陈四清</w:t>
      </w:r>
    </w:p>
    <w:p>
      <w:pPr>
        <w:framePr w:w="2209" w:wrap="around" w:vAnchor="margin" w:hAnchor="text" w:x="7482" w:y="69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联系人：谢宇晨</w:t>
      </w:r>
    </w:p>
    <w:p>
      <w:pPr>
        <w:framePr w:w="1894" w:wrap="around" w:vAnchor="margin" w:hAnchor="text" w:x="7482" w:y="756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95588</w:t>
      </w:r>
    </w:p>
    <w:p>
      <w:pPr>
        <w:framePr w:w="3020" w:wrap="around" w:vAnchor="margin" w:hAnchor="text" w:x="7482" w:y="787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www.icbc.com.cn</w:t>
      </w:r>
    </w:p>
    <w:p>
      <w:pPr>
        <w:framePr w:w="3020" w:wrap="around" w:vAnchor="margin" w:hAnchor="text" w:x="7482" w:y="787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framePr w:w="3020" w:wrap="around" w:vAnchor="margin" w:hAnchor="text" w:x="7482" w:y="787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1</w:t>
      </w:r>
      <w:r>
        <w:rPr>
          <w:rFonts w:ascii="SKJVQB+å®ä½" w:hAnsi="SKJVQB+å®ä½" w:cs="SKJVQB+å®ä½"/>
          <w:color w:val="000000"/>
          <w:spacing w:val="0"/>
          <w:sz w:val="21"/>
        </w:rPr>
        <w:t>号</w:t>
      </w:r>
    </w:p>
    <w:p>
      <w:pPr>
        <w:framePr w:w="2418" w:wrap="around" w:vAnchor="margin" w:hAnchor="text" w:x="4640" w:y="820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中国银行股份有限公司</w:t>
      </w:r>
    </w:p>
    <w:p>
      <w:pPr>
        <w:framePr w:w="3020" w:wrap="around" w:vAnchor="margin" w:hAnchor="text" w:x="7482" w:y="882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办公地址：北京市西城区复兴</w:t>
      </w:r>
    </w:p>
    <w:p>
      <w:pPr>
        <w:framePr w:w="3020" w:wrap="around" w:vAnchor="margin" w:hAnchor="text" w:x="7482" w:y="882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1</w:t>
      </w:r>
      <w:r>
        <w:rPr>
          <w:rFonts w:ascii="SKJVQB+å®ä½" w:hAnsi="SKJVQB+å®ä½" w:cs="SKJVQB+å®ä½"/>
          <w:color w:val="000000"/>
          <w:spacing w:val="0"/>
          <w:sz w:val="21"/>
        </w:rPr>
        <w:t>号</w:t>
      </w:r>
    </w:p>
    <w:p>
      <w:pPr>
        <w:framePr w:w="2209" w:wrap="around" w:vAnchor="margin" w:hAnchor="text" w:x="7482" w:y="944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法定代表人：刘连舸</w:t>
      </w:r>
    </w:p>
    <w:p>
      <w:pPr>
        <w:framePr w:w="2209" w:wrap="around" w:vAnchor="margin" w:hAnchor="text" w:x="7482" w:y="944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95566</w:t>
      </w:r>
    </w:p>
    <w:p>
      <w:pPr>
        <w:framePr w:w="1996" w:wrap="around" w:vAnchor="margin" w:hAnchor="text" w:x="7482" w:y="100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www.boc.cn</w:t>
      </w:r>
    </w:p>
    <w:p>
      <w:pPr>
        <w:framePr w:w="421" w:wrap="around" w:vAnchor="margin" w:hAnchor="text" w:x="3058" w:y="1038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w:t>
      </w:r>
    </w:p>
    <w:p>
      <w:pPr>
        <w:framePr w:w="421" w:wrap="around" w:vAnchor="margin" w:hAnchor="text" w:x="3058" w:y="10388"/>
        <w:widowControl w:val="0"/>
        <w:autoSpaceDE w:val="0"/>
        <w:autoSpaceDN w:val="0"/>
        <w:spacing w:before="0" w:after="0" w:line="1882" w:lineRule="exact"/>
        <w:ind w:left="0" w:right="0"/>
        <w:jc w:val="left"/>
        <w:rPr>
          <w:rFonts w:ascii="Times New Roman"/>
          <w:color w:val="000000"/>
          <w:spacing w:val="0"/>
          <w:sz w:val="21"/>
        </w:rPr>
      </w:pPr>
      <w:r>
        <w:rPr>
          <w:rFonts w:ascii="Times New Roman"/>
          <w:color w:val="000000"/>
          <w:spacing w:val="0"/>
          <w:sz w:val="21"/>
        </w:rPr>
        <w:t>5</w:t>
      </w:r>
    </w:p>
    <w:p>
      <w:pPr>
        <w:framePr w:w="2418" w:wrap="around" w:vAnchor="margin" w:hAnchor="text" w:x="4640" w:y="1039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招商银行股份有限公司</w:t>
      </w:r>
    </w:p>
    <w:p>
      <w:pPr>
        <w:framePr w:w="2901" w:wrap="around" w:vAnchor="margin" w:hAnchor="text" w:x="7482" w:y="1039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注册地址：深圳市深南大道</w:t>
      </w:r>
    </w:p>
    <w:p>
      <w:pPr>
        <w:framePr w:w="2901" w:wrap="around" w:vAnchor="margin" w:hAnchor="text" w:x="7482" w:y="10398"/>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Times New Roman"/>
          <w:color w:val="000000"/>
          <w:spacing w:val="0"/>
          <w:sz w:val="21"/>
        </w:rPr>
        <w:t>7088</w:t>
      </w:r>
      <w:r>
        <w:rPr>
          <w:rFonts w:ascii="SKJVQB+å®ä½" w:hAnsi="SKJVQB+å®ä½" w:cs="SKJVQB+å®ä½"/>
          <w:color w:val="000000"/>
          <w:spacing w:val="0"/>
          <w:sz w:val="21"/>
        </w:rPr>
        <w:t>号招商银行大厦</w:t>
      </w:r>
    </w:p>
    <w:p>
      <w:pPr>
        <w:framePr w:w="2901" w:wrap="around" w:vAnchor="margin" w:hAnchor="text" w:x="7482" w:y="1039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法定代表人：李建红</w:t>
      </w:r>
    </w:p>
    <w:p>
      <w:pPr>
        <w:framePr w:w="2901" w:wrap="around" w:vAnchor="margin" w:hAnchor="text" w:x="7482" w:y="1039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联系人：季平伟</w:t>
      </w:r>
    </w:p>
    <w:p>
      <w:pPr>
        <w:framePr w:w="1894" w:wrap="around" w:vAnchor="margin" w:hAnchor="text" w:x="7482" w:y="116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95555</w:t>
      </w:r>
    </w:p>
    <w:p>
      <w:pPr>
        <w:framePr w:w="3020" w:wrap="around" w:vAnchor="margin" w:hAnchor="text" w:x="7482" w:y="119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www.cmbchina.com</w:t>
      </w:r>
    </w:p>
    <w:p>
      <w:pPr>
        <w:framePr w:w="3020" w:wrap="around" w:vAnchor="margin" w:hAnchor="text" w:x="7482" w:y="1195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119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w:t>
      </w:r>
      <w:r>
        <w:rPr>
          <w:rFonts w:ascii="SKJVQB+å®ä½" w:hAnsi="SKJVQB+å®ä½" w:cs="SKJVQB+å®ä½"/>
          <w:color w:val="000000"/>
          <w:spacing w:val="0"/>
          <w:sz w:val="21"/>
        </w:rPr>
        <w:t>号</w:t>
      </w:r>
    </w:p>
    <w:p>
      <w:pPr>
        <w:framePr w:w="2901" w:wrap="around" w:vAnchor="margin" w:hAnchor="text" w:x="4640" w:y="1228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中国邮政储蓄银行股份有限</w:t>
      </w:r>
    </w:p>
    <w:p>
      <w:pPr>
        <w:framePr w:w="2901" w:wrap="around" w:vAnchor="margin" w:hAnchor="text" w:x="4640" w:y="1228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290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0" w:wrap="around" w:vAnchor="margin" w:hAnchor="text" w:x="7482" w:y="1290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w:t>
      </w:r>
      <w:r>
        <w:rPr>
          <w:rFonts w:ascii="SKJVQB+å®ä½" w:hAnsi="SKJVQB+å®ä½" w:cs="SKJVQB+å®ä½"/>
          <w:color w:val="000000"/>
          <w:spacing w:val="0"/>
          <w:sz w:val="21"/>
        </w:rPr>
        <w:t>号</w:t>
      </w:r>
    </w:p>
    <w:p>
      <w:pPr>
        <w:framePr w:w="2209" w:wrap="around" w:vAnchor="margin" w:hAnchor="text" w:x="7482" w:y="135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法定代表人：张金良</w:t>
      </w:r>
    </w:p>
    <w:p>
      <w:pPr>
        <w:framePr w:w="2209" w:wrap="around" w:vAnchor="margin" w:hAnchor="text" w:x="7482" w:y="135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联系人：王硕</w:t>
      </w:r>
    </w:p>
    <w:p>
      <w:pPr>
        <w:framePr w:w="2421" w:wrap="around" w:vAnchor="margin" w:hAnchor="text" w:x="7482" w:y="141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w:t>
      </w:r>
      <w:r>
        <w:rPr>
          <w:rFonts w:ascii="SKJVQB+å®ä½" w:hAnsi="SKJVQB+å®ä½" w:cs="SKJVQB+å®ä½"/>
          <w:color w:val="000000"/>
          <w:spacing w:val="0"/>
          <w:sz w:val="21"/>
        </w:rPr>
        <w:t>）</w:t>
      </w:r>
      <w:r>
        <w:rPr>
          <w:rFonts w:ascii="Times New Roman"/>
          <w:color w:val="000000"/>
          <w:spacing w:val="0"/>
          <w:sz w:val="21"/>
        </w:rPr>
        <w:t>68858057</w:t>
      </w:r>
    </w:p>
    <w:p>
      <w:pPr>
        <w:framePr w:w="2421" w:wrap="around" w:vAnchor="margin" w:hAnchor="text" w:x="7482" w:y="141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95580</w:t>
      </w:r>
    </w:p>
    <w:p>
      <w:pPr>
        <w:framePr w:w="3020" w:wrap="around" w:vAnchor="margin" w:hAnchor="text" w:x="7482" w:y="147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www.psbc.com</w:t>
      </w:r>
    </w:p>
    <w:p>
      <w:pPr>
        <w:framePr w:w="3020" w:wrap="around" w:vAnchor="margin" w:hAnchor="text" w:x="7482" w:y="1476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注册地址：上海市浦东新区浦</w:t>
      </w:r>
    </w:p>
    <w:p>
      <w:pPr>
        <w:framePr w:w="421" w:wrap="around" w:vAnchor="margin" w:hAnchor="text" w:x="3058" w:y="1508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w:t>
      </w:r>
    </w:p>
    <w:p>
      <w:pPr>
        <w:framePr w:w="2901" w:wrap="around" w:vAnchor="margin" w:hAnchor="text" w:x="4640" w:y="1509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上海浦东发展银行股份有限</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68</w:t>
      </w:r>
    </w:p>
    <w:p>
      <w:pPr>
        <w:spacing w:before="0" w:after="0" w:line="0" w:lineRule="exact"/>
        <w:ind w:left="0" w:right="0"/>
        <w:jc w:val="left"/>
        <w:rPr>
          <w:rFonts w:ascii="Arial"/>
          <w:color w:val="FF0000"/>
          <w:spacing w:val="0"/>
          <w:sz w:val="2"/>
        </w:rPr>
      </w:pPr>
      <w:r>
        <w:pict>
          <v:shape id="_x0000141" o:spid="_x0000_s116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23" o:title=""/>
            <o:lock v:ext="edit" aspectratio="t"/>
          </v:shape>
        </w:pict>
      </w:r>
      <w:r>
        <w:pict>
          <v:shape id="_x0000142" o:spid="_x0000_s1168" o:spt="75" type="#_x0000_t75" style="position:absolute;left:0pt;margin-left:84.4pt;margin-top:71.1pt;height:32.65pt;width:426.7pt;mso-position-horizontal-relative:page;mso-position-vertical-relative:page;z-index:-1024;mso-width-relative:page;mso-height-relative:page;" filled="f" coordsize="21600,21600">
            <v:path/>
            <v:fill on="f" focussize="0,0"/>
            <v:stroke/>
            <v:imagedata r:id="rId124" o:title=""/>
            <o:lock v:ext="edit" aspectratio="t"/>
          </v:shape>
        </w:pict>
      </w:r>
      <w:r>
        <w:pict>
          <v:shape id="_x0000143" o:spid="_x0000_s1169" o:spt="75" type="#_x0000_t75" style="position:absolute;left:0pt;margin-left:84.4pt;margin-top:171.4pt;height:596.85pt;width:426.7pt;mso-position-horizontal-relative:page;mso-position-vertical-relative:page;z-index:-1024;mso-width-relative:page;mso-height-relative:page;" filled="f" coordsize="21600,21600">
            <v:path/>
            <v:fill on="f" focussize="0,0"/>
            <v:stroke/>
            <v:imagedata r:id="rId12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737" w:wrap="around" w:vAnchor="margin" w:hAnchor="text" w:x="4640"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1578"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东南路 </w:t>
      </w:r>
      <w:r>
        <w:rPr>
          <w:rFonts w:ascii="Times New Roman"/>
          <w:color w:val="000000"/>
          <w:spacing w:val="0"/>
          <w:sz w:val="21"/>
        </w:rPr>
        <w:t>500</w:t>
      </w:r>
      <w:r>
        <w:rPr>
          <w:rFonts w:ascii="SKJVQB+å®ä½" w:hAnsi="SKJVQB+å®ä½" w:cs="SKJVQB+å®ä½"/>
          <w:color w:val="000000"/>
          <w:spacing w:val="0"/>
          <w:sz w:val="21"/>
        </w:rPr>
        <w:t>号</w:t>
      </w:r>
    </w:p>
    <w:p>
      <w:pPr>
        <w:framePr w:w="3020"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办公地址：上海市中山东一路</w:t>
      </w:r>
    </w:p>
    <w:p>
      <w:pPr>
        <w:framePr w:w="3020"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号</w:t>
      </w:r>
    </w:p>
    <w:p>
      <w:pPr>
        <w:framePr w:w="2209"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法定代表人：高国富</w:t>
      </w:r>
    </w:p>
    <w:p>
      <w:pPr>
        <w:framePr w:w="2209" w:wrap="around" w:vAnchor="margin" w:hAnchor="text" w:x="7482" w:y="24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联系人：吴斌</w:t>
      </w:r>
    </w:p>
    <w:p>
      <w:pPr>
        <w:framePr w:w="2626"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021-61618888</w:t>
      </w:r>
    </w:p>
    <w:p>
      <w:pPr>
        <w:framePr w:w="2626"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95528</w:t>
      </w:r>
    </w:p>
    <w:p>
      <w:pPr>
        <w:framePr w:w="2626"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www.spdb.com.cn</w:t>
      </w:r>
    </w:p>
    <w:p>
      <w:pPr>
        <w:framePr w:w="421" w:wrap="around" w:vAnchor="margin" w:hAnchor="text" w:x="3058" w:y="398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w:t>
      </w:r>
    </w:p>
    <w:p>
      <w:pPr>
        <w:framePr w:w="2418" w:wrap="around" w:vAnchor="margin" w:hAnchor="text" w:x="4640"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中信银行股份有限公司</w:t>
      </w:r>
    </w:p>
    <w:p>
      <w:pPr>
        <w:framePr w:w="3020"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注册地址：北京市东城区朝阳</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门北大街 </w:t>
      </w:r>
      <w:r>
        <w:rPr>
          <w:rFonts w:ascii="Times New Roman"/>
          <w:color w:val="000000"/>
          <w:spacing w:val="0"/>
          <w:sz w:val="21"/>
        </w:rPr>
        <w:t>9</w:t>
      </w:r>
      <w:r>
        <w:rPr>
          <w:rFonts w:ascii="SKJVQB+å®ä½" w:hAnsi="SKJVQB+å®ä½" w:cs="SKJVQB+å®ä½"/>
          <w:color w:val="000000"/>
          <w:spacing w:val="0"/>
          <w:sz w:val="21"/>
        </w:rPr>
        <w:t>号</w:t>
      </w:r>
    </w:p>
    <w:p>
      <w:pPr>
        <w:framePr w:w="3020"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办公地址：北京东城区朝阳门</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北大街 </w:t>
      </w:r>
      <w:r>
        <w:rPr>
          <w:rFonts w:ascii="Times New Roman"/>
          <w:color w:val="000000"/>
          <w:spacing w:val="0"/>
          <w:sz w:val="21"/>
        </w:rPr>
        <w:t>9</w:t>
      </w:r>
      <w:r>
        <w:rPr>
          <w:rFonts w:ascii="SKJVQB+å®ä½" w:hAnsi="SKJVQB+å®ä½" w:cs="SKJVQB+å®ä½"/>
          <w:color w:val="000000"/>
          <w:spacing w:val="0"/>
          <w:sz w:val="21"/>
        </w:rPr>
        <w:t>号东方文化大厦</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法定代表人：李庆萍</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联系人：丰靖</w:t>
      </w:r>
    </w:p>
    <w:p>
      <w:pPr>
        <w:framePr w:w="2178" w:wrap="around" w:vAnchor="margin" w:hAnchor="text" w:x="7482" w:y="585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010-89937330</w:t>
      </w:r>
    </w:p>
    <w:p>
      <w:pPr>
        <w:framePr w:w="2178"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95558</w:t>
      </w:r>
    </w:p>
    <w:p>
      <w:pPr>
        <w:framePr w:w="3020"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http://bank.ecitic.com/</w:t>
      </w:r>
    </w:p>
    <w:p>
      <w:pPr>
        <w:framePr w:w="3020" w:wrap="around" w:vAnchor="margin" w:hAnchor="text" w:x="7482" w:y="648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注册地址：广州市越秀区东风</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713</w:t>
      </w:r>
      <w:r>
        <w:rPr>
          <w:rFonts w:ascii="SKJVQB+å®ä½" w:hAnsi="SKJVQB+å®ä½" w:cs="SKJVQB+å®ä½"/>
          <w:color w:val="000000"/>
          <w:spacing w:val="0"/>
          <w:sz w:val="21"/>
        </w:rPr>
        <w:t>号</w:t>
      </w:r>
    </w:p>
    <w:p>
      <w:pPr>
        <w:framePr w:w="421" w:wrap="around" w:vAnchor="margin" w:hAnchor="text" w:x="3058"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w:t>
      </w:r>
    </w:p>
    <w:p>
      <w:pPr>
        <w:framePr w:w="2418"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广发银行股份有限公司</w:t>
      </w:r>
    </w:p>
    <w:p>
      <w:pPr>
        <w:framePr w:w="1998"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法定代表人：王滨</w:t>
      </w:r>
    </w:p>
    <w:p>
      <w:pPr>
        <w:framePr w:w="2990" w:wrap="around" w:vAnchor="margin" w:hAnchor="text" w:x="7482" w:y="773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0571-96000888</w:t>
      </w:r>
      <w:r>
        <w:rPr>
          <w:rFonts w:ascii="SKJVQB+å®ä½" w:hAnsi="SKJVQB+å®ä½" w:cs="SKJVQB+å®ä½"/>
          <w:color w:val="000000"/>
          <w:spacing w:val="0"/>
          <w:sz w:val="21"/>
        </w:rPr>
        <w:t>，</w:t>
      </w:r>
    </w:p>
    <w:p>
      <w:pPr>
        <w:framePr w:w="2990" w:wrap="around" w:vAnchor="margin" w:hAnchor="text" w:x="7482" w:y="773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020-38322222</w:t>
      </w:r>
    </w:p>
    <w:p>
      <w:pPr>
        <w:framePr w:w="3020"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400-830-8003</w:t>
      </w:r>
    </w:p>
    <w:p>
      <w:pPr>
        <w:framePr w:w="3020"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www.cgbchina.com.cn</w:t>
      </w:r>
    </w:p>
    <w:p>
      <w:pPr>
        <w:framePr w:w="3020" w:wrap="around" w:vAnchor="margin" w:hAnchor="text" w:x="7482" w:y="836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注册地址：北京市西城区复兴</w:t>
      </w:r>
    </w:p>
    <w:p>
      <w:pPr>
        <w:framePr w:w="3020"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2</w:t>
      </w:r>
      <w:r>
        <w:rPr>
          <w:rFonts w:ascii="SKJVQB+å®ä½" w:hAnsi="SKJVQB+å®ä½" w:cs="SKJVQB+å®ä½"/>
          <w:color w:val="000000"/>
          <w:spacing w:val="0"/>
          <w:sz w:val="21"/>
        </w:rPr>
        <w:t>号</w:t>
      </w:r>
    </w:p>
    <w:p>
      <w:pPr>
        <w:framePr w:w="421" w:wrap="around" w:vAnchor="margin" w:hAnchor="text" w:x="3058" w:y="89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w:t>
      </w:r>
    </w:p>
    <w:p>
      <w:pPr>
        <w:framePr w:w="2901" w:wrap="around" w:vAnchor="margin" w:hAnchor="text" w:x="4640"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中国民生银行股份有限公司</w:t>
      </w:r>
    </w:p>
    <w:p>
      <w:pPr>
        <w:framePr w:w="3020"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办公地址：北京市西城区复兴</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门内大街 </w:t>
      </w:r>
      <w:r>
        <w:rPr>
          <w:rFonts w:ascii="Times New Roman"/>
          <w:color w:val="000000"/>
          <w:spacing w:val="0"/>
          <w:sz w:val="21"/>
        </w:rPr>
        <w:t>2</w:t>
      </w:r>
      <w:r>
        <w:rPr>
          <w:rFonts w:ascii="SKJVQB+å®ä½" w:hAnsi="SKJVQB+å®ä½" w:cs="SKJVQB+å®ä½"/>
          <w:color w:val="000000"/>
          <w:spacing w:val="0"/>
          <w:sz w:val="21"/>
        </w:rPr>
        <w:t>号</w:t>
      </w:r>
    </w:p>
    <w:p>
      <w:pPr>
        <w:framePr w:w="1998" w:wrap="around" w:vAnchor="margin" w:hAnchor="text" w:x="7482"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法定代表人：洪崎</w:t>
      </w:r>
    </w:p>
    <w:p>
      <w:pPr>
        <w:framePr w:w="1578"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联系人：穆婷</w:t>
      </w:r>
    </w:p>
    <w:p>
      <w:pPr>
        <w:framePr w:w="2178" w:wrap="around" w:vAnchor="margin" w:hAnchor="text" w:x="7482" w:y="108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010-58560666</w:t>
      </w:r>
    </w:p>
    <w:p>
      <w:pPr>
        <w:framePr w:w="2178"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010-57092611</w:t>
      </w:r>
    </w:p>
    <w:p>
      <w:pPr>
        <w:framePr w:w="2178"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95568</w:t>
      </w:r>
    </w:p>
    <w:p>
      <w:pPr>
        <w:framePr w:w="2960" w:wrap="around" w:vAnchor="margin" w:hAnchor="text" w:x="7482" w:y="1180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www.cmbc.com.cn</w:t>
      </w:r>
    </w:p>
    <w:p>
      <w:pPr>
        <w:framePr w:w="2960" w:wrap="around" w:vAnchor="margin" w:hAnchor="text" w:x="7482" w:y="11807"/>
        <w:widowControl w:val="0"/>
        <w:autoSpaceDE w:val="0"/>
        <w:autoSpaceDN w:val="0"/>
        <w:spacing w:before="0" w:after="0" w:line="322" w:lineRule="exact"/>
        <w:ind w:left="0" w:right="0"/>
        <w:jc w:val="left"/>
        <w:rPr>
          <w:rFonts w:ascii="Times New Roman"/>
          <w:color w:val="000000"/>
          <w:spacing w:val="0"/>
          <w:sz w:val="21"/>
        </w:rPr>
      </w:pPr>
      <w:r>
        <w:rPr>
          <w:rFonts w:ascii="SKJVQB+å®ä½" w:hAnsi="SKJVQB+å®ä½" w:cs="SKJVQB+å®ä½"/>
          <w:color w:val="000000"/>
          <w:spacing w:val="0"/>
          <w:sz w:val="21"/>
        </w:rPr>
        <w:t xml:space="preserve">地址：深圳市深南东路 </w:t>
      </w:r>
      <w:r>
        <w:rPr>
          <w:rFonts w:ascii="Times New Roman"/>
          <w:color w:val="000000"/>
          <w:spacing w:val="0"/>
          <w:sz w:val="21"/>
        </w:rPr>
        <w:t xml:space="preserve"> 5047</w:t>
      </w:r>
    </w:p>
    <w:p>
      <w:pPr>
        <w:framePr w:w="296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526" w:wrap="around" w:vAnchor="margin" w:hAnchor="text" w:x="3005" w:y="1212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w:t>
      </w:r>
    </w:p>
    <w:p>
      <w:pPr>
        <w:framePr w:w="2418" w:wrap="around" w:vAnchor="margin" w:hAnchor="text" w:x="4640"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平安银行股份有限公司</w:t>
      </w:r>
    </w:p>
    <w:p>
      <w:pPr>
        <w:framePr w:w="2209" w:wrap="around" w:vAnchor="margin" w:hAnchor="text" w:x="7482"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法定代表人：谢永林</w:t>
      </w:r>
    </w:p>
    <w:p>
      <w:pPr>
        <w:framePr w:w="2209" w:wrap="around" w:vAnchor="margin" w:hAnchor="text" w:x="7482" w:y="1276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联系人：施艺帆</w:t>
      </w:r>
    </w:p>
    <w:p>
      <w:pPr>
        <w:framePr w:w="3020" w:wrap="around" w:vAnchor="margin" w:hAnchor="text" w:x="7482" w:y="1337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021-50979384</w:t>
      </w:r>
    </w:p>
    <w:p>
      <w:pPr>
        <w:framePr w:w="3020" w:wrap="around" w:vAnchor="margin" w:hAnchor="text" w:x="7482" w:y="1337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95511-3</w:t>
      </w:r>
    </w:p>
    <w:p>
      <w:pPr>
        <w:framePr w:w="3020" w:wrap="around" w:vAnchor="margin" w:hAnchor="text" w:x="7482" w:y="1337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:bank.pingan.com</w:t>
      </w:r>
    </w:p>
    <w:p>
      <w:pPr>
        <w:framePr w:w="3020" w:wrap="around" w:vAnchor="margin" w:hAnchor="text" w:x="7482" w:y="1337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注册地址：天津市河东区海河</w:t>
      </w:r>
    </w:p>
    <w:p>
      <w:pPr>
        <w:framePr w:w="3020" w:wrap="around" w:vAnchor="margin" w:hAnchor="text" w:x="7482" w:y="1337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218</w:t>
      </w:r>
      <w:r>
        <w:rPr>
          <w:rFonts w:ascii="SKJVQB+å®ä½" w:hAnsi="SKJVQB+å®ä½" w:cs="SKJVQB+å®ä½"/>
          <w:color w:val="000000"/>
          <w:spacing w:val="0"/>
          <w:sz w:val="21"/>
        </w:rPr>
        <w:t>号</w:t>
      </w:r>
    </w:p>
    <w:p>
      <w:pPr>
        <w:framePr w:w="519" w:wrap="around" w:vAnchor="margin" w:hAnchor="text" w:x="3010" w:y="1432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w:t>
      </w:r>
    </w:p>
    <w:p>
      <w:pPr>
        <w:framePr w:w="2418" w:wrap="around" w:vAnchor="margin" w:hAnchor="text" w:x="4640" w:y="1433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渤海银行股份有限公司</w:t>
      </w:r>
    </w:p>
    <w:p>
      <w:pPr>
        <w:framePr w:w="3020" w:wrap="around" w:vAnchor="margin" w:hAnchor="text" w:x="7482" w:y="1495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办公地址：天津市河东区海河</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69</w:t>
      </w:r>
    </w:p>
    <w:p>
      <w:pPr>
        <w:spacing w:before="0" w:after="0" w:line="0" w:lineRule="exact"/>
        <w:ind w:left="0" w:right="0"/>
        <w:jc w:val="left"/>
        <w:rPr>
          <w:rFonts w:ascii="Arial"/>
          <w:color w:val="FF0000"/>
          <w:spacing w:val="0"/>
          <w:sz w:val="2"/>
        </w:rPr>
      </w:pPr>
      <w:r>
        <w:pict>
          <v:shape id="_x0000144" o:spid="_x0000_s117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26" o:title=""/>
            <o:lock v:ext="edit" aspectratio="t"/>
          </v:shape>
        </w:pict>
      </w:r>
      <w:r>
        <w:pict>
          <v:shape id="_x0000145" o:spid="_x0000_s1171"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12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369"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218</w:t>
      </w:r>
      <w:r>
        <w:rPr>
          <w:rFonts w:ascii="SKJVQB+å®ä½" w:hAnsi="SKJVQB+å®ä½" w:cs="SKJVQB+å®ä½"/>
          <w:color w:val="000000"/>
          <w:spacing w:val="0"/>
          <w:sz w:val="21"/>
        </w:rPr>
        <w:t>号</w:t>
      </w:r>
    </w:p>
    <w:p>
      <w:pPr>
        <w:framePr w:w="2209"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法定代表人：李伏安</w:t>
      </w:r>
    </w:p>
    <w:p>
      <w:pPr>
        <w:framePr w:w="2209"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联系人：王宏</w:t>
      </w:r>
    </w:p>
    <w:p>
      <w:pPr>
        <w:framePr w:w="2529" w:wrap="around" w:vAnchor="margin" w:hAnchor="text" w:x="7482" w:y="241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022-58316666</w:t>
      </w:r>
    </w:p>
    <w:p>
      <w:pPr>
        <w:framePr w:w="2529"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022-58316569</w:t>
      </w:r>
    </w:p>
    <w:p>
      <w:pPr>
        <w:framePr w:w="2529"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95541</w:t>
      </w:r>
    </w:p>
    <w:p>
      <w:pPr>
        <w:framePr w:w="2529"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www.cbhb.com.cn</w:t>
      </w:r>
    </w:p>
    <w:p>
      <w:pPr>
        <w:framePr w:w="526" w:wrap="around" w:vAnchor="margin" w:hAnchor="text" w:x="3005"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w:t>
      </w:r>
    </w:p>
    <w:p>
      <w:pPr>
        <w:framePr w:w="526" w:wrap="around" w:vAnchor="margin" w:hAnchor="text" w:x="3005" w:y="3670"/>
        <w:widowControl w:val="0"/>
        <w:autoSpaceDE w:val="0"/>
        <w:autoSpaceDN w:val="0"/>
        <w:spacing w:before="0" w:after="0" w:line="2818" w:lineRule="exact"/>
        <w:ind w:left="0" w:right="0"/>
        <w:jc w:val="left"/>
        <w:rPr>
          <w:rFonts w:ascii="Times New Roman"/>
          <w:color w:val="000000"/>
          <w:spacing w:val="0"/>
          <w:sz w:val="21"/>
        </w:rPr>
      </w:pPr>
      <w:r>
        <w:rPr>
          <w:rFonts w:ascii="Times New Roman"/>
          <w:color w:val="000000"/>
          <w:spacing w:val="0"/>
          <w:sz w:val="21"/>
        </w:rPr>
        <w:t>13</w:t>
      </w:r>
    </w:p>
    <w:p>
      <w:pPr>
        <w:framePr w:w="526" w:wrap="around" w:vAnchor="margin" w:hAnchor="text" w:x="3005" w:y="3670"/>
        <w:widowControl w:val="0"/>
        <w:autoSpaceDE w:val="0"/>
        <w:autoSpaceDN w:val="0"/>
        <w:spacing w:before="0" w:after="0" w:line="2820" w:lineRule="exact"/>
        <w:ind w:left="0" w:right="0"/>
        <w:jc w:val="left"/>
        <w:rPr>
          <w:rFonts w:ascii="Times New Roman"/>
          <w:color w:val="000000"/>
          <w:spacing w:val="0"/>
          <w:sz w:val="21"/>
        </w:rPr>
      </w:pPr>
      <w:r>
        <w:rPr>
          <w:rFonts w:ascii="Times New Roman"/>
          <w:color w:val="000000"/>
          <w:spacing w:val="0"/>
          <w:sz w:val="21"/>
        </w:rPr>
        <w:t>14</w:t>
      </w:r>
    </w:p>
    <w:p>
      <w:pPr>
        <w:framePr w:w="2418"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杭州银行股份有限公司</w:t>
      </w:r>
    </w:p>
    <w:p>
      <w:pPr>
        <w:framePr w:w="2418" w:wrap="around" w:vAnchor="margin" w:hAnchor="text" w:x="4640" w:y="3679"/>
        <w:widowControl w:val="0"/>
        <w:autoSpaceDE w:val="0"/>
        <w:autoSpaceDN w:val="0"/>
        <w:spacing w:before="0" w:after="0" w:line="281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上海银行股份有限公司</w:t>
      </w:r>
    </w:p>
    <w:p>
      <w:pPr>
        <w:framePr w:w="2418" w:wrap="around" w:vAnchor="margin" w:hAnchor="text" w:x="4640" w:y="3679"/>
        <w:widowControl w:val="0"/>
        <w:autoSpaceDE w:val="0"/>
        <w:autoSpaceDN w:val="0"/>
        <w:spacing w:before="0" w:after="0" w:line="2820"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北京银行股份有限公司</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注册地址：杭州市下城区庆春</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46</w:t>
      </w:r>
      <w:r>
        <w:rPr>
          <w:rFonts w:ascii="SKJVQB+å®ä½" w:hAnsi="SKJVQB+å®ä½" w:cs="SKJVQB+å®ä½"/>
          <w:color w:val="000000"/>
          <w:spacing w:val="0"/>
          <w:sz w:val="21"/>
        </w:rPr>
        <w:t>号杭州银行大厦</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办公地址：杭州市下城区庆春</w:t>
      </w:r>
    </w:p>
    <w:p>
      <w:pPr>
        <w:framePr w:w="3020" w:wrap="around" w:vAnchor="margin" w:hAnchor="text" w:x="7482" w:y="3679"/>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46</w:t>
      </w:r>
      <w:r>
        <w:rPr>
          <w:rFonts w:ascii="SKJVQB+å®ä½" w:hAnsi="SKJVQB+å®ä½" w:cs="SKJVQB+å®ä½"/>
          <w:color w:val="000000"/>
          <w:spacing w:val="0"/>
          <w:sz w:val="21"/>
        </w:rPr>
        <w:t>号杭州银行大厦</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法定代表人：陈震山</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联系人：蔡捷</w:t>
      </w:r>
    </w:p>
    <w:p>
      <w:pPr>
        <w:framePr w:w="2747"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0571-85109708</w:t>
      </w:r>
    </w:p>
    <w:p>
      <w:pPr>
        <w:framePr w:w="2747"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95398</w:t>
      </w:r>
    </w:p>
    <w:p>
      <w:pPr>
        <w:framePr w:w="3020"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www.hzbank.com.cn</w:t>
      </w:r>
    </w:p>
    <w:p>
      <w:pPr>
        <w:framePr w:w="3020" w:wrap="around" w:vAnchor="margin" w:hAnchor="text" w:x="7482" w:y="616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注册地址：上海市浦东新区银</w:t>
      </w:r>
    </w:p>
    <w:p>
      <w:pPr>
        <w:framePr w:w="3020"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framePr w:w="3020"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framePr w:w="3020"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framePr w:w="1998"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法定代表人：金煜</w:t>
      </w:r>
    </w:p>
    <w:p>
      <w:pPr>
        <w:framePr w:w="1789" w:wrap="around" w:vAnchor="margin" w:hAnchor="text" w:x="7482"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联系人：汤征程</w:t>
      </w:r>
    </w:p>
    <w:p>
      <w:pPr>
        <w:framePr w:w="2626"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021-68475521</w:t>
      </w:r>
    </w:p>
    <w:p>
      <w:pPr>
        <w:framePr w:w="2626"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95594</w:t>
      </w:r>
    </w:p>
    <w:p>
      <w:pPr>
        <w:framePr w:w="3020"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www.bosc.cn</w:t>
      </w:r>
    </w:p>
    <w:p>
      <w:pPr>
        <w:framePr w:w="3020" w:wrap="around" w:vAnchor="margin" w:hAnchor="text" w:x="7482" w:y="898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大街甲 </w:t>
      </w:r>
      <w:r>
        <w:rPr>
          <w:rFonts w:ascii="Times New Roman"/>
          <w:color w:val="000000"/>
          <w:spacing w:val="0"/>
          <w:sz w:val="21"/>
        </w:rPr>
        <w:t>17</w:t>
      </w:r>
      <w:r>
        <w:rPr>
          <w:rFonts w:ascii="SKJVQB+å®ä½" w:hAnsi="SKJVQB+å®ä½" w:cs="SKJVQB+å®ä½"/>
          <w:color w:val="000000"/>
          <w:spacing w:val="0"/>
          <w:sz w:val="21"/>
        </w:rPr>
        <w:t>号首层</w:t>
      </w:r>
    </w:p>
    <w:p>
      <w:pPr>
        <w:framePr w:w="3020"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0" w:wrap="around" w:vAnchor="margin" w:hAnchor="text" w:x="7482" w:y="994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大街丙 </w:t>
      </w:r>
      <w:r>
        <w:rPr>
          <w:rFonts w:ascii="Times New Roman"/>
          <w:color w:val="000000"/>
          <w:spacing w:val="0"/>
          <w:sz w:val="21"/>
        </w:rPr>
        <w:t>17</w:t>
      </w:r>
      <w:r>
        <w:rPr>
          <w:rFonts w:ascii="SKJVQB+å®ä½" w:hAnsi="SKJVQB+å®ä½" w:cs="SKJVQB+å®ä½"/>
          <w:color w:val="000000"/>
          <w:spacing w:val="0"/>
          <w:sz w:val="21"/>
        </w:rPr>
        <w:t>号</w:t>
      </w:r>
    </w:p>
    <w:p>
      <w:pPr>
        <w:framePr w:w="2209"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法定代表人：张东宁</w:t>
      </w:r>
    </w:p>
    <w:p>
      <w:pPr>
        <w:framePr w:w="2209" w:wrap="around" w:vAnchor="margin" w:hAnchor="text" w:x="7482"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联系人：周黎</w:t>
      </w:r>
    </w:p>
    <w:p>
      <w:pPr>
        <w:framePr w:w="2178"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010-66225309</w:t>
      </w:r>
    </w:p>
    <w:p>
      <w:pPr>
        <w:framePr w:w="2178"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95526</w:t>
      </w:r>
    </w:p>
    <w:p>
      <w:pPr>
        <w:framePr w:w="949"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211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www.bankofbeijing.com.cn</w:t>
      </w:r>
    </w:p>
    <w:p>
      <w:pPr>
        <w:framePr w:w="3020" w:wrap="around" w:vAnchor="margin" w:hAnchor="text" w:x="7482" w:y="1211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注册地址：北京市西城区月坛</w:t>
      </w:r>
    </w:p>
    <w:p>
      <w:pPr>
        <w:framePr w:w="3020" w:wrap="around" w:vAnchor="margin" w:hAnchor="text" w:x="7482" w:y="121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号楼</w:t>
      </w:r>
    </w:p>
    <w:p>
      <w:pPr>
        <w:framePr w:w="526" w:wrap="around" w:vAnchor="margin" w:hAnchor="text" w:x="3005" w:y="124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15</w:t>
      </w:r>
    </w:p>
    <w:p>
      <w:pPr>
        <w:framePr w:w="2901" w:wrap="around" w:vAnchor="margin" w:hAnchor="text" w:x="4640"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北京农村商业银行股份有限</w:t>
      </w:r>
    </w:p>
    <w:p>
      <w:pPr>
        <w:framePr w:w="2901" w:wrap="around" w:vAnchor="margin" w:hAnchor="text" w:x="4640" w:y="124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30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办公地址：北京市西城区月坛</w:t>
      </w:r>
    </w:p>
    <w:p>
      <w:pPr>
        <w:framePr w:w="3020"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号楼</w:t>
      </w:r>
    </w:p>
    <w:p>
      <w:pPr>
        <w:framePr w:w="2209"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法定代表人：王金山</w:t>
      </w:r>
    </w:p>
    <w:p>
      <w:pPr>
        <w:framePr w:w="2209"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联系人：鲁娟</w:t>
      </w:r>
    </w:p>
    <w:p>
      <w:pPr>
        <w:framePr w:w="2995" w:wrap="around" w:vAnchor="margin" w:hAnchor="text" w:x="7482" w:y="1431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010-89198762</w:t>
      </w:r>
    </w:p>
    <w:p>
      <w:pPr>
        <w:framePr w:w="2995" w:wrap="around" w:vAnchor="margin" w:hAnchor="text" w:x="7482" w:y="1431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96198</w:t>
      </w:r>
      <w:r>
        <w:rPr>
          <w:rFonts w:ascii="SKJVQB+å®ä½" w:hAnsi="SKJVQB+å®ä½" w:cs="SKJVQB+å®ä½"/>
          <w:color w:val="000000"/>
          <w:spacing w:val="0"/>
          <w:sz w:val="21"/>
        </w:rPr>
        <w:t>；</w:t>
      </w:r>
    </w:p>
    <w:p>
      <w:pPr>
        <w:framePr w:w="2995"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400-88-96198</w:t>
      </w:r>
      <w:r>
        <w:rPr>
          <w:rFonts w:ascii="SKJVQB+å®ä½" w:hAnsi="SKJVQB+å®ä½" w:cs="SKJVQB+å®ä½"/>
          <w:color w:val="000000"/>
          <w:spacing w:val="0"/>
          <w:sz w:val="21"/>
        </w:rPr>
        <w:t>；</w:t>
      </w:r>
      <w:r>
        <w:rPr>
          <w:rFonts w:ascii="Times New Roman"/>
          <w:color w:val="000000"/>
          <w:spacing w:val="0"/>
          <w:sz w:val="21"/>
        </w:rPr>
        <w:t>400-66-96198</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70</w:t>
      </w:r>
    </w:p>
    <w:p>
      <w:pPr>
        <w:spacing w:before="0" w:after="0" w:line="0" w:lineRule="exact"/>
        <w:ind w:left="0" w:right="0"/>
        <w:jc w:val="left"/>
        <w:rPr>
          <w:rFonts w:ascii="Arial"/>
          <w:color w:val="FF0000"/>
          <w:spacing w:val="0"/>
          <w:sz w:val="2"/>
        </w:rPr>
      </w:pPr>
      <w:r>
        <w:pict>
          <v:shape id="_x0000146" o:spid="_x0000_s117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28" o:title=""/>
            <o:lock v:ext="edit" aspectratio="t"/>
          </v:shape>
        </w:pict>
      </w:r>
      <w:r>
        <w:pict>
          <v:shape id="_x0000147" o:spid="_x0000_s1173"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2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90"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www.bjrcb.com</w:t>
      </w:r>
    </w:p>
    <w:p>
      <w:pPr>
        <w:framePr w:w="526" w:wrap="around" w:vAnchor="margin" w:hAnchor="text" w:x="3005"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16</w:t>
      </w:r>
    </w:p>
    <w:p>
      <w:pPr>
        <w:framePr w:w="2418"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烟台银行股份有限公司</w:t>
      </w:r>
    </w:p>
    <w:p>
      <w:pPr>
        <w:framePr w:w="3020"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注册地址：山东省烟台市芝罘</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区海港路 </w:t>
      </w:r>
      <w:r>
        <w:rPr>
          <w:rFonts w:ascii="Times New Roman"/>
          <w:color w:val="000000"/>
          <w:spacing w:val="0"/>
          <w:sz w:val="21"/>
        </w:rPr>
        <w:t>25</w:t>
      </w:r>
      <w:r>
        <w:rPr>
          <w:rFonts w:ascii="SKJVQB+å®ä½" w:hAnsi="SKJVQB+å®ä½" w:cs="SKJVQB+å®ä½"/>
          <w:color w:val="000000"/>
          <w:spacing w:val="0"/>
          <w:sz w:val="21"/>
        </w:rPr>
        <w:t>号</w:t>
      </w:r>
    </w:p>
    <w:p>
      <w:pPr>
        <w:framePr w:w="3020"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办公地址：山东省烟台市芝罘</w:t>
      </w:r>
    </w:p>
    <w:p>
      <w:pPr>
        <w:framePr w:w="3020"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区海港路 </w:t>
      </w:r>
      <w:r>
        <w:rPr>
          <w:rFonts w:ascii="Times New Roman"/>
          <w:color w:val="000000"/>
          <w:spacing w:val="0"/>
          <w:sz w:val="21"/>
        </w:rPr>
        <w:t>25</w:t>
      </w:r>
      <w:r>
        <w:rPr>
          <w:rFonts w:ascii="SKJVQB+å®ä½" w:hAnsi="SKJVQB+å®ä½" w:cs="SKJVQB+å®ä½"/>
          <w:color w:val="000000"/>
          <w:spacing w:val="0"/>
          <w:sz w:val="21"/>
        </w:rPr>
        <w:t>号</w:t>
      </w:r>
    </w:p>
    <w:p>
      <w:pPr>
        <w:framePr w:w="2209"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法定代表人：吴明理</w:t>
      </w:r>
    </w:p>
    <w:p>
      <w:pPr>
        <w:framePr w:w="2209"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联系人：王淑华</w:t>
      </w:r>
    </w:p>
    <w:p>
      <w:pPr>
        <w:framePr w:w="3020" w:wrap="around" w:vAnchor="margin" w:hAnchor="text" w:x="7482" w:y="367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0535-6699660</w:t>
      </w:r>
    </w:p>
    <w:p>
      <w:pPr>
        <w:framePr w:w="3020"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0535-6699884</w:t>
      </w:r>
    </w:p>
    <w:p>
      <w:pPr>
        <w:framePr w:w="3020"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4008-311-777</w:t>
      </w:r>
    </w:p>
    <w:p>
      <w:pPr>
        <w:framePr w:w="3020" w:wrap="around" w:vAnchor="margin" w:hAnchor="text" w:x="7482" w:y="3672"/>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www.yantaibank.net</w:t>
      </w:r>
    </w:p>
    <w:p>
      <w:pPr>
        <w:framePr w:w="3020" w:wrap="around" w:vAnchor="margin" w:hAnchor="text" w:x="7482" w:y="3672"/>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注册地址：上海市浦东新区银</w:t>
      </w:r>
    </w:p>
    <w:p>
      <w:pPr>
        <w:framePr w:w="3020" w:wrap="around" w:vAnchor="margin" w:hAnchor="text" w:x="7482" w:y="36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8</w:t>
      </w:r>
      <w:r>
        <w:rPr>
          <w:rFonts w:ascii="SKJVQB+å®ä½" w:hAnsi="SKJVQB+å®ä½" w:cs="SKJVQB+å®ä½"/>
          <w:color w:val="000000"/>
          <w:spacing w:val="0"/>
          <w:sz w:val="21"/>
        </w:rPr>
        <w:t>号</w:t>
      </w:r>
    </w:p>
    <w:p>
      <w:pPr>
        <w:framePr w:w="526" w:wrap="around" w:vAnchor="margin" w:hAnchor="text" w:x="3005" w:y="492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17</w:t>
      </w:r>
    </w:p>
    <w:p>
      <w:pPr>
        <w:framePr w:w="2901" w:wrap="around" w:vAnchor="margin" w:hAnchor="text" w:x="4640" w:y="493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上海农村商业银行股份有限</w:t>
      </w:r>
    </w:p>
    <w:p>
      <w:pPr>
        <w:framePr w:w="2901" w:wrap="around" w:vAnchor="margin" w:hAnchor="text" w:x="4640" w:y="493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办公地址：上海市黄浦区中山</w:t>
      </w:r>
    </w:p>
    <w:p>
      <w:pPr>
        <w:framePr w:w="3020"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东二路 </w:t>
      </w:r>
      <w:r>
        <w:rPr>
          <w:rFonts w:ascii="Times New Roman"/>
          <w:color w:val="000000"/>
          <w:spacing w:val="0"/>
          <w:sz w:val="21"/>
        </w:rPr>
        <w:t>70</w:t>
      </w:r>
      <w:r>
        <w:rPr>
          <w:rFonts w:ascii="SKJVQB+å®ä½" w:hAnsi="SKJVQB+å®ä½" w:cs="SKJVQB+å®ä½"/>
          <w:color w:val="000000"/>
          <w:spacing w:val="0"/>
          <w:sz w:val="21"/>
        </w:rPr>
        <w:t>号</w:t>
      </w:r>
    </w:p>
    <w:p>
      <w:pPr>
        <w:framePr w:w="2209" w:wrap="around" w:vAnchor="margin" w:hAnchor="text" w:x="7482"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法定代表人：冀光恒</w:t>
      </w:r>
    </w:p>
    <w:p>
      <w:pPr>
        <w:framePr w:w="2209"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联系人：陈玲</w:t>
      </w:r>
    </w:p>
    <w:p>
      <w:pPr>
        <w:framePr w:w="2626" w:wrap="around" w:vAnchor="margin" w:hAnchor="text" w:x="7482" w:y="680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021-38576830</w:t>
      </w:r>
    </w:p>
    <w:p>
      <w:pPr>
        <w:framePr w:w="2626" w:wrap="around" w:vAnchor="margin" w:hAnchor="text" w:x="7482" w:y="68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021-962999</w:t>
      </w:r>
      <w:r>
        <w:rPr>
          <w:rFonts w:ascii="SKJVQB+å®ä½" w:hAnsi="SKJVQB+å®ä½" w:cs="SKJVQB+å®ä½"/>
          <w:color w:val="000000"/>
          <w:spacing w:val="0"/>
          <w:sz w:val="21"/>
        </w:rPr>
        <w:t>、</w:t>
      </w:r>
    </w:p>
    <w:p>
      <w:pPr>
        <w:framePr w:w="2626" w:wrap="around" w:vAnchor="margin" w:hAnchor="text" w:x="7482" w:y="6802"/>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4006962999</w:t>
      </w:r>
    </w:p>
    <w:p>
      <w:pPr>
        <w:framePr w:w="2960"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www.srcb.com</w:t>
      </w:r>
    </w:p>
    <w:p>
      <w:pPr>
        <w:framePr w:w="2960" w:wrap="around" w:vAnchor="margin" w:hAnchor="text" w:x="7482" w:y="7739"/>
        <w:widowControl w:val="0"/>
        <w:autoSpaceDE w:val="0"/>
        <w:autoSpaceDN w:val="0"/>
        <w:spacing w:before="0" w:after="0" w:line="324"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注册地址：南京市中华路 </w:t>
      </w:r>
      <w:r>
        <w:rPr>
          <w:rFonts w:ascii="Times New Roman"/>
          <w:color w:val="000000"/>
          <w:spacing w:val="0"/>
          <w:sz w:val="21"/>
        </w:rPr>
        <w:t xml:space="preserve"> 26</w:t>
      </w:r>
    </w:p>
    <w:p>
      <w:pPr>
        <w:framePr w:w="2960"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526" w:wrap="around" w:vAnchor="margin" w:hAnchor="text" w:x="3005" w:y="806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18</w:t>
      </w:r>
    </w:p>
    <w:p>
      <w:pPr>
        <w:framePr w:w="2418" w:wrap="around" w:vAnchor="margin" w:hAnchor="text" w:x="4640" w:y="80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江苏银行股份有限公司</w:t>
      </w:r>
    </w:p>
    <w:p>
      <w:pPr>
        <w:framePr w:w="2960" w:wrap="around" w:vAnchor="margin" w:hAnchor="text" w:x="7482" w:y="86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办公地址：南京市中华路 </w:t>
      </w:r>
      <w:r>
        <w:rPr>
          <w:rFonts w:ascii="Times New Roman"/>
          <w:color w:val="000000"/>
          <w:spacing w:val="0"/>
          <w:sz w:val="21"/>
        </w:rPr>
        <w:t xml:space="preserve"> 26</w:t>
      </w:r>
    </w:p>
    <w:p>
      <w:pPr>
        <w:framePr w:w="2960" w:wrap="around" w:vAnchor="margin" w:hAnchor="text" w:x="7482" w:y="86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1998" w:wrap="around" w:vAnchor="margin" w:hAnchor="text" w:x="7482"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法定代表人：夏平</w:t>
      </w:r>
    </w:p>
    <w:p>
      <w:pPr>
        <w:framePr w:w="1789"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联系人：张洪玮</w:t>
      </w:r>
    </w:p>
    <w:p>
      <w:pPr>
        <w:framePr w:w="2178" w:wrap="around" w:vAnchor="margin" w:hAnchor="text" w:x="7482" w:y="99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025-58587036</w:t>
      </w:r>
    </w:p>
    <w:p>
      <w:pPr>
        <w:framePr w:w="2178" w:wrap="around" w:vAnchor="margin" w:hAnchor="text" w:x="7482" w:y="99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95319</w:t>
      </w:r>
    </w:p>
    <w:p>
      <w:pPr>
        <w:framePr w:w="3020" w:wrap="around" w:vAnchor="margin" w:hAnchor="text" w:x="7482" w:y="1055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www.jsbchina.cn</w:t>
      </w:r>
    </w:p>
    <w:p>
      <w:pPr>
        <w:framePr w:w="3020" w:wrap="around" w:vAnchor="margin" w:hAnchor="text" w:x="7482" w:y="1055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注册地址：山东省青岛市市南</w:t>
      </w:r>
    </w:p>
    <w:p>
      <w:pPr>
        <w:framePr w:w="3020" w:wrap="around" w:vAnchor="margin" w:hAnchor="text" w:x="7482" w:y="105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区香港中路 </w:t>
      </w:r>
      <w:r>
        <w:rPr>
          <w:rFonts w:ascii="Times New Roman"/>
          <w:color w:val="000000"/>
          <w:spacing w:val="0"/>
          <w:sz w:val="21"/>
        </w:rPr>
        <w:t>68</w:t>
      </w:r>
      <w:r>
        <w:rPr>
          <w:rFonts w:ascii="SKJVQB+å®ä½" w:hAnsi="SKJVQB+å®ä½" w:cs="SKJVQB+å®ä½"/>
          <w:color w:val="000000"/>
          <w:spacing w:val="0"/>
          <w:sz w:val="21"/>
        </w:rPr>
        <w:t>号华普大厦</w:t>
      </w:r>
    </w:p>
    <w:p>
      <w:pPr>
        <w:framePr w:w="3020" w:wrap="around" w:vAnchor="margin" w:hAnchor="text" w:x="7482" w:y="105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办公地址：山东省青岛市崂山</w:t>
      </w:r>
    </w:p>
    <w:p>
      <w:pPr>
        <w:framePr w:w="3020" w:wrap="around" w:vAnchor="margin" w:hAnchor="text" w:x="7482" w:y="105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区秦岭路 </w:t>
      </w:r>
      <w:r>
        <w:rPr>
          <w:rFonts w:ascii="Times New Roman"/>
          <w:color w:val="000000"/>
          <w:spacing w:val="0"/>
          <w:sz w:val="21"/>
        </w:rPr>
        <w:t>6</w:t>
      </w:r>
      <w:r>
        <w:rPr>
          <w:rFonts w:ascii="SKJVQB+å®ä½" w:hAnsi="SKJVQB+å®ä½" w:cs="SKJVQB+å®ä½"/>
          <w:color w:val="000000"/>
          <w:spacing w:val="0"/>
          <w:sz w:val="21"/>
        </w:rPr>
        <w:t>号</w:t>
      </w:r>
    </w:p>
    <w:p>
      <w:pPr>
        <w:framePr w:w="526" w:wrap="around" w:vAnchor="margin" w:hAnchor="text" w:x="3005" w:y="1087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19</w:t>
      </w:r>
    </w:p>
    <w:p>
      <w:pPr>
        <w:framePr w:w="2418" w:wrap="around" w:vAnchor="margin" w:hAnchor="text" w:x="4640" w:y="1088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青岛银行股份有限公司</w:t>
      </w:r>
    </w:p>
    <w:p>
      <w:pPr>
        <w:framePr w:w="2209" w:wrap="around" w:vAnchor="margin" w:hAnchor="text" w:x="7482"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法定代表人：郭少泉</w:t>
      </w:r>
    </w:p>
    <w:p>
      <w:pPr>
        <w:framePr w:w="2209" w:wrap="around" w:vAnchor="margin" w:hAnchor="text" w:x="7482" w:y="1213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联系人：徐伟静</w:t>
      </w:r>
    </w:p>
    <w:p>
      <w:pPr>
        <w:framePr w:w="3100" w:wrap="around" w:vAnchor="margin" w:hAnchor="text" w:x="7482" w:y="1275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0532-68629925</w:t>
      </w:r>
    </w:p>
    <w:p>
      <w:pPr>
        <w:framePr w:w="3100" w:wrap="around" w:vAnchor="margin" w:hAnchor="text" w:x="7482" w:y="127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客服电话：（青岛）</w:t>
      </w:r>
      <w:r>
        <w:rPr>
          <w:rFonts w:ascii="Times New Roman"/>
          <w:color w:val="000000"/>
          <w:spacing w:val="0"/>
          <w:sz w:val="21"/>
        </w:rPr>
        <w:t>96588</w:t>
      </w:r>
      <w:r>
        <w:rPr>
          <w:rFonts w:ascii="SKJVQB+å®ä½" w:hAnsi="SKJVQB+å®ä½" w:cs="SKJVQB+å®ä½"/>
          <w:color w:val="000000"/>
          <w:spacing w:val="0"/>
          <w:sz w:val="21"/>
        </w:rPr>
        <w:t>；（全</w:t>
      </w:r>
    </w:p>
    <w:p>
      <w:pPr>
        <w:framePr w:w="3100" w:wrap="around" w:vAnchor="margin" w:hAnchor="text" w:x="7482" w:y="1275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国）</w:t>
      </w:r>
      <w:r>
        <w:rPr>
          <w:rFonts w:ascii="Times New Roman"/>
          <w:color w:val="000000"/>
          <w:spacing w:val="0"/>
          <w:sz w:val="21"/>
        </w:rPr>
        <w:t>400-66-96588</w:t>
      </w:r>
    </w:p>
    <w:p>
      <w:pPr>
        <w:framePr w:w="3020" w:wrap="around" w:vAnchor="margin" w:hAnchor="text" w:x="7482" w:y="1368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www.qdccb.com</w:t>
      </w:r>
    </w:p>
    <w:p>
      <w:pPr>
        <w:framePr w:w="3020" w:wrap="around" w:vAnchor="margin" w:hAnchor="text" w:x="7482" w:y="1368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注册地址：浙江省宁波市鄞州</w:t>
      </w:r>
    </w:p>
    <w:p>
      <w:pPr>
        <w:framePr w:w="3020" w:wrap="around" w:vAnchor="margin" w:hAnchor="text" w:x="7482" w:y="1368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区宁南南路 </w:t>
      </w:r>
      <w:r>
        <w:rPr>
          <w:rFonts w:ascii="Times New Roman"/>
          <w:color w:val="000000"/>
          <w:spacing w:val="0"/>
          <w:sz w:val="21"/>
        </w:rPr>
        <w:t>700</w:t>
      </w:r>
      <w:r>
        <w:rPr>
          <w:rFonts w:ascii="SKJVQB+å®ä½" w:hAnsi="SKJVQB+å®ä½" w:cs="SKJVQB+å®ä½"/>
          <w:color w:val="000000"/>
          <w:spacing w:val="0"/>
          <w:sz w:val="21"/>
        </w:rPr>
        <w:t>号</w:t>
      </w:r>
    </w:p>
    <w:p>
      <w:pPr>
        <w:framePr w:w="526" w:wrap="around" w:vAnchor="margin" w:hAnchor="text" w:x="3005" w:y="1400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20</w:t>
      </w:r>
    </w:p>
    <w:p>
      <w:pPr>
        <w:framePr w:w="2418" w:wrap="around" w:vAnchor="margin" w:hAnchor="text" w:x="4640" w:y="140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宁波银行股份有限公司</w:t>
      </w:r>
    </w:p>
    <w:p>
      <w:pPr>
        <w:framePr w:w="3020" w:wrap="around" w:vAnchor="margin" w:hAnchor="text" w:x="7482" w:y="1464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办公地址：浙江省宁波市鄞州</w:t>
      </w:r>
    </w:p>
    <w:p>
      <w:pPr>
        <w:framePr w:w="3020" w:wrap="around" w:vAnchor="margin" w:hAnchor="text" w:x="7482" w:y="1464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区宁东路 </w:t>
      </w:r>
      <w:r>
        <w:rPr>
          <w:rFonts w:ascii="Times New Roman"/>
          <w:color w:val="000000"/>
          <w:spacing w:val="0"/>
          <w:sz w:val="21"/>
        </w:rPr>
        <w:t>345</w:t>
      </w:r>
      <w:r>
        <w:rPr>
          <w:rFonts w:ascii="SKJVQB+å®ä½" w:hAnsi="SKJVQB+å®ä½" w:cs="SKJVQB+å®ä½"/>
          <w:color w:val="000000"/>
          <w:spacing w:val="0"/>
          <w:sz w:val="21"/>
        </w:rPr>
        <w:t>号</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71</w:t>
      </w:r>
    </w:p>
    <w:p>
      <w:pPr>
        <w:spacing w:before="0" w:after="0" w:line="0" w:lineRule="exact"/>
        <w:ind w:left="0" w:right="0"/>
        <w:jc w:val="left"/>
        <w:rPr>
          <w:rFonts w:ascii="Arial"/>
          <w:color w:val="FF0000"/>
          <w:spacing w:val="0"/>
          <w:sz w:val="2"/>
        </w:rPr>
      </w:pPr>
      <w:r>
        <w:pict>
          <v:shape id="_x0000148" o:spid="_x0000_s1174"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0" o:title=""/>
            <o:lock v:ext="edit" aspectratio="t"/>
          </v:shape>
        </w:pict>
      </w:r>
      <w:r>
        <w:pict>
          <v:shape id="_x0000149" o:spid="_x0000_s1175"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13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0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法定代表人：陆华裕</w:t>
      </w:r>
    </w:p>
    <w:p>
      <w:pPr>
        <w:framePr w:w="2209"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联系人：胡技勋</w:t>
      </w:r>
    </w:p>
    <w:p>
      <w:pPr>
        <w:framePr w:w="2747"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0574-89068340</w:t>
      </w:r>
    </w:p>
    <w:p>
      <w:pPr>
        <w:framePr w:w="2747"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95574</w:t>
      </w:r>
    </w:p>
    <w:p>
      <w:pPr>
        <w:framePr w:w="2529"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www.nbcb.com.cn</w:t>
      </w:r>
    </w:p>
    <w:p>
      <w:pPr>
        <w:framePr w:w="526" w:wrap="around" w:vAnchor="margin" w:hAnchor="text" w:x="3005"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21</w:t>
      </w:r>
    </w:p>
    <w:p>
      <w:pPr>
        <w:framePr w:w="2901"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江苏张家港农村商业银行股</w:t>
      </w:r>
    </w:p>
    <w:p>
      <w:pPr>
        <w:framePr w:w="2901" w:wrap="around" w:vAnchor="margin" w:hAnchor="text" w:x="4640"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份有限公司</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注册地址：张家港市杨舍镇人</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民中路 </w:t>
      </w:r>
      <w:r>
        <w:rPr>
          <w:rFonts w:ascii="Times New Roman"/>
          <w:color w:val="000000"/>
          <w:spacing w:val="0"/>
          <w:sz w:val="21"/>
        </w:rPr>
        <w:t>66</w:t>
      </w:r>
      <w:r>
        <w:rPr>
          <w:rFonts w:ascii="SKJVQB+å®ä½" w:hAnsi="SKJVQB+å®ä½" w:cs="SKJVQB+å®ä½"/>
          <w:color w:val="000000"/>
          <w:spacing w:val="0"/>
          <w:sz w:val="21"/>
        </w:rPr>
        <w:t>号</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办公地址：张家港市杨舍镇人</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民中路 </w:t>
      </w:r>
      <w:r>
        <w:rPr>
          <w:rFonts w:ascii="Times New Roman"/>
          <w:color w:val="000000"/>
          <w:spacing w:val="0"/>
          <w:sz w:val="21"/>
        </w:rPr>
        <w:t>66</w:t>
      </w:r>
      <w:r>
        <w:rPr>
          <w:rFonts w:ascii="SKJVQB+å®ä½" w:hAnsi="SKJVQB+å®ä½" w:cs="SKJVQB+å®ä½"/>
          <w:color w:val="000000"/>
          <w:spacing w:val="0"/>
          <w:sz w:val="21"/>
        </w:rPr>
        <w:t>号</w:t>
      </w:r>
    </w:p>
    <w:p>
      <w:pPr>
        <w:framePr w:w="2209"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法定代表人：王自忠</w:t>
      </w:r>
    </w:p>
    <w:p>
      <w:pPr>
        <w:framePr w:w="2209"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联系人：施圆圆</w:t>
      </w:r>
    </w:p>
    <w:p>
      <w:pPr>
        <w:framePr w:w="3020"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0512-56968212</w:t>
      </w:r>
    </w:p>
    <w:p>
      <w:pPr>
        <w:framePr w:w="3020"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0512-96065</w:t>
      </w:r>
    </w:p>
    <w:p>
      <w:pPr>
        <w:framePr w:w="3020"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www.zrcbank.com</w:t>
      </w:r>
    </w:p>
    <w:p>
      <w:pPr>
        <w:framePr w:w="3020" w:wrap="around" w:vAnchor="margin" w:hAnchor="text" w:x="7482" w:y="492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注册地址：广东省深圳市罗湖</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区深南东路 </w:t>
      </w:r>
      <w:r>
        <w:rPr>
          <w:rFonts w:ascii="Times New Roman"/>
          <w:color w:val="000000"/>
          <w:spacing w:val="0"/>
          <w:sz w:val="21"/>
        </w:rPr>
        <w:t>3038</w:t>
      </w:r>
      <w:r>
        <w:rPr>
          <w:rFonts w:ascii="SKJVQB+å®ä½" w:hAnsi="SKJVQB+å®ä½" w:cs="SKJVQB+å®ä½"/>
          <w:color w:val="000000"/>
          <w:spacing w:val="0"/>
          <w:sz w:val="21"/>
        </w:rPr>
        <w:t>号合作金融</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526" w:wrap="around" w:vAnchor="margin" w:hAnchor="text" w:x="3005" w:y="586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22</w:t>
      </w:r>
    </w:p>
    <w:p>
      <w:pPr>
        <w:framePr w:w="2901" w:wrap="around" w:vAnchor="margin" w:hAnchor="text" w:x="4640"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深圳农村商业银行股份有限</w:t>
      </w:r>
    </w:p>
    <w:p>
      <w:pPr>
        <w:framePr w:w="2901" w:wrap="around" w:vAnchor="margin" w:hAnchor="text" w:x="4640" w:y="587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办公地址：广东省深圳市罗湖</w:t>
      </w:r>
    </w:p>
    <w:p>
      <w:pPr>
        <w:framePr w:w="3020" w:wrap="around" w:vAnchor="margin" w:hAnchor="text" w:x="7482" w:y="68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区深南东路 </w:t>
      </w:r>
      <w:r>
        <w:rPr>
          <w:rFonts w:ascii="Times New Roman"/>
          <w:color w:val="000000"/>
          <w:spacing w:val="0"/>
          <w:sz w:val="21"/>
        </w:rPr>
        <w:t>3038</w:t>
      </w:r>
      <w:r>
        <w:rPr>
          <w:rFonts w:ascii="SKJVQB+å®ä½" w:hAnsi="SKJVQB+å®ä½" w:cs="SKJVQB+å®ä½"/>
          <w:color w:val="000000"/>
          <w:spacing w:val="0"/>
          <w:sz w:val="21"/>
        </w:rPr>
        <w:t>号合作金融</w:t>
      </w:r>
    </w:p>
    <w:p>
      <w:pPr>
        <w:framePr w:w="3020" w:wrap="around" w:vAnchor="margin" w:hAnchor="text" w:x="7482" w:y="68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2209"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法定代表人：李光安</w:t>
      </w:r>
    </w:p>
    <w:p>
      <w:pPr>
        <w:framePr w:w="2209"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联系人：常志勇</w:t>
      </w:r>
    </w:p>
    <w:p>
      <w:pPr>
        <w:framePr w:w="3020"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w:t>
      </w:r>
      <w:r>
        <w:rPr>
          <w:rFonts w:ascii="SKJVQB+å®ä½" w:hAnsi="SKJVQB+å®ä½" w:cs="SKJVQB+å®ä½"/>
          <w:color w:val="000000"/>
          <w:spacing w:val="0"/>
          <w:sz w:val="21"/>
        </w:rPr>
        <w:t>－</w:t>
      </w:r>
      <w:r>
        <w:rPr>
          <w:rFonts w:ascii="Times New Roman"/>
          <w:color w:val="000000"/>
          <w:spacing w:val="0"/>
          <w:sz w:val="21"/>
        </w:rPr>
        <w:t>25188781</w:t>
      </w:r>
    </w:p>
    <w:p>
      <w:pPr>
        <w:framePr w:w="3020"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0755-25188785</w:t>
      </w:r>
    </w:p>
    <w:p>
      <w:pPr>
        <w:framePr w:w="3020"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4001961200</w:t>
      </w:r>
    </w:p>
    <w:p>
      <w:pPr>
        <w:framePr w:w="3020" w:wrap="around" w:vAnchor="margin" w:hAnchor="text" w:x="7482" w:y="836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www.4001961200.com</w:t>
      </w:r>
    </w:p>
    <w:p>
      <w:pPr>
        <w:framePr w:w="3020" w:wrap="around" w:vAnchor="margin" w:hAnchor="text" w:x="7482" w:y="836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注册地址：广东省东莞市东城</w:t>
      </w:r>
    </w:p>
    <w:p>
      <w:pPr>
        <w:framePr w:w="3020"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区鸿福东路 </w:t>
      </w:r>
      <w:r>
        <w:rPr>
          <w:rFonts w:ascii="Times New Roman"/>
          <w:color w:val="000000"/>
          <w:spacing w:val="0"/>
          <w:sz w:val="21"/>
        </w:rPr>
        <w:t>2</w:t>
      </w:r>
      <w:r>
        <w:rPr>
          <w:rFonts w:ascii="SKJVQB+å®ä½" w:hAnsi="SKJVQB+å®ä½" w:cs="SKJVQB+å®ä½"/>
          <w:color w:val="000000"/>
          <w:spacing w:val="0"/>
          <w:sz w:val="21"/>
        </w:rPr>
        <w:t>号</w:t>
      </w:r>
    </w:p>
    <w:p>
      <w:pPr>
        <w:framePr w:w="526" w:wrap="around" w:vAnchor="margin" w:hAnchor="text" w:x="3005" w:y="962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23</w:t>
      </w:r>
    </w:p>
    <w:p>
      <w:pPr>
        <w:framePr w:w="2901" w:wrap="around" w:vAnchor="margin" w:hAnchor="text" w:x="4640"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东莞农村商业银行股份有限</w:t>
      </w:r>
    </w:p>
    <w:p>
      <w:pPr>
        <w:framePr w:w="2901" w:wrap="around" w:vAnchor="margin" w:hAnchor="text" w:x="4640"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办公地址：东莞市东城区鸿福</w:t>
      </w:r>
    </w:p>
    <w:p>
      <w:pPr>
        <w:framePr w:w="3020" w:wrap="around" w:vAnchor="margin" w:hAnchor="text" w:x="7482" w:y="1025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2</w:t>
      </w:r>
      <w:r>
        <w:rPr>
          <w:rFonts w:ascii="SKJVQB+å®ä½" w:hAnsi="SKJVQB+å®ä½" w:cs="SKJVQB+å®ä½"/>
          <w:color w:val="000000"/>
          <w:spacing w:val="0"/>
          <w:sz w:val="21"/>
        </w:rPr>
        <w:t>号东莞农商银行大厦</w:t>
      </w:r>
    </w:p>
    <w:p>
      <w:pPr>
        <w:framePr w:w="3020" w:wrap="around" w:vAnchor="margin" w:hAnchor="text" w:x="7482" w:y="102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法定代表人：王耀球</w:t>
      </w:r>
    </w:p>
    <w:p>
      <w:pPr>
        <w:framePr w:w="3020" w:wrap="around" w:vAnchor="margin" w:hAnchor="text" w:x="7482" w:y="102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联系人：洪晓琳</w:t>
      </w:r>
    </w:p>
    <w:p>
      <w:pPr>
        <w:framePr w:w="3020" w:wrap="around" w:vAnchor="margin" w:hAnchor="text" w:x="7482" w:y="1149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0769-22866143</w:t>
      </w:r>
    </w:p>
    <w:p>
      <w:pPr>
        <w:framePr w:w="3020" w:wrap="around" w:vAnchor="margin" w:hAnchor="text" w:x="7482" w:y="1149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0769-22866282</w:t>
      </w:r>
    </w:p>
    <w:p>
      <w:pPr>
        <w:framePr w:w="3020" w:wrap="around" w:vAnchor="margin" w:hAnchor="text" w:x="7482" w:y="1149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0769-961122</w:t>
      </w:r>
    </w:p>
    <w:p>
      <w:pPr>
        <w:framePr w:w="3020" w:wrap="around" w:vAnchor="margin" w:hAnchor="text" w:x="7482" w:y="1149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www.drcbank.com</w:t>
      </w:r>
    </w:p>
    <w:p>
      <w:pPr>
        <w:framePr w:w="3020" w:wrap="around" w:vAnchor="margin" w:hAnchor="text" w:x="7482" w:y="1149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注册地址：哈尔滨市道里区尚</w:t>
      </w:r>
    </w:p>
    <w:p>
      <w:pPr>
        <w:framePr w:w="3020" w:wrap="around" w:vAnchor="margin" w:hAnchor="text" w:x="7482" w:y="1149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志大街 </w:t>
      </w:r>
      <w:r>
        <w:rPr>
          <w:rFonts w:ascii="Times New Roman"/>
          <w:color w:val="000000"/>
          <w:spacing w:val="0"/>
          <w:sz w:val="21"/>
        </w:rPr>
        <w:t>160</w:t>
      </w:r>
      <w:r>
        <w:rPr>
          <w:rFonts w:ascii="SKJVQB+å®ä½" w:hAnsi="SKJVQB+å®ä½" w:cs="SKJVQB+å®ä½"/>
          <w:color w:val="000000"/>
          <w:spacing w:val="0"/>
          <w:sz w:val="21"/>
        </w:rPr>
        <w:t>号</w:t>
      </w:r>
    </w:p>
    <w:p>
      <w:pPr>
        <w:framePr w:w="526" w:wrap="around" w:vAnchor="margin" w:hAnchor="text" w:x="3005" w:y="1275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24</w:t>
      </w:r>
    </w:p>
    <w:p>
      <w:pPr>
        <w:framePr w:w="2661" w:wrap="around" w:vAnchor="margin" w:hAnchor="text" w:x="4640"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哈尔滨银行股份有限公司</w:t>
      </w:r>
    </w:p>
    <w:p>
      <w:pPr>
        <w:framePr w:w="3020" w:wrap="around" w:vAnchor="margin" w:hAnchor="text" w:x="7482"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办公地址：哈尔滨市道里区上</w:t>
      </w:r>
    </w:p>
    <w:p>
      <w:pPr>
        <w:framePr w:w="3020" w:wrap="around" w:vAnchor="margin" w:hAnchor="text" w:x="7482" w:y="133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江街 </w:t>
      </w:r>
      <w:r>
        <w:rPr>
          <w:rFonts w:ascii="Times New Roman"/>
          <w:color w:val="000000"/>
          <w:spacing w:val="0"/>
          <w:sz w:val="21"/>
        </w:rPr>
        <w:t>888</w:t>
      </w:r>
      <w:r>
        <w:rPr>
          <w:rFonts w:ascii="SKJVQB+å®ä½" w:hAnsi="SKJVQB+å®ä½" w:cs="SKJVQB+å®ä½"/>
          <w:color w:val="000000"/>
          <w:spacing w:val="0"/>
          <w:sz w:val="21"/>
        </w:rPr>
        <w:t>号</w:t>
      </w:r>
    </w:p>
    <w:p>
      <w:pPr>
        <w:framePr w:w="2209"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法定代表人：郭志文</w:t>
      </w:r>
    </w:p>
    <w:p>
      <w:pPr>
        <w:framePr w:w="2209"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联系人：李至北</w:t>
      </w:r>
    </w:p>
    <w:p>
      <w:pPr>
        <w:framePr w:w="2284"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0451-87792450</w:t>
      </w:r>
    </w:p>
    <w:p>
      <w:pPr>
        <w:framePr w:w="2284"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0451-87792682</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72</w:t>
      </w:r>
    </w:p>
    <w:p>
      <w:pPr>
        <w:spacing w:before="0" w:after="0" w:line="0" w:lineRule="exact"/>
        <w:ind w:left="0" w:right="0"/>
        <w:jc w:val="left"/>
        <w:rPr>
          <w:rFonts w:ascii="Arial"/>
          <w:color w:val="FF0000"/>
          <w:spacing w:val="0"/>
          <w:sz w:val="2"/>
        </w:rPr>
      </w:pPr>
      <w:r>
        <w:pict>
          <v:shape id="_x0000150" o:spid="_x0000_s1176"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2" o:title=""/>
            <o:lock v:ext="edit" aspectratio="t"/>
          </v:shape>
        </w:pict>
      </w:r>
      <w:r>
        <w:pict>
          <v:shape id="_x0000151" o:spid="_x0000_s1177"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3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106"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95537</w:t>
      </w:r>
      <w:r>
        <w:rPr>
          <w:rFonts w:ascii="SKJVQB+å®ä½" w:hAnsi="SKJVQB+å®ä½" w:cs="SKJVQB+å®ä½"/>
          <w:color w:val="000000"/>
          <w:spacing w:val="0"/>
          <w:sz w:val="21"/>
        </w:rPr>
        <w:t>，</w:t>
      </w:r>
    </w:p>
    <w:p>
      <w:pPr>
        <w:framePr w:w="2106" w:wrap="around" w:vAnchor="margin" w:hAnchor="text" w:x="7482" w:y="147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400-60-95537</w:t>
      </w:r>
    </w:p>
    <w:p>
      <w:pPr>
        <w:framePr w:w="2502"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www.hrbb.com.cn</w:t>
      </w:r>
    </w:p>
    <w:p>
      <w:pPr>
        <w:framePr w:w="526" w:wrap="around" w:vAnchor="margin" w:hAnchor="text" w:x="3005" w:y="242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25</w:t>
      </w:r>
    </w:p>
    <w:p>
      <w:pPr>
        <w:framePr w:w="526" w:wrap="around" w:vAnchor="margin" w:hAnchor="text" w:x="3005" w:y="2422"/>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26</w:t>
      </w:r>
    </w:p>
    <w:p>
      <w:pPr>
        <w:framePr w:w="526" w:wrap="around" w:vAnchor="margin" w:hAnchor="text" w:x="3005" w:y="2422"/>
        <w:widowControl w:val="0"/>
        <w:autoSpaceDE w:val="0"/>
        <w:autoSpaceDN w:val="0"/>
        <w:spacing w:before="0" w:after="0" w:line="3132" w:lineRule="exact"/>
        <w:ind w:left="0" w:right="0"/>
        <w:jc w:val="left"/>
        <w:rPr>
          <w:rFonts w:ascii="Times New Roman"/>
          <w:color w:val="000000"/>
          <w:spacing w:val="0"/>
          <w:sz w:val="21"/>
        </w:rPr>
      </w:pPr>
      <w:r>
        <w:rPr>
          <w:rFonts w:ascii="Times New Roman"/>
          <w:color w:val="000000"/>
          <w:spacing w:val="0"/>
          <w:sz w:val="21"/>
        </w:rPr>
        <w:t>27</w:t>
      </w:r>
    </w:p>
    <w:p>
      <w:pPr>
        <w:framePr w:w="526" w:wrap="around" w:vAnchor="margin" w:hAnchor="text" w:x="3005" w:y="2422"/>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28</w:t>
      </w:r>
    </w:p>
    <w:p>
      <w:pPr>
        <w:framePr w:w="2901" w:wrap="around" w:vAnchor="margin" w:hAnchor="text" w:x="4640"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乌鲁木齐银行股份有限公司</w:t>
      </w:r>
    </w:p>
    <w:p>
      <w:pPr>
        <w:framePr w:w="2901" w:wrap="around" w:vAnchor="margin" w:hAnchor="text" w:x="4640" w:y="2431"/>
        <w:widowControl w:val="0"/>
        <w:autoSpaceDE w:val="0"/>
        <w:autoSpaceDN w:val="0"/>
        <w:spacing w:before="0" w:after="0" w:line="3130"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河北银行股份有限公司</w:t>
      </w:r>
    </w:p>
    <w:p>
      <w:pPr>
        <w:framePr w:w="2901" w:wrap="around" w:vAnchor="margin" w:hAnchor="text" w:x="4640" w:y="2431"/>
        <w:widowControl w:val="0"/>
        <w:autoSpaceDE w:val="0"/>
        <w:autoSpaceDN w:val="0"/>
        <w:spacing w:before="0" w:after="0" w:line="313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大连银行股份有限公司</w:t>
      </w:r>
    </w:p>
    <w:p>
      <w:pPr>
        <w:framePr w:w="2901" w:wrap="around" w:vAnchor="margin" w:hAnchor="text" w:x="4640" w:y="2431"/>
        <w:widowControl w:val="0"/>
        <w:autoSpaceDE w:val="0"/>
        <w:autoSpaceDN w:val="0"/>
        <w:spacing w:before="0" w:after="0" w:line="3130"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徽商银行股份有限公司</w:t>
      </w:r>
    </w:p>
    <w:p>
      <w:pPr>
        <w:framePr w:w="3020"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注册地址：乌鲁木齐市新华北</w:t>
      </w:r>
    </w:p>
    <w:p>
      <w:pPr>
        <w:framePr w:w="3020"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w:t>
      </w:r>
      <w:r>
        <w:rPr>
          <w:rFonts w:ascii="SKJVQB+å®ä½" w:hAnsi="SKJVQB+å®ä½" w:cs="SKJVQB+å®ä½"/>
          <w:color w:val="000000"/>
          <w:spacing w:val="0"/>
          <w:sz w:val="21"/>
        </w:rPr>
        <w:t>号</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办公地址：乌鲁木齐市新华北</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w:t>
      </w:r>
      <w:r>
        <w:rPr>
          <w:rFonts w:ascii="SKJVQB+å®ä½" w:hAnsi="SKJVQB+å®ä½" w:cs="SKJVQB+å®ä½"/>
          <w:color w:val="000000"/>
          <w:spacing w:val="0"/>
          <w:sz w:val="21"/>
        </w:rPr>
        <w:t>号</w:t>
      </w:r>
    </w:p>
    <w:p>
      <w:pPr>
        <w:framePr w:w="1998"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法定代表人：杨黎</w:t>
      </w:r>
    </w:p>
    <w:p>
      <w:pPr>
        <w:framePr w:w="1578"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联系人：余戈</w:t>
      </w:r>
    </w:p>
    <w:p>
      <w:pPr>
        <w:framePr w:w="3020"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0991-4525212</w:t>
      </w:r>
    </w:p>
    <w:p>
      <w:pPr>
        <w:framePr w:w="3020" w:wrap="around" w:vAnchor="margin" w:hAnchor="text" w:x="7482" w:y="4296"/>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0991-8824667</w:t>
      </w:r>
    </w:p>
    <w:p>
      <w:pPr>
        <w:framePr w:w="3020" w:wrap="around" w:vAnchor="margin" w:hAnchor="text" w:x="7482" w:y="42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0991-96518</w:t>
      </w:r>
    </w:p>
    <w:p>
      <w:pPr>
        <w:framePr w:w="3020" w:wrap="around" w:vAnchor="margin" w:hAnchor="text" w:x="7482" w:y="42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www.uccb.com.cn</w:t>
      </w:r>
    </w:p>
    <w:p>
      <w:pPr>
        <w:framePr w:w="3020" w:wrap="around" w:vAnchor="margin" w:hAnchor="text" w:x="7482" w:y="429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注册地址：石家庄市平安北大</w:t>
      </w:r>
    </w:p>
    <w:p>
      <w:pPr>
        <w:framePr w:w="3020"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28</w:t>
      </w:r>
      <w:r>
        <w:rPr>
          <w:rFonts w:ascii="SKJVQB+å®ä½" w:hAnsi="SKJVQB+å®ä½" w:cs="SKJVQB+å®ä½"/>
          <w:color w:val="000000"/>
          <w:spacing w:val="0"/>
          <w:sz w:val="21"/>
        </w:rPr>
        <w:t>号</w:t>
      </w:r>
    </w:p>
    <w:p>
      <w:pPr>
        <w:framePr w:w="3020" w:wrap="around" w:vAnchor="margin" w:hAnchor="text" w:x="7482"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办公地址：石家庄市平安北大</w:t>
      </w:r>
    </w:p>
    <w:p>
      <w:pPr>
        <w:framePr w:w="3020"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28</w:t>
      </w:r>
      <w:r>
        <w:rPr>
          <w:rFonts w:ascii="SKJVQB+å®ä½" w:hAnsi="SKJVQB+å®ä½" w:cs="SKJVQB+å®ä½"/>
          <w:color w:val="000000"/>
          <w:spacing w:val="0"/>
          <w:sz w:val="21"/>
        </w:rPr>
        <w:t>号</w:t>
      </w:r>
    </w:p>
    <w:p>
      <w:pPr>
        <w:framePr w:w="2209" w:wrap="around" w:vAnchor="margin" w:hAnchor="text" w:x="7482"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法定代表人：乔志强</w:t>
      </w:r>
    </w:p>
    <w:p>
      <w:pPr>
        <w:framePr w:w="2209" w:wrap="around" w:vAnchor="margin" w:hAnchor="text" w:x="7482" w:y="68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联系人：郑夏芳</w:t>
      </w:r>
    </w:p>
    <w:p>
      <w:pPr>
        <w:framePr w:w="3020"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0311-67807030</w:t>
      </w:r>
    </w:p>
    <w:p>
      <w:pPr>
        <w:framePr w:w="3020" w:wrap="around" w:vAnchor="margin" w:hAnchor="text" w:x="7482" w:y="74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0311-88627027</w:t>
      </w:r>
    </w:p>
    <w:p>
      <w:pPr>
        <w:framePr w:w="3020" w:wrap="around" w:vAnchor="margin" w:hAnchor="text" w:x="7482" w:y="74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400-612-9999</w:t>
      </w:r>
    </w:p>
    <w:p>
      <w:pPr>
        <w:framePr w:w="3020" w:wrap="around" w:vAnchor="margin" w:hAnchor="text" w:x="7482" w:y="74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www.hebbank.com</w:t>
      </w:r>
    </w:p>
    <w:p>
      <w:pPr>
        <w:framePr w:w="3020" w:wrap="around" w:vAnchor="margin" w:hAnchor="text" w:x="7482" w:y="742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注册地址：大连市中山区中山</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号天安国际大厦</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办公地址：大连市中山区中山</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号天安国际大厦</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法定代表人：陈占维</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联系人：朱珠</w:t>
      </w:r>
    </w:p>
    <w:p>
      <w:pPr>
        <w:framePr w:w="2960" w:wrap="around" w:vAnchor="margin" w:hAnchor="text" w:x="7482" w:y="1055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0411-82311131</w:t>
      </w:r>
    </w:p>
    <w:p>
      <w:pPr>
        <w:framePr w:w="2960"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0411-82311731</w:t>
      </w:r>
    </w:p>
    <w:p>
      <w:pPr>
        <w:framePr w:w="2960"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400-664-0099</w:t>
      </w:r>
    </w:p>
    <w:p>
      <w:pPr>
        <w:framePr w:w="2960"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www.bankofdl.com</w:t>
      </w:r>
    </w:p>
    <w:p>
      <w:pPr>
        <w:framePr w:w="2960" w:wrap="around" w:vAnchor="margin" w:hAnchor="text" w:x="7482" w:y="1055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注册地址：安徽合肥安庆路</w:t>
      </w:r>
    </w:p>
    <w:p>
      <w:pPr>
        <w:framePr w:w="2960" w:wrap="around" w:vAnchor="margin" w:hAnchor="text" w:x="7482" w:y="105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79</w:t>
      </w:r>
      <w:r>
        <w:rPr>
          <w:rFonts w:ascii="SKJVQB+å®ä½" w:hAnsi="SKJVQB+å®ä½" w:cs="SKJVQB+å®ä½"/>
          <w:color w:val="000000"/>
          <w:spacing w:val="0"/>
          <w:sz w:val="21"/>
        </w:rPr>
        <w:t xml:space="preserve">号天徽大厦  </w:t>
      </w:r>
      <w:r>
        <w:rPr>
          <w:rFonts w:ascii="Times New Roman"/>
          <w:color w:val="000000"/>
          <w:spacing w:val="0"/>
          <w:sz w:val="21"/>
        </w:rPr>
        <w:t>A</w:t>
      </w:r>
      <w:r>
        <w:rPr>
          <w:rFonts w:ascii="SKJVQB+å®ä½" w:hAnsi="SKJVQB+å®ä½" w:cs="SKJVQB+å®ä½"/>
          <w:color w:val="000000"/>
          <w:spacing w:val="0"/>
          <w:sz w:val="21"/>
        </w:rPr>
        <w:t>座</w:t>
      </w:r>
    </w:p>
    <w:p>
      <w:pPr>
        <w:framePr w:w="2960" w:wrap="around" w:vAnchor="margin" w:hAnchor="text" w:x="7482" w:y="1055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办公地址：合肥市安庆路 </w:t>
      </w:r>
      <w:r>
        <w:rPr>
          <w:rFonts w:ascii="Times New Roman"/>
          <w:color w:val="000000"/>
          <w:spacing w:val="0"/>
          <w:sz w:val="21"/>
        </w:rPr>
        <w:t xml:space="preserve"> 79</w:t>
      </w:r>
    </w:p>
    <w:p>
      <w:pPr>
        <w:framePr w:w="2960" w:wrap="around" w:vAnchor="margin" w:hAnchor="text" w:x="7482" w:y="105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号天徽大厦 </w:t>
      </w:r>
      <w:r>
        <w:rPr>
          <w:rFonts w:ascii="Times New Roman"/>
          <w:color w:val="000000"/>
          <w:spacing w:val="0"/>
          <w:sz w:val="21"/>
        </w:rPr>
        <w:t>A</w:t>
      </w:r>
      <w:r>
        <w:rPr>
          <w:rFonts w:ascii="SKJVQB+å®ä½" w:hAnsi="SKJVQB+å®ä½" w:cs="SKJVQB+å®ä½"/>
          <w:color w:val="000000"/>
          <w:spacing w:val="0"/>
          <w:sz w:val="21"/>
        </w:rPr>
        <w:t>座</w:t>
      </w:r>
    </w:p>
    <w:p>
      <w:pPr>
        <w:framePr w:w="2209" w:wrap="around" w:vAnchor="margin" w:hAnchor="text" w:x="7482" w:y="130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法定代表人：李宏鸣</w:t>
      </w:r>
    </w:p>
    <w:p>
      <w:pPr>
        <w:framePr w:w="2209"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联系人：叶卓伟</w:t>
      </w:r>
    </w:p>
    <w:p>
      <w:pPr>
        <w:framePr w:w="2985" w:wrap="around" w:vAnchor="margin" w:hAnchor="text" w:x="7482" w:y="1368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0551-62667635</w:t>
      </w:r>
    </w:p>
    <w:p>
      <w:pPr>
        <w:framePr w:w="2985" w:wrap="around" w:vAnchor="margin" w:hAnchor="text" w:x="7482" w:y="1368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0551-62667684</w:t>
      </w:r>
    </w:p>
    <w:p>
      <w:pPr>
        <w:framePr w:w="2985" w:wrap="around" w:vAnchor="margin" w:hAnchor="text" w:x="7482" w:y="1368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4008896588(</w:t>
      </w:r>
      <w:r>
        <w:rPr>
          <w:rFonts w:ascii="SKJVQB+å®ä½" w:hAnsi="SKJVQB+å®ä½" w:cs="SKJVQB+å®ä½"/>
          <w:color w:val="000000"/>
          <w:spacing w:val="0"/>
          <w:sz w:val="21"/>
        </w:rPr>
        <w:t>安徽</w:t>
      </w:r>
    </w:p>
    <w:p>
      <w:pPr>
        <w:framePr w:w="2985" w:wrap="around" w:vAnchor="margin" w:hAnchor="text" w:x="7482" w:y="1368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省外</w:t>
      </w:r>
      <w:r>
        <w:rPr>
          <w:rFonts w:ascii="Times New Roman"/>
          <w:color w:val="000000"/>
          <w:spacing w:val="0"/>
          <w:sz w:val="21"/>
        </w:rPr>
        <w:t>)</w:t>
      </w:r>
      <w:r>
        <w:rPr>
          <w:rFonts w:ascii="SKJVQB+å®ä½" w:hAnsi="SKJVQB+å®ä½" w:cs="SKJVQB+å®ä½"/>
          <w:color w:val="000000"/>
          <w:spacing w:val="0"/>
          <w:sz w:val="21"/>
        </w:rPr>
        <w:t>、</w:t>
      </w:r>
      <w:r>
        <w:rPr>
          <w:rFonts w:ascii="Times New Roman"/>
          <w:color w:val="000000"/>
          <w:spacing w:val="0"/>
          <w:sz w:val="21"/>
        </w:rPr>
        <w:t>96588(</w:t>
      </w:r>
      <w:r>
        <w:rPr>
          <w:rFonts w:ascii="SKJVQB+å®ä½" w:hAnsi="SKJVQB+å®ä½" w:cs="SKJVQB+å®ä½"/>
          <w:color w:val="000000"/>
          <w:spacing w:val="0"/>
          <w:sz w:val="21"/>
        </w:rPr>
        <w:t>安徽省内</w:t>
      </w:r>
      <w:r>
        <w:rPr>
          <w:rFonts w:ascii="Times New Roman"/>
          <w:color w:val="000000"/>
          <w:spacing w:val="0"/>
          <w:sz w:val="21"/>
        </w:rPr>
        <w:t>)</w:t>
      </w:r>
    </w:p>
    <w:p>
      <w:pPr>
        <w:framePr w:w="2985" w:wrap="around" w:vAnchor="margin" w:hAnchor="text" w:x="7482" w:y="1368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www.hsbank.com.cn</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73</w:t>
      </w:r>
    </w:p>
    <w:p>
      <w:pPr>
        <w:spacing w:before="0" w:after="0" w:line="0" w:lineRule="exact"/>
        <w:ind w:left="0" w:right="0"/>
        <w:jc w:val="left"/>
        <w:rPr>
          <w:rFonts w:ascii="Arial"/>
          <w:color w:val="FF0000"/>
          <w:spacing w:val="0"/>
          <w:sz w:val="2"/>
        </w:rPr>
      </w:pPr>
      <w:r>
        <w:pict>
          <v:shape id="_x0000152" o:spid="_x0000_s1178"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4" o:title=""/>
            <o:lock v:ext="edit" aspectratio="t"/>
          </v:shape>
        </w:pict>
      </w:r>
      <w:r>
        <w:pict>
          <v:shape id="_x0000153" o:spid="_x0000_s1179"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3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26" w:wrap="around" w:vAnchor="margin" w:hAnchor="text" w:x="3005"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29</w:t>
      </w:r>
    </w:p>
    <w:p>
      <w:pPr>
        <w:framePr w:w="2901" w:wrap="around" w:vAnchor="margin" w:hAnchor="text" w:x="4640"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广东顺德农村商业银行股份</w:t>
      </w:r>
    </w:p>
    <w:p>
      <w:pPr>
        <w:framePr w:w="2901" w:wrap="around" w:vAnchor="margin" w:hAnchor="text" w:x="4640"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注册地址：佛山市顺德区大良</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德和居委会拥翠路 </w:t>
      </w:r>
      <w:r>
        <w:rPr>
          <w:rFonts w:ascii="Times New Roman"/>
          <w:color w:val="000000"/>
          <w:spacing w:val="0"/>
          <w:sz w:val="21"/>
        </w:rPr>
        <w:t>2</w:t>
      </w:r>
      <w:r>
        <w:rPr>
          <w:rFonts w:ascii="SKJVQB+å®ä½" w:hAnsi="SKJVQB+å®ä½" w:cs="SKJVQB+å®ä½"/>
          <w:color w:val="000000"/>
          <w:spacing w:val="0"/>
          <w:sz w:val="21"/>
        </w:rPr>
        <w:t>号</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办公地址：佛山市顺德区大良</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德和居委会拥翠路 </w:t>
      </w:r>
      <w:r>
        <w:rPr>
          <w:rFonts w:ascii="Times New Roman"/>
          <w:color w:val="000000"/>
          <w:spacing w:val="0"/>
          <w:sz w:val="21"/>
        </w:rPr>
        <w:t>2</w:t>
      </w:r>
      <w:r>
        <w:rPr>
          <w:rFonts w:ascii="SKJVQB+å®ä½" w:hAnsi="SKJVQB+å®ä½" w:cs="SKJVQB+å®ä½"/>
          <w:color w:val="000000"/>
          <w:spacing w:val="0"/>
          <w:sz w:val="21"/>
        </w:rPr>
        <w:t>号</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法定代表人：姚真勇</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联系人：陈素莹</w:t>
      </w:r>
    </w:p>
    <w:p>
      <w:pPr>
        <w:framePr w:w="3020"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0757-22385879</w:t>
      </w:r>
    </w:p>
    <w:p>
      <w:pPr>
        <w:framePr w:w="3020"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0757-22388235</w:t>
      </w:r>
    </w:p>
    <w:p>
      <w:pPr>
        <w:framePr w:w="3020"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0757-22223388</w:t>
      </w:r>
    </w:p>
    <w:p>
      <w:pPr>
        <w:framePr w:w="3020"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www.sdebank.com</w:t>
      </w:r>
    </w:p>
    <w:p>
      <w:pPr>
        <w:framePr w:w="3020" w:wrap="around" w:vAnchor="margin" w:hAnchor="text" w:x="7482" w:y="335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注册地址：天津市河西区友谊</w:t>
      </w:r>
    </w:p>
    <w:p>
      <w:pPr>
        <w:framePr w:w="3020" w:wrap="around" w:vAnchor="margin" w:hAnchor="text" w:x="7482" w:y="33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SKJVQB+å®ä½" w:hAnsi="SKJVQB+å®ä½" w:cs="SKJVQB+å®ä½"/>
          <w:color w:val="000000"/>
          <w:spacing w:val="0"/>
          <w:sz w:val="21"/>
        </w:rPr>
        <w:t>号</w:t>
      </w:r>
    </w:p>
    <w:p>
      <w:pPr>
        <w:framePr w:w="526" w:wrap="around" w:vAnchor="margin" w:hAnchor="text" w:x="3005" w:y="460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30</w:t>
      </w:r>
    </w:p>
    <w:p>
      <w:pPr>
        <w:framePr w:w="2418" w:wrap="around" w:vAnchor="margin" w:hAnchor="text" w:x="4640"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天津银行股份有限公司</w:t>
      </w:r>
    </w:p>
    <w:p>
      <w:pPr>
        <w:framePr w:w="3020"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办公地址：天津市河西区友谊</w:t>
      </w:r>
    </w:p>
    <w:p>
      <w:pPr>
        <w:framePr w:w="3020" w:wrap="around" w:vAnchor="margin" w:hAnchor="text" w:x="7482"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w:t>
      </w:r>
      <w:r>
        <w:rPr>
          <w:rFonts w:ascii="SKJVQB+å®ä½" w:hAnsi="SKJVQB+å®ä½" w:cs="SKJVQB+å®ä½"/>
          <w:color w:val="000000"/>
          <w:spacing w:val="0"/>
          <w:sz w:val="21"/>
        </w:rPr>
        <w:t>号</w:t>
      </w:r>
    </w:p>
    <w:p>
      <w:pPr>
        <w:framePr w:w="2209" w:wrap="around" w:vAnchor="margin" w:hAnchor="text" w:x="7482" w:y="58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法定代表人：李宗唐</w:t>
      </w:r>
    </w:p>
    <w:p>
      <w:pPr>
        <w:framePr w:w="2209" w:wrap="around" w:vAnchor="margin" w:hAnchor="text" w:x="7482" w:y="58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联系人：李岩</w:t>
      </w:r>
    </w:p>
    <w:p>
      <w:pPr>
        <w:framePr w:w="2504"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022-28405684</w:t>
      </w:r>
    </w:p>
    <w:p>
      <w:pPr>
        <w:framePr w:w="2504"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022-28405631</w:t>
      </w:r>
    </w:p>
    <w:p>
      <w:pPr>
        <w:framePr w:w="2504"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4006-960296</w:t>
      </w:r>
    </w:p>
    <w:p>
      <w:pPr>
        <w:framePr w:w="2504"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772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www.bank-of-tianjin.com</w:t>
      </w:r>
    </w:p>
    <w:p>
      <w:pPr>
        <w:framePr w:w="3020" w:wrap="around" w:vAnchor="margin" w:hAnchor="text" w:x="7482" w:y="772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注册地址：内蒙古包头市青山</w:t>
      </w:r>
    </w:p>
    <w:p>
      <w:pPr>
        <w:framePr w:w="3020" w:wrap="around" w:vAnchor="margin" w:hAnchor="text" w:x="7482" w:y="77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区钢铁大街 </w:t>
      </w:r>
      <w:r>
        <w:rPr>
          <w:rFonts w:ascii="Times New Roman"/>
          <w:color w:val="000000"/>
          <w:spacing w:val="0"/>
          <w:sz w:val="21"/>
        </w:rPr>
        <w:t>6</w:t>
      </w:r>
      <w:r>
        <w:rPr>
          <w:rFonts w:ascii="SKJVQB+å®ä½" w:hAnsi="SKJVQB+å®ä½" w:cs="SKJVQB+å®ä½"/>
          <w:color w:val="000000"/>
          <w:spacing w:val="0"/>
          <w:sz w:val="21"/>
        </w:rPr>
        <w:t>号</w:t>
      </w:r>
    </w:p>
    <w:p>
      <w:pPr>
        <w:framePr w:w="526" w:wrap="around" w:vAnchor="margin" w:hAnchor="text" w:x="3005" w:y="804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31</w:t>
      </w:r>
    </w:p>
    <w:p>
      <w:pPr>
        <w:framePr w:w="526" w:wrap="around" w:vAnchor="margin" w:hAnchor="text" w:x="3005" w:y="8048"/>
        <w:widowControl w:val="0"/>
        <w:autoSpaceDE w:val="0"/>
        <w:autoSpaceDN w:val="0"/>
        <w:spacing w:before="0" w:after="0" w:line="3133" w:lineRule="exact"/>
        <w:ind w:left="0" w:right="0"/>
        <w:jc w:val="left"/>
        <w:rPr>
          <w:rFonts w:ascii="Times New Roman"/>
          <w:color w:val="000000"/>
          <w:spacing w:val="0"/>
          <w:sz w:val="21"/>
        </w:rPr>
      </w:pPr>
      <w:r>
        <w:rPr>
          <w:rFonts w:ascii="Times New Roman"/>
          <w:color w:val="000000"/>
          <w:spacing w:val="0"/>
          <w:sz w:val="21"/>
        </w:rPr>
        <w:t>32</w:t>
      </w:r>
    </w:p>
    <w:p>
      <w:pPr>
        <w:framePr w:w="526" w:wrap="around" w:vAnchor="margin" w:hAnchor="text" w:x="3005" w:y="8048"/>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33</w:t>
      </w:r>
    </w:p>
    <w:p>
      <w:pPr>
        <w:framePr w:w="2418" w:wrap="around" w:vAnchor="margin" w:hAnchor="text" w:x="4640"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包商银行股份有限公司</w:t>
      </w:r>
    </w:p>
    <w:p>
      <w:pPr>
        <w:framePr w:w="3020"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办公地址：内蒙古包头市青山</w:t>
      </w:r>
    </w:p>
    <w:p>
      <w:pPr>
        <w:framePr w:w="3020"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区钢铁大街 </w:t>
      </w:r>
      <w:r>
        <w:rPr>
          <w:rFonts w:ascii="Times New Roman"/>
          <w:color w:val="000000"/>
          <w:spacing w:val="0"/>
          <w:sz w:val="21"/>
        </w:rPr>
        <w:t>6</w:t>
      </w:r>
      <w:r>
        <w:rPr>
          <w:rFonts w:ascii="SKJVQB+å®ä½" w:hAnsi="SKJVQB+å®ä½" w:cs="SKJVQB+å®ä½"/>
          <w:color w:val="000000"/>
          <w:spacing w:val="0"/>
          <w:sz w:val="21"/>
        </w:rPr>
        <w:t>号</w:t>
      </w:r>
    </w:p>
    <w:p>
      <w:pPr>
        <w:framePr w:w="2209" w:wrap="around" w:vAnchor="margin" w:hAnchor="text" w:x="7482" w:y="93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法定代表人：李镇西</w:t>
      </w:r>
    </w:p>
    <w:p>
      <w:pPr>
        <w:framePr w:w="2209" w:wrap="around" w:vAnchor="margin" w:hAnchor="text" w:x="7482" w:y="93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联系人：张晶</w:t>
      </w:r>
    </w:p>
    <w:p>
      <w:pPr>
        <w:framePr w:w="2626" w:wrap="around" w:vAnchor="margin" w:hAnchor="text" w:x="7482" w:y="992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0472-5189165</w:t>
      </w:r>
    </w:p>
    <w:p>
      <w:pPr>
        <w:framePr w:w="2626" w:wrap="around" w:vAnchor="margin" w:hAnchor="text" w:x="7482" w:y="992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010-64596546</w:t>
      </w:r>
    </w:p>
    <w:p>
      <w:pPr>
        <w:framePr w:w="2626" w:wrap="around" w:vAnchor="margin" w:hAnchor="text" w:x="7482" w:y="9923"/>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95352</w:t>
      </w:r>
    </w:p>
    <w:p>
      <w:pPr>
        <w:framePr w:w="3020" w:wrap="around" w:vAnchor="margin" w:hAnchor="text" w:x="7482" w:y="1085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www.bsb.com.cn</w:t>
      </w:r>
    </w:p>
    <w:p>
      <w:pPr>
        <w:framePr w:w="3020" w:wrap="around" w:vAnchor="margin" w:hAnchor="text" w:x="7482" w:y="1085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framePr w:w="3020" w:wrap="around" w:vAnchor="margin" w:hAnchor="text" w:x="7482" w:y="1085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新城华夏路 </w:t>
      </w:r>
      <w:r>
        <w:rPr>
          <w:rFonts w:ascii="Times New Roman"/>
          <w:color w:val="000000"/>
          <w:spacing w:val="0"/>
          <w:sz w:val="21"/>
        </w:rPr>
        <w:t>1</w:t>
      </w:r>
      <w:r>
        <w:rPr>
          <w:rFonts w:ascii="SKJVQB+å®ä½" w:hAnsi="SKJVQB+å®ä½" w:cs="SKJVQB+å®ä½"/>
          <w:color w:val="000000"/>
          <w:spacing w:val="0"/>
          <w:sz w:val="21"/>
        </w:rPr>
        <w:t>号</w:t>
      </w:r>
    </w:p>
    <w:p>
      <w:pPr>
        <w:framePr w:w="2901" w:wrap="around" w:vAnchor="margin" w:hAnchor="text" w:x="4640"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广州农村商业银行股份有限</w:t>
      </w:r>
    </w:p>
    <w:p>
      <w:pPr>
        <w:framePr w:w="2901" w:wrap="around" w:vAnchor="margin" w:hAnchor="text" w:x="4640"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framePr w:w="3020"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新城华夏路 </w:t>
      </w:r>
      <w:r>
        <w:rPr>
          <w:rFonts w:ascii="Times New Roman"/>
          <w:color w:val="000000"/>
          <w:spacing w:val="0"/>
          <w:sz w:val="21"/>
        </w:rPr>
        <w:t>1</w:t>
      </w:r>
      <w:r>
        <w:rPr>
          <w:rFonts w:ascii="SKJVQB+å®ä½" w:hAnsi="SKJVQB+å®ä½" w:cs="SKJVQB+å®ä½"/>
          <w:color w:val="000000"/>
          <w:spacing w:val="0"/>
          <w:sz w:val="21"/>
        </w:rPr>
        <w:t>号</w:t>
      </w:r>
    </w:p>
    <w:p>
      <w:pPr>
        <w:framePr w:w="2209"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法定代表人：王继康</w:t>
      </w:r>
    </w:p>
    <w:p>
      <w:pPr>
        <w:framePr w:w="2209"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联系人：刘强</w:t>
      </w:r>
    </w:p>
    <w:p>
      <w:pPr>
        <w:framePr w:w="2178" w:wrap="around" w:vAnchor="margin" w:hAnchor="text" w:x="7482" w:y="1305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020-22389067</w:t>
      </w:r>
    </w:p>
    <w:p>
      <w:pPr>
        <w:framePr w:w="2178"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020-22389031</w:t>
      </w:r>
    </w:p>
    <w:p>
      <w:pPr>
        <w:framePr w:w="2178"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95313</w:t>
      </w:r>
    </w:p>
    <w:p>
      <w:pPr>
        <w:framePr w:w="3020" w:wrap="around" w:vAnchor="margin" w:hAnchor="text" w:x="7482" w:y="1399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www.grcbank.com</w:t>
      </w:r>
    </w:p>
    <w:p>
      <w:pPr>
        <w:framePr w:w="3020" w:wrap="around" w:vAnchor="margin" w:hAnchor="text" w:x="7482" w:y="13992"/>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注册地址：广东省珠海市吉大</w:t>
      </w:r>
    </w:p>
    <w:p>
      <w:pPr>
        <w:framePr w:w="3020" w:wrap="around" w:vAnchor="margin" w:hAnchor="text" w:x="7482" w:y="1399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九洲大道东 </w:t>
      </w:r>
      <w:r>
        <w:rPr>
          <w:rFonts w:ascii="Times New Roman"/>
          <w:color w:val="000000"/>
          <w:spacing w:val="0"/>
          <w:sz w:val="21"/>
        </w:rPr>
        <w:t>1346</w:t>
      </w:r>
      <w:r>
        <w:rPr>
          <w:rFonts w:ascii="SKJVQB+å®ä½" w:hAnsi="SKJVQB+å®ä½" w:cs="SKJVQB+å®ä½"/>
          <w:color w:val="000000"/>
          <w:spacing w:val="0"/>
          <w:sz w:val="21"/>
        </w:rPr>
        <w:t>号</w:t>
      </w:r>
    </w:p>
    <w:p>
      <w:pPr>
        <w:framePr w:w="3020" w:wrap="around" w:vAnchor="margin" w:hAnchor="text" w:x="7482" w:y="1399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办公地址：广东省珠海市吉大</w:t>
      </w:r>
    </w:p>
    <w:p>
      <w:pPr>
        <w:framePr w:w="2901" w:wrap="around" w:vAnchor="margin" w:hAnchor="text" w:x="4640"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珠海华润银行股份有限公司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74</w:t>
      </w:r>
    </w:p>
    <w:p>
      <w:pPr>
        <w:spacing w:before="0" w:after="0" w:line="0" w:lineRule="exact"/>
        <w:ind w:left="0" w:right="0"/>
        <w:jc w:val="left"/>
        <w:rPr>
          <w:rFonts w:ascii="Arial"/>
          <w:color w:val="FF0000"/>
          <w:spacing w:val="0"/>
          <w:sz w:val="2"/>
        </w:rPr>
      </w:pPr>
      <w:r>
        <w:pict>
          <v:shape id="_x0000154" o:spid="_x0000_s118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6" o:title=""/>
            <o:lock v:ext="edit" aspectratio="t"/>
          </v:shape>
        </w:pict>
      </w:r>
      <w:r>
        <w:pict>
          <v:shape id="_x0000155" o:spid="_x0000_s1181"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3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09"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九洲大道东 </w:t>
      </w:r>
      <w:r>
        <w:rPr>
          <w:rFonts w:ascii="Times New Roman"/>
          <w:color w:val="000000"/>
          <w:spacing w:val="0"/>
          <w:sz w:val="21"/>
        </w:rPr>
        <w:t>1346</w:t>
      </w:r>
      <w:r>
        <w:rPr>
          <w:rFonts w:ascii="SKJVQB+å®ä½" w:hAnsi="SKJVQB+å®ä½" w:cs="SKJVQB+å®ä½"/>
          <w:color w:val="000000"/>
          <w:spacing w:val="0"/>
          <w:sz w:val="21"/>
        </w:rPr>
        <w:t>号</w:t>
      </w:r>
    </w:p>
    <w:p>
      <w:pPr>
        <w:framePr w:w="2209"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法定代表人：刘晓勇</w:t>
      </w:r>
    </w:p>
    <w:p>
      <w:pPr>
        <w:framePr w:w="2209"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联系人：李阳</w:t>
      </w:r>
    </w:p>
    <w:p>
      <w:pPr>
        <w:framePr w:w="2863" w:wrap="around" w:vAnchor="margin" w:hAnchor="text" w:x="7482" w:y="2415"/>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96588(</w:t>
      </w:r>
      <w:r>
        <w:rPr>
          <w:rFonts w:ascii="SKJVQB+å®ä½" w:hAnsi="SKJVQB+å®ä½" w:cs="SKJVQB+å®ä½"/>
          <w:color w:val="000000"/>
          <w:spacing w:val="0"/>
          <w:sz w:val="21"/>
        </w:rPr>
        <w:t>广东省外加拨</w:t>
      </w:r>
    </w:p>
    <w:p>
      <w:pPr>
        <w:framePr w:w="2863" w:wrap="around" w:vAnchor="margin" w:hAnchor="text" w:x="7482" w:y="2415"/>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0756)</w:t>
      </w:r>
    </w:p>
    <w:p>
      <w:pPr>
        <w:framePr w:w="1054"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w:t>
      </w:r>
    </w:p>
    <w:p>
      <w:pPr>
        <w:framePr w:w="3101" w:wrap="around" w:vAnchor="margin" w:hAnchor="text" w:x="7482" w:y="3351"/>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96588(</w:t>
      </w:r>
      <w:r>
        <w:rPr>
          <w:rFonts w:ascii="SKJVQB+å®ä½" w:hAnsi="SKJVQB+å®ä½" w:cs="SKJVQB+å®ä½"/>
          <w:color w:val="000000"/>
          <w:spacing w:val="0"/>
          <w:sz w:val="21"/>
        </w:rPr>
        <w:t>广东省外加</w:t>
      </w:r>
    </w:p>
    <w:p>
      <w:pPr>
        <w:framePr w:w="3101"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拨 </w:t>
      </w:r>
      <w:r>
        <w:rPr>
          <w:rFonts w:ascii="Times New Roman"/>
          <w:color w:val="000000"/>
          <w:spacing w:val="0"/>
          <w:sz w:val="21"/>
        </w:rPr>
        <w:t>0756)</w:t>
      </w:r>
      <w:r>
        <w:rPr>
          <w:rFonts w:ascii="SKJVQB+å®ä½" w:hAnsi="SKJVQB+å®ä½" w:cs="SKJVQB+å®ä½"/>
          <w:color w:val="000000"/>
          <w:spacing w:val="0"/>
          <w:sz w:val="21"/>
        </w:rPr>
        <w:t>，</w:t>
      </w:r>
      <w:r>
        <w:rPr>
          <w:rFonts w:ascii="Times New Roman"/>
          <w:color w:val="000000"/>
          <w:spacing w:val="0"/>
          <w:sz w:val="21"/>
        </w:rPr>
        <w:t>4008800338</w:t>
      </w:r>
    </w:p>
    <w:p>
      <w:pPr>
        <w:framePr w:w="3101"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www.crbank.com.cn</w:t>
      </w:r>
    </w:p>
    <w:p>
      <w:pPr>
        <w:framePr w:w="526" w:wrap="around" w:vAnchor="margin" w:hAnchor="text" w:x="3005"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34</w:t>
      </w:r>
    </w:p>
    <w:p>
      <w:pPr>
        <w:framePr w:w="2901"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江苏江南农村商业银行股份</w:t>
      </w:r>
    </w:p>
    <w:p>
      <w:pPr>
        <w:framePr w:w="2901" w:wrap="around" w:vAnchor="margin" w:hAnchor="text" w:x="4640"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注册地址：常州市天宁区延宁</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668</w:t>
      </w:r>
      <w:r>
        <w:rPr>
          <w:rFonts w:ascii="SKJVQB+å®ä½" w:hAnsi="SKJVQB+å®ä½" w:cs="SKJVQB+å®ä½"/>
          <w:color w:val="000000"/>
          <w:spacing w:val="0"/>
          <w:sz w:val="21"/>
        </w:rPr>
        <w:t>号</w:t>
      </w:r>
    </w:p>
    <w:p>
      <w:pPr>
        <w:framePr w:w="3020"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办公地址：常州市天宁区延宁</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668</w:t>
      </w:r>
      <w:r>
        <w:rPr>
          <w:rFonts w:ascii="SKJVQB+å®ä½" w:hAnsi="SKJVQB+å®ä½" w:cs="SKJVQB+å®ä½"/>
          <w:color w:val="000000"/>
          <w:spacing w:val="0"/>
          <w:sz w:val="21"/>
        </w:rPr>
        <w:t>号</w:t>
      </w:r>
    </w:p>
    <w:p>
      <w:pPr>
        <w:framePr w:w="2209" w:wrap="around" w:vAnchor="margin" w:hAnchor="text" w:x="7482" w:y="555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法定代表人：陆向阳</w:t>
      </w:r>
    </w:p>
    <w:p>
      <w:pPr>
        <w:framePr w:w="2209" w:wrap="around" w:vAnchor="margin" w:hAnchor="text" w:x="7482" w:y="555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联系人：包静</w:t>
      </w:r>
    </w:p>
    <w:p>
      <w:pPr>
        <w:framePr w:w="2284"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0519-80585939</w:t>
      </w:r>
    </w:p>
    <w:p>
      <w:pPr>
        <w:framePr w:w="2284"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0519-89995066</w:t>
      </w:r>
    </w:p>
    <w:p>
      <w:pPr>
        <w:framePr w:w="2284"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96005</w:t>
      </w:r>
    </w:p>
    <w:p>
      <w:pPr>
        <w:framePr w:w="3020" w:wrap="around" w:vAnchor="margin" w:hAnchor="text" w:x="7482" w:y="710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www.jnbank.cc</w:t>
      </w:r>
    </w:p>
    <w:p>
      <w:pPr>
        <w:framePr w:w="3020" w:wrap="around" w:vAnchor="margin" w:hAnchor="text" w:x="7482" w:y="710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注册地址：吉林省长春市东南</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湖大路 </w:t>
      </w:r>
      <w:r>
        <w:rPr>
          <w:rFonts w:ascii="Times New Roman"/>
          <w:color w:val="000000"/>
          <w:spacing w:val="0"/>
          <w:sz w:val="21"/>
        </w:rPr>
        <w:t>1817</w:t>
      </w:r>
      <w:r>
        <w:rPr>
          <w:rFonts w:ascii="SKJVQB+å®ä½" w:hAnsi="SKJVQB+å®ä½" w:cs="SKJVQB+å®ä½"/>
          <w:color w:val="000000"/>
          <w:spacing w:val="0"/>
          <w:sz w:val="21"/>
        </w:rPr>
        <w:t>号</w:t>
      </w:r>
    </w:p>
    <w:p>
      <w:pPr>
        <w:framePr w:w="526" w:wrap="around" w:vAnchor="margin" w:hAnchor="text" w:x="3005" w:y="742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35</w:t>
      </w:r>
    </w:p>
    <w:p>
      <w:pPr>
        <w:framePr w:w="2418" w:wrap="around" w:vAnchor="margin" w:hAnchor="text" w:x="4640"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吉林银行股份有限公司</w:t>
      </w:r>
    </w:p>
    <w:p>
      <w:pPr>
        <w:framePr w:w="3020" w:wrap="around" w:vAnchor="margin" w:hAnchor="text" w:x="7482"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办公地址：吉林省长春市东南</w:t>
      </w:r>
    </w:p>
    <w:p>
      <w:pPr>
        <w:framePr w:w="3020" w:wrap="around" w:vAnchor="margin" w:hAnchor="text" w:x="7482" w:y="80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湖大路 </w:t>
      </w:r>
      <w:r>
        <w:rPr>
          <w:rFonts w:ascii="Times New Roman"/>
          <w:color w:val="000000"/>
          <w:spacing w:val="0"/>
          <w:sz w:val="21"/>
        </w:rPr>
        <w:t>1817</w:t>
      </w:r>
      <w:r>
        <w:rPr>
          <w:rFonts w:ascii="SKJVQB+å®ä½" w:hAnsi="SKJVQB+å®ä½" w:cs="SKJVQB+å®ä½"/>
          <w:color w:val="000000"/>
          <w:spacing w:val="0"/>
          <w:sz w:val="21"/>
        </w:rPr>
        <w:t>号</w:t>
      </w:r>
    </w:p>
    <w:p>
      <w:pPr>
        <w:framePr w:w="2209"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法定代表人：张宝祥</w:t>
      </w:r>
    </w:p>
    <w:p>
      <w:pPr>
        <w:framePr w:w="2209"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联系人：孙琦</w:t>
      </w:r>
    </w:p>
    <w:p>
      <w:pPr>
        <w:framePr w:w="2912"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0431-84999627</w:t>
      </w:r>
    </w:p>
    <w:p>
      <w:pPr>
        <w:framePr w:w="2912"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0431-84992649</w:t>
      </w:r>
    </w:p>
    <w:p>
      <w:pPr>
        <w:framePr w:w="2912"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400-88-96666(</w:t>
      </w:r>
      <w:r>
        <w:rPr>
          <w:rFonts w:ascii="SKJVQB+å®ä½" w:hAnsi="SKJVQB+å®ä½" w:cs="SKJVQB+å®ä½"/>
          <w:color w:val="000000"/>
          <w:spacing w:val="0"/>
          <w:sz w:val="21"/>
        </w:rPr>
        <w:t>全</w:t>
      </w:r>
    </w:p>
    <w:p>
      <w:pPr>
        <w:framePr w:w="2912"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国</w:t>
      </w:r>
      <w:r>
        <w:rPr>
          <w:rFonts w:ascii="Times New Roman"/>
          <w:color w:val="000000"/>
          <w:spacing w:val="0"/>
          <w:sz w:val="21"/>
        </w:rPr>
        <w:t>)</w:t>
      </w:r>
      <w:r>
        <w:rPr>
          <w:rFonts w:ascii="SKJVQB+å®ä½" w:hAnsi="SKJVQB+å®ä½" w:cs="SKJVQB+å®ä½"/>
          <w:color w:val="000000"/>
          <w:spacing w:val="0"/>
          <w:sz w:val="21"/>
        </w:rPr>
        <w:t>，</w:t>
      </w:r>
      <w:r>
        <w:rPr>
          <w:rFonts w:ascii="Times New Roman"/>
          <w:color w:val="000000"/>
          <w:spacing w:val="0"/>
          <w:sz w:val="21"/>
        </w:rPr>
        <w:t>96666(</w:t>
      </w:r>
      <w:r>
        <w:rPr>
          <w:rFonts w:ascii="SKJVQB+å®ä½" w:hAnsi="SKJVQB+å®ä½" w:cs="SKJVQB+å®ä½"/>
          <w:color w:val="000000"/>
          <w:spacing w:val="0"/>
          <w:sz w:val="21"/>
        </w:rPr>
        <w:t>吉林省</w:t>
      </w:r>
      <w:r>
        <w:rPr>
          <w:rFonts w:ascii="Times New Roman"/>
          <w:color w:val="000000"/>
          <w:spacing w:val="0"/>
          <w:sz w:val="21"/>
        </w:rPr>
        <w:t>)</w:t>
      </w:r>
    </w:p>
    <w:p>
      <w:pPr>
        <w:framePr w:w="2912" w:wrap="around" w:vAnchor="margin" w:hAnchor="text" w:x="7482" w:y="9299"/>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www.jlbank.com.cn</w:t>
      </w:r>
    </w:p>
    <w:p>
      <w:pPr>
        <w:framePr w:w="2912" w:wrap="around" w:vAnchor="margin" w:hAnchor="text" w:x="7482" w:y="9299"/>
        <w:widowControl w:val="0"/>
        <w:autoSpaceDE w:val="0"/>
        <w:autoSpaceDN w:val="0"/>
        <w:spacing w:before="0" w:after="0" w:line="324"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注册地址：威海市宝泉路 </w:t>
      </w:r>
      <w:r>
        <w:rPr>
          <w:rFonts w:ascii="Times New Roman"/>
          <w:color w:val="000000"/>
          <w:spacing w:val="0"/>
          <w:sz w:val="21"/>
        </w:rPr>
        <w:t xml:space="preserve"> 9</w:t>
      </w:r>
    </w:p>
    <w:p>
      <w:pPr>
        <w:framePr w:w="2912"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526" w:wrap="around" w:vAnchor="margin" w:hAnchor="text" w:x="3005" w:y="1086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36</w:t>
      </w:r>
    </w:p>
    <w:p>
      <w:pPr>
        <w:framePr w:w="2901"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威海市商业银行股份有限公</w:t>
      </w:r>
    </w:p>
    <w:p>
      <w:pPr>
        <w:framePr w:w="2901" w:wrap="around" w:vAnchor="margin" w:hAnchor="text" w:x="4640"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0"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办公地址：济南市经十路奥体</w:t>
      </w:r>
    </w:p>
    <w:p>
      <w:pPr>
        <w:framePr w:w="3020"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金融中心 </w:t>
      </w:r>
      <w:r>
        <w:rPr>
          <w:rFonts w:ascii="Times New Roman"/>
          <w:color w:val="000000"/>
          <w:spacing w:val="0"/>
          <w:sz w:val="21"/>
        </w:rPr>
        <w:t>d</w:t>
      </w:r>
      <w:r>
        <w:rPr>
          <w:rFonts w:ascii="SKJVQB+å®ä½" w:hAnsi="SKJVQB+å®ä½" w:cs="SKJVQB+å®ä½"/>
          <w:color w:val="000000"/>
          <w:spacing w:val="0"/>
          <w:sz w:val="21"/>
        </w:rPr>
        <w:t>栋</w:t>
      </w:r>
    </w:p>
    <w:p>
      <w:pPr>
        <w:framePr w:w="2209" w:wrap="around" w:vAnchor="margin" w:hAnchor="text" w:x="7482"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法定代表人：谭先国</w:t>
      </w:r>
    </w:p>
    <w:p>
      <w:pPr>
        <w:framePr w:w="2209" w:wrap="around" w:vAnchor="margin" w:hAnchor="text" w:x="7482" w:y="1212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联系人：武芳</w:t>
      </w:r>
    </w:p>
    <w:p>
      <w:pPr>
        <w:framePr w:w="3020" w:wrap="around" w:vAnchor="margin" w:hAnchor="text" w:x="7482" w:y="1274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0531-68978175</w:t>
      </w:r>
    </w:p>
    <w:p>
      <w:pPr>
        <w:framePr w:w="3020"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0531-68978176</w:t>
      </w:r>
    </w:p>
    <w:p>
      <w:pPr>
        <w:framePr w:w="3020"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客服电话：省内 </w:t>
      </w:r>
      <w:r>
        <w:rPr>
          <w:rFonts w:ascii="Times New Roman"/>
          <w:color w:val="000000"/>
          <w:spacing w:val="0"/>
          <w:sz w:val="21"/>
        </w:rPr>
        <w:t>96636</w:t>
      </w:r>
      <w:r>
        <w:rPr>
          <w:rFonts w:ascii="SKJVQB+å®ä½" w:hAnsi="SKJVQB+å®ä½" w:cs="SKJVQB+å®ä½"/>
          <w:color w:val="000000"/>
          <w:spacing w:val="0"/>
          <w:sz w:val="21"/>
        </w:rPr>
        <w:t>、境内</w:t>
      </w:r>
    </w:p>
    <w:p>
      <w:pPr>
        <w:framePr w:w="3020" w:wrap="around" w:vAnchor="margin" w:hAnchor="text" w:x="7482" w:y="12743"/>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4000096636</w:t>
      </w:r>
    </w:p>
    <w:p>
      <w:pPr>
        <w:framePr w:w="949" w:wrap="around" w:vAnchor="margin" w:hAnchor="text" w:x="7482" w:y="1399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01" w:wrap="around" w:vAnchor="margin" w:hAnchor="text" w:x="7482" w:y="1430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www.whccb.com/www.whccb.</w:t>
      </w:r>
    </w:p>
    <w:p>
      <w:pPr>
        <w:framePr w:w="3001" w:wrap="around" w:vAnchor="margin" w:hAnchor="text" w:x="7482" w:y="14301"/>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com.cn</w:t>
      </w:r>
    </w:p>
    <w:p>
      <w:pPr>
        <w:framePr w:w="526" w:wrap="around" w:vAnchor="margin" w:hAnchor="text" w:x="3005" w:y="1493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37</w:t>
      </w:r>
    </w:p>
    <w:p>
      <w:pPr>
        <w:framePr w:w="2418" w:wrap="around" w:vAnchor="margin" w:hAnchor="text" w:x="4640"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西安银行股份有限公司</w:t>
      </w:r>
    </w:p>
    <w:p>
      <w:pPr>
        <w:framePr w:w="3020" w:wrap="around" w:vAnchor="margin" w:hAnchor="text" w:x="7482"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注册地址：中国陕西西安高新</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75</w:t>
      </w:r>
    </w:p>
    <w:p>
      <w:pPr>
        <w:spacing w:before="0" w:after="0" w:line="0" w:lineRule="exact"/>
        <w:ind w:left="0" w:right="0"/>
        <w:jc w:val="left"/>
        <w:rPr>
          <w:rFonts w:ascii="Arial"/>
          <w:color w:val="FF0000"/>
          <w:spacing w:val="0"/>
          <w:sz w:val="2"/>
        </w:rPr>
      </w:pPr>
      <w:r>
        <w:pict>
          <v:shape id="_x0000156" o:spid="_x0000_s118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8" o:title=""/>
            <o:lock v:ext="edit" aspectratio="t"/>
          </v:shape>
        </w:pict>
      </w:r>
      <w:r>
        <w:pict>
          <v:shape id="_x0000157" o:spid="_x0000_s1183"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3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052"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60</w:t>
      </w:r>
      <w:r>
        <w:rPr>
          <w:rFonts w:ascii="SKJVQB+å®ä½" w:hAnsi="SKJVQB+å®ä½" w:cs="SKJVQB+å®ä½"/>
          <w:color w:val="000000"/>
          <w:spacing w:val="0"/>
          <w:sz w:val="21"/>
        </w:rPr>
        <w:t>号</w:t>
      </w:r>
    </w:p>
    <w:p>
      <w:pPr>
        <w:framePr w:w="3020"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办公地址：西安市雁塔区高新</w:t>
      </w:r>
    </w:p>
    <w:p>
      <w:pPr>
        <w:framePr w:w="3020"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60</w:t>
      </w:r>
      <w:r>
        <w:rPr>
          <w:rFonts w:ascii="SKJVQB+å®ä½" w:hAnsi="SKJVQB+å®ä½" w:cs="SKJVQB+å®ä½"/>
          <w:color w:val="000000"/>
          <w:spacing w:val="0"/>
          <w:sz w:val="21"/>
        </w:rPr>
        <w:t>号</w:t>
      </w:r>
    </w:p>
    <w:p>
      <w:pPr>
        <w:framePr w:w="1998"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法定代表人：郭军</w:t>
      </w:r>
    </w:p>
    <w:p>
      <w:pPr>
        <w:framePr w:w="1998" w:wrap="around" w:vAnchor="margin" w:hAnchor="text" w:x="7482" w:y="24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联系人：白智</w:t>
      </w:r>
    </w:p>
    <w:p>
      <w:pPr>
        <w:framePr w:w="2577"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029-88992881</w:t>
      </w:r>
    </w:p>
    <w:p>
      <w:pPr>
        <w:framePr w:w="2577"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029-88992891</w:t>
      </w:r>
    </w:p>
    <w:p>
      <w:pPr>
        <w:framePr w:w="2577"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4008696779</w:t>
      </w:r>
    </w:p>
    <w:p>
      <w:pPr>
        <w:framePr w:w="2577"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www.xacbank.com</w:t>
      </w:r>
    </w:p>
    <w:p>
      <w:pPr>
        <w:framePr w:w="526" w:wrap="around" w:vAnchor="margin" w:hAnchor="text" w:x="3005"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38</w:t>
      </w:r>
    </w:p>
    <w:p>
      <w:pPr>
        <w:framePr w:w="526" w:wrap="around" w:vAnchor="margin" w:hAnchor="text" w:x="3005" w:y="4294"/>
        <w:widowControl w:val="0"/>
        <w:autoSpaceDE w:val="0"/>
        <w:autoSpaceDN w:val="0"/>
        <w:spacing w:before="0" w:after="0" w:line="3131" w:lineRule="exact"/>
        <w:ind w:left="0" w:right="0"/>
        <w:jc w:val="left"/>
        <w:rPr>
          <w:rFonts w:ascii="Times New Roman"/>
          <w:color w:val="000000"/>
          <w:spacing w:val="0"/>
          <w:sz w:val="21"/>
        </w:rPr>
      </w:pPr>
      <w:r>
        <w:rPr>
          <w:rFonts w:ascii="Times New Roman"/>
          <w:color w:val="000000"/>
          <w:spacing w:val="0"/>
          <w:sz w:val="21"/>
        </w:rPr>
        <w:t>39</w:t>
      </w:r>
    </w:p>
    <w:p>
      <w:pPr>
        <w:framePr w:w="526" w:wrap="around" w:vAnchor="margin" w:hAnchor="text" w:x="3005" w:y="4294"/>
        <w:widowControl w:val="0"/>
        <w:autoSpaceDE w:val="0"/>
        <w:autoSpaceDN w:val="0"/>
        <w:spacing w:before="0" w:after="0" w:line="3133" w:lineRule="exact"/>
        <w:ind w:left="0" w:right="0"/>
        <w:jc w:val="left"/>
        <w:rPr>
          <w:rFonts w:ascii="Times New Roman"/>
          <w:color w:val="000000"/>
          <w:spacing w:val="0"/>
          <w:sz w:val="21"/>
        </w:rPr>
      </w:pPr>
      <w:r>
        <w:rPr>
          <w:rFonts w:ascii="Times New Roman"/>
          <w:color w:val="000000"/>
          <w:spacing w:val="0"/>
          <w:sz w:val="21"/>
        </w:rPr>
        <w:t>40</w:t>
      </w:r>
    </w:p>
    <w:p>
      <w:pPr>
        <w:framePr w:w="2901"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苏州银行股份有限公司</w:t>
      </w:r>
    </w:p>
    <w:p>
      <w:pPr>
        <w:framePr w:w="2901" w:wrap="around" w:vAnchor="margin" w:hAnchor="text" w:x="4640" w:y="4303"/>
        <w:widowControl w:val="0"/>
        <w:autoSpaceDE w:val="0"/>
        <w:autoSpaceDN w:val="0"/>
        <w:spacing w:before="0" w:after="0" w:line="313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晋商银行股份有限公司</w:t>
      </w:r>
    </w:p>
    <w:p>
      <w:pPr>
        <w:framePr w:w="2901" w:wrap="around" w:vAnchor="margin" w:hAnchor="text" w:x="4640" w:y="4303"/>
        <w:widowControl w:val="0"/>
        <w:autoSpaceDE w:val="0"/>
        <w:autoSpaceDN w:val="0"/>
        <w:spacing w:before="0" w:after="0" w:line="313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华融湘江银行股份有限公司</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注册地址：江苏省苏州市工业</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园区钟园路 </w:t>
      </w:r>
      <w:r>
        <w:rPr>
          <w:rFonts w:ascii="Times New Roman"/>
          <w:color w:val="000000"/>
          <w:spacing w:val="0"/>
          <w:sz w:val="21"/>
        </w:rPr>
        <w:t>728</w:t>
      </w:r>
      <w:r>
        <w:rPr>
          <w:rFonts w:ascii="SKJVQB+å®ä½" w:hAnsi="SKJVQB+å®ä½" w:cs="SKJVQB+å®ä½"/>
          <w:color w:val="000000"/>
          <w:spacing w:val="0"/>
          <w:sz w:val="21"/>
        </w:rPr>
        <w:t>号</w:t>
      </w:r>
    </w:p>
    <w:p>
      <w:pPr>
        <w:framePr w:w="3020"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办公地址：江苏省苏州市工业</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园区钟园路 </w:t>
      </w:r>
      <w:r>
        <w:rPr>
          <w:rFonts w:ascii="Times New Roman"/>
          <w:color w:val="000000"/>
          <w:spacing w:val="0"/>
          <w:sz w:val="21"/>
        </w:rPr>
        <w:t>728</w:t>
      </w:r>
      <w:r>
        <w:rPr>
          <w:rFonts w:ascii="SKJVQB+å®ä½" w:hAnsi="SKJVQB+å®ä½" w:cs="SKJVQB+å®ä½"/>
          <w:color w:val="000000"/>
          <w:spacing w:val="0"/>
          <w:sz w:val="21"/>
        </w:rPr>
        <w:t>号</w:t>
      </w:r>
    </w:p>
    <w:p>
      <w:pPr>
        <w:framePr w:w="2209" w:wrap="around" w:vAnchor="margin" w:hAnchor="text" w:x="7482" w:y="555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法定代表人：王兰凤</w:t>
      </w:r>
    </w:p>
    <w:p>
      <w:pPr>
        <w:framePr w:w="2209" w:wrap="around" w:vAnchor="margin" w:hAnchor="text" w:x="7482" w:y="555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联系人：吴骏</w:t>
      </w:r>
    </w:p>
    <w:p>
      <w:pPr>
        <w:framePr w:w="2284"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0512-69868373</w:t>
      </w:r>
    </w:p>
    <w:p>
      <w:pPr>
        <w:framePr w:w="2284"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0512-69868373</w:t>
      </w:r>
    </w:p>
    <w:p>
      <w:pPr>
        <w:framePr w:w="2284"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96067</w:t>
      </w:r>
    </w:p>
    <w:p>
      <w:pPr>
        <w:framePr w:w="3020" w:wrap="around" w:vAnchor="margin" w:hAnchor="text" w:x="7482" w:y="710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www.suzhoubank.com</w:t>
      </w:r>
    </w:p>
    <w:p>
      <w:pPr>
        <w:framePr w:w="3020" w:wrap="around" w:vAnchor="margin" w:hAnchor="text" w:x="7482" w:y="710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注册地址：山西省太原市小店</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区长风街 </w:t>
      </w:r>
      <w:r>
        <w:rPr>
          <w:rFonts w:ascii="Times New Roman"/>
          <w:color w:val="000000"/>
          <w:spacing w:val="0"/>
          <w:sz w:val="21"/>
        </w:rPr>
        <w:t>59</w:t>
      </w:r>
      <w:r>
        <w:rPr>
          <w:rFonts w:ascii="SKJVQB+å®ä½" w:hAnsi="SKJVQB+å®ä½" w:cs="SKJVQB+å®ä½"/>
          <w:color w:val="000000"/>
          <w:spacing w:val="0"/>
          <w:sz w:val="21"/>
        </w:rPr>
        <w:t>号</w:t>
      </w:r>
    </w:p>
    <w:p>
      <w:pPr>
        <w:framePr w:w="3020" w:wrap="around" w:vAnchor="margin" w:hAnchor="text" w:x="7482"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办公地址：山西省太原市小店</w:t>
      </w:r>
    </w:p>
    <w:p>
      <w:pPr>
        <w:framePr w:w="3020" w:wrap="around" w:vAnchor="margin" w:hAnchor="text" w:x="7482" w:y="80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区长风街 </w:t>
      </w:r>
      <w:r>
        <w:rPr>
          <w:rFonts w:ascii="Times New Roman"/>
          <w:color w:val="000000"/>
          <w:spacing w:val="0"/>
          <w:sz w:val="21"/>
        </w:rPr>
        <w:t>59</w:t>
      </w:r>
      <w:r>
        <w:rPr>
          <w:rFonts w:ascii="SKJVQB+å®ä½" w:hAnsi="SKJVQB+å®ä½" w:cs="SKJVQB+å®ä½"/>
          <w:color w:val="000000"/>
          <w:spacing w:val="0"/>
          <w:sz w:val="21"/>
        </w:rPr>
        <w:t>号</w:t>
      </w:r>
    </w:p>
    <w:p>
      <w:pPr>
        <w:framePr w:w="2209"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法定代表人：阎俊生</w:t>
      </w:r>
    </w:p>
    <w:p>
      <w:pPr>
        <w:framePr w:w="2209"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联系人：卫奕信</w:t>
      </w:r>
    </w:p>
    <w:p>
      <w:pPr>
        <w:framePr w:w="3020"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0351-6819926</w:t>
      </w:r>
    </w:p>
    <w:p>
      <w:pPr>
        <w:framePr w:w="3020"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0351-6819926</w:t>
      </w:r>
    </w:p>
    <w:p>
      <w:pPr>
        <w:framePr w:w="3020"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9510-5588</w:t>
      </w:r>
    </w:p>
    <w:p>
      <w:pPr>
        <w:framePr w:w="3020"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www.jshbank.com</w:t>
      </w:r>
    </w:p>
    <w:p>
      <w:pPr>
        <w:framePr w:w="3020" w:wrap="around" w:vAnchor="margin" w:hAnchor="text" w:x="7482" w:y="9299"/>
        <w:widowControl w:val="0"/>
        <w:autoSpaceDE w:val="0"/>
        <w:autoSpaceDN w:val="0"/>
        <w:spacing w:before="0" w:after="0" w:line="325"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注册地址：湖南省长沙市天心</w:t>
      </w:r>
    </w:p>
    <w:p>
      <w:pPr>
        <w:framePr w:w="3020"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区芙蓉南路一段 </w:t>
      </w:r>
      <w:r>
        <w:rPr>
          <w:rFonts w:ascii="Times New Roman"/>
          <w:color w:val="000000"/>
          <w:spacing w:val="0"/>
          <w:sz w:val="21"/>
        </w:rPr>
        <w:t>828</w:t>
      </w:r>
      <w:r>
        <w:rPr>
          <w:rFonts w:ascii="SKJVQB+å®ä½" w:hAnsi="SKJVQB+å®ä½" w:cs="SKJVQB+å®ä½"/>
          <w:color w:val="000000"/>
          <w:spacing w:val="0"/>
          <w:sz w:val="21"/>
        </w:rPr>
        <w:t>号杰座</w:t>
      </w:r>
    </w:p>
    <w:p>
      <w:pPr>
        <w:framePr w:w="3020"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3020"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办公地址：湖南省长沙市天心</w:t>
      </w:r>
    </w:p>
    <w:p>
      <w:pPr>
        <w:framePr w:w="3020"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区芙蓉南路一段 </w:t>
      </w:r>
      <w:r>
        <w:rPr>
          <w:rFonts w:ascii="Times New Roman"/>
          <w:color w:val="000000"/>
          <w:spacing w:val="0"/>
          <w:sz w:val="21"/>
        </w:rPr>
        <w:t>828</w:t>
      </w:r>
      <w:r>
        <w:rPr>
          <w:rFonts w:ascii="SKJVQB+å®ä½" w:hAnsi="SKJVQB+å®ä½" w:cs="SKJVQB+å®ä½"/>
          <w:color w:val="000000"/>
          <w:spacing w:val="0"/>
          <w:sz w:val="21"/>
        </w:rPr>
        <w:t>号杰座</w:t>
      </w:r>
    </w:p>
    <w:p>
      <w:pPr>
        <w:framePr w:w="3020"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2209"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法定代表人：张永宏</w:t>
      </w:r>
    </w:p>
    <w:p>
      <w:pPr>
        <w:framePr w:w="2209"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联系人：杨舟</w:t>
      </w:r>
    </w:p>
    <w:p>
      <w:pPr>
        <w:framePr w:w="2387" w:wrap="around" w:vAnchor="margin" w:hAnchor="text" w:x="7482" w:y="1305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0731-89828900</w:t>
      </w:r>
    </w:p>
    <w:p>
      <w:pPr>
        <w:framePr w:w="2387"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0731-  89828806</w:t>
      </w:r>
    </w:p>
    <w:p>
      <w:pPr>
        <w:framePr w:w="2387"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0731-96599</w:t>
      </w:r>
    </w:p>
    <w:p>
      <w:pPr>
        <w:framePr w:w="2387" w:wrap="around" w:vAnchor="margin" w:hAnchor="text" w:x="7482" w:y="1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430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www.hrxjbank.com.cn.cn</w:t>
      </w:r>
    </w:p>
    <w:p>
      <w:pPr>
        <w:framePr w:w="3020" w:wrap="around" w:vAnchor="margin" w:hAnchor="text" w:x="7482" w:y="1430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注册地址：黑龙江哈尔滨市道</w:t>
      </w:r>
    </w:p>
    <w:p>
      <w:pPr>
        <w:framePr w:w="3020" w:wrap="around" w:vAnchor="margin" w:hAnchor="text" w:x="7482" w:y="1430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里区友谊路 </w:t>
      </w:r>
      <w:r>
        <w:rPr>
          <w:rFonts w:ascii="Times New Roman"/>
          <w:color w:val="000000"/>
          <w:spacing w:val="0"/>
          <w:sz w:val="21"/>
        </w:rPr>
        <w:t>436</w:t>
      </w:r>
      <w:r>
        <w:rPr>
          <w:rFonts w:ascii="SKJVQB+å®ä½" w:hAnsi="SKJVQB+å®ä½" w:cs="SKJVQB+å®ä½"/>
          <w:color w:val="000000"/>
          <w:spacing w:val="0"/>
          <w:sz w:val="21"/>
        </w:rPr>
        <w:t>号</w:t>
      </w:r>
    </w:p>
    <w:p>
      <w:pPr>
        <w:framePr w:w="526" w:wrap="around" w:vAnchor="margin" w:hAnchor="text" w:x="3005" w:y="1462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41</w:t>
      </w:r>
    </w:p>
    <w:p>
      <w:pPr>
        <w:framePr w:w="2418" w:wrap="around" w:vAnchor="margin" w:hAnchor="text" w:x="4640"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龙江银行股份有限公司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76</w:t>
      </w:r>
    </w:p>
    <w:p>
      <w:pPr>
        <w:spacing w:before="0" w:after="0" w:line="0" w:lineRule="exact"/>
        <w:ind w:left="0" w:right="0"/>
        <w:jc w:val="left"/>
        <w:rPr>
          <w:rFonts w:ascii="Arial"/>
          <w:color w:val="FF0000"/>
          <w:spacing w:val="0"/>
          <w:sz w:val="2"/>
        </w:rPr>
      </w:pPr>
      <w:r>
        <w:pict>
          <v:shape id="_x0000158" o:spid="_x0000_s1184"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40" o:title=""/>
            <o:lock v:ext="edit" aspectratio="t"/>
          </v:shape>
        </w:pict>
      </w:r>
      <w:r>
        <w:pict>
          <v:shape id="_x0000159" o:spid="_x0000_s1185"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4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办公地址：黑龙江哈尔滨市道</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里区友谊路 </w:t>
      </w:r>
      <w:r>
        <w:rPr>
          <w:rFonts w:ascii="Times New Roman"/>
          <w:color w:val="000000"/>
          <w:spacing w:val="0"/>
          <w:sz w:val="21"/>
        </w:rPr>
        <w:t>436</w:t>
      </w:r>
      <w:r>
        <w:rPr>
          <w:rFonts w:ascii="SKJVQB+å®ä½" w:hAnsi="SKJVQB+å®ä½" w:cs="SKJVQB+å®ä½"/>
          <w:color w:val="000000"/>
          <w:spacing w:val="0"/>
          <w:sz w:val="21"/>
        </w:rPr>
        <w:t>号</w:t>
      </w:r>
    </w:p>
    <w:p>
      <w:pPr>
        <w:framePr w:w="2209" w:wrap="around" w:vAnchor="margin" w:hAnchor="text" w:x="7482" w:y="21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法定代表人：张建辉</w:t>
      </w:r>
    </w:p>
    <w:p>
      <w:pPr>
        <w:framePr w:w="2209" w:wrap="around" w:vAnchor="margin" w:hAnchor="text" w:x="7482" w:y="21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联系人：闫勇</w:t>
      </w:r>
    </w:p>
    <w:p>
      <w:pPr>
        <w:framePr w:w="2460"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0451-85706107</w:t>
      </w:r>
    </w:p>
    <w:p>
      <w:pPr>
        <w:framePr w:w="2460"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0451-85706036</w:t>
      </w:r>
    </w:p>
    <w:p>
      <w:pPr>
        <w:framePr w:w="2460"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4006458888</w:t>
      </w:r>
    </w:p>
    <w:p>
      <w:pPr>
        <w:framePr w:w="2460"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www.lj-bank.com</w:t>
      </w:r>
    </w:p>
    <w:p>
      <w:pPr>
        <w:framePr w:w="526" w:wrap="around" w:vAnchor="margin" w:hAnchor="text" w:x="3005" w:y="398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42</w:t>
      </w:r>
    </w:p>
    <w:p>
      <w:pPr>
        <w:framePr w:w="2901" w:wrap="around" w:vAnchor="margin" w:hAnchor="text" w:x="4640"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广东南粤银行股份有限公司</w:t>
      </w:r>
    </w:p>
    <w:p>
      <w:pPr>
        <w:framePr w:w="3021"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注册地址：广东省湛江市经</w:t>
      </w:r>
    </w:p>
    <w:p>
      <w:pPr>
        <w:framePr w:w="3021"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济技术开发区乐山大道 </w:t>
      </w:r>
      <w:r>
        <w:rPr>
          <w:rFonts w:ascii="Times New Roman"/>
          <w:color w:val="000000"/>
          <w:spacing w:val="0"/>
          <w:sz w:val="21"/>
        </w:rPr>
        <w:t>60</w:t>
      </w:r>
      <w:r>
        <w:rPr>
          <w:rFonts w:ascii="SKJVQB+å®ä½" w:hAnsi="SKJVQB+å®ä½" w:cs="SKJVQB+å®ä½"/>
          <w:color w:val="000000"/>
          <w:spacing w:val="0"/>
          <w:sz w:val="21"/>
        </w:rPr>
        <w:t>号</w:t>
      </w:r>
    </w:p>
    <w:p>
      <w:pPr>
        <w:framePr w:w="3021" w:wrap="around" w:vAnchor="margin" w:hAnchor="text" w:x="7482" w:y="399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办公地址：广东省广州市珠江</w:t>
      </w:r>
    </w:p>
    <w:p>
      <w:pPr>
        <w:framePr w:w="3021"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新城临江大道 </w:t>
      </w:r>
      <w:r>
        <w:rPr>
          <w:rFonts w:ascii="Times New Roman"/>
          <w:color w:val="000000"/>
          <w:spacing w:val="0"/>
          <w:sz w:val="21"/>
        </w:rPr>
        <w:t>5</w:t>
      </w:r>
      <w:r>
        <w:rPr>
          <w:rFonts w:ascii="SKJVQB+å®ä½" w:hAnsi="SKJVQB+å®ä½" w:cs="SKJVQB+å®ä½"/>
          <w:color w:val="000000"/>
          <w:spacing w:val="0"/>
          <w:sz w:val="21"/>
        </w:rPr>
        <w:t>号保利中心</w:t>
      </w:r>
    </w:p>
    <w:p>
      <w:pPr>
        <w:framePr w:w="3021"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30</w:t>
      </w:r>
      <w:r>
        <w:rPr>
          <w:rFonts w:ascii="SKJVQB+å®ä½" w:hAnsi="SKJVQB+å®ä½" w:cs="SKJVQB+å®ä½"/>
          <w:color w:val="000000"/>
          <w:spacing w:val="0"/>
          <w:sz w:val="21"/>
        </w:rPr>
        <w:t>层</w:t>
      </w:r>
    </w:p>
    <w:p>
      <w:pPr>
        <w:framePr w:w="2104" w:wrap="around" w:vAnchor="margin" w:hAnchor="text" w:x="7482" w:y="555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法定代表人：蒋丹</w:t>
      </w:r>
    </w:p>
    <w:p>
      <w:pPr>
        <w:framePr w:w="2104" w:wrap="around" w:vAnchor="margin" w:hAnchor="text" w:x="7482" w:y="555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联系人：陈静</w:t>
      </w:r>
    </w:p>
    <w:p>
      <w:pPr>
        <w:framePr w:w="2421"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020-28099040</w:t>
      </w:r>
    </w:p>
    <w:p>
      <w:pPr>
        <w:framePr w:w="2421"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0759</w:t>
      </w:r>
      <w:r>
        <w:rPr>
          <w:rFonts w:ascii="SKJVQB+å®ä½" w:hAnsi="SKJVQB+å®ä½" w:cs="SKJVQB+å®ä½"/>
          <w:color w:val="000000"/>
          <w:spacing w:val="0"/>
          <w:sz w:val="21"/>
        </w:rPr>
        <w:t>—</w:t>
      </w:r>
      <w:r>
        <w:rPr>
          <w:rFonts w:ascii="Times New Roman"/>
          <w:color w:val="000000"/>
          <w:spacing w:val="0"/>
          <w:sz w:val="21"/>
        </w:rPr>
        <w:t>2631600</w:t>
      </w:r>
    </w:p>
    <w:p>
      <w:pPr>
        <w:framePr w:w="2421"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4000961818</w:t>
      </w:r>
    </w:p>
    <w:p>
      <w:pPr>
        <w:framePr w:w="2421"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901" w:wrap="around" w:vAnchor="margin" w:hAnchor="text" w:x="7482" w:y="741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http://www.gdnybank.com</w:t>
      </w:r>
    </w:p>
    <w:p>
      <w:pPr>
        <w:framePr w:w="2901" w:wrap="around" w:vAnchor="margin" w:hAnchor="text" w:x="7482" w:y="741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注册地址：桂林市中山南路</w:t>
      </w:r>
    </w:p>
    <w:p>
      <w:pPr>
        <w:framePr w:w="2901" w:wrap="around" w:vAnchor="margin" w:hAnchor="text" w:x="7482" w:y="74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76</w:t>
      </w:r>
      <w:r>
        <w:rPr>
          <w:rFonts w:ascii="SKJVQB+å®ä½" w:hAnsi="SKJVQB+å®ä½" w:cs="SKJVQB+å®ä½"/>
          <w:color w:val="000000"/>
          <w:spacing w:val="0"/>
          <w:sz w:val="21"/>
        </w:rPr>
        <w:t>号</w:t>
      </w:r>
    </w:p>
    <w:p>
      <w:pPr>
        <w:framePr w:w="526" w:wrap="around" w:vAnchor="margin" w:hAnchor="text" w:x="3005" w:y="77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43</w:t>
      </w:r>
    </w:p>
    <w:p>
      <w:pPr>
        <w:framePr w:w="2418"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桂林银行股份有限公司</w:t>
      </w:r>
    </w:p>
    <w:p>
      <w:pPr>
        <w:framePr w:w="2901" w:wrap="around" w:vAnchor="margin" w:hAnchor="text" w:x="7482"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办公地址：桂林市中山南路</w:t>
      </w:r>
    </w:p>
    <w:p>
      <w:pPr>
        <w:framePr w:w="2901"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76</w:t>
      </w:r>
      <w:r>
        <w:rPr>
          <w:rFonts w:ascii="SKJVQB+å®ä½" w:hAnsi="SKJVQB+å®ä½" w:cs="SKJVQB+å®ä½"/>
          <w:color w:val="000000"/>
          <w:spacing w:val="0"/>
          <w:sz w:val="21"/>
        </w:rPr>
        <w:t>号</w:t>
      </w:r>
    </w:p>
    <w:p>
      <w:pPr>
        <w:framePr w:w="2104" w:wrap="around" w:vAnchor="margin" w:hAnchor="text" w:x="7482"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法定代表人：王能</w:t>
      </w:r>
    </w:p>
    <w:p>
      <w:pPr>
        <w:framePr w:w="2104" w:wrap="around" w:vAnchor="margin" w:hAnchor="text" w:x="7482" w:y="89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联系人：兰金香</w:t>
      </w:r>
    </w:p>
    <w:p>
      <w:pPr>
        <w:framePr w:w="3092"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0773-3876895</w:t>
      </w:r>
    </w:p>
    <w:p>
      <w:pPr>
        <w:framePr w:w="3092"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0773-3851691</w:t>
      </w:r>
    </w:p>
    <w:p>
      <w:pPr>
        <w:framePr w:w="3092"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400-86-96299</w:t>
      </w:r>
    </w:p>
    <w:p>
      <w:pPr>
        <w:framePr w:w="3092" w:wrap="around" w:vAnchor="margin" w:hAnchor="text" w:x="7482" w:y="9611"/>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www.guilinbank.com.cn</w:t>
      </w:r>
    </w:p>
    <w:p>
      <w:pPr>
        <w:framePr w:w="3092" w:wrap="around" w:vAnchor="margin" w:hAnchor="text" w:x="7482" w:y="961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注册地址：福建省泉州市丰泽</w:t>
      </w:r>
    </w:p>
    <w:p>
      <w:pPr>
        <w:framePr w:w="3092"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区云鹿路 </w:t>
      </w:r>
      <w:r>
        <w:rPr>
          <w:rFonts w:ascii="Times New Roman"/>
          <w:color w:val="000000"/>
          <w:spacing w:val="0"/>
          <w:sz w:val="21"/>
        </w:rPr>
        <w:t>3</w:t>
      </w:r>
      <w:r>
        <w:rPr>
          <w:rFonts w:ascii="SKJVQB+å®ä½" w:hAnsi="SKJVQB+å®ä½" w:cs="SKJVQB+å®ä½"/>
          <w:color w:val="000000"/>
          <w:spacing w:val="0"/>
          <w:sz w:val="21"/>
        </w:rPr>
        <w:t>号</w:t>
      </w:r>
    </w:p>
    <w:p>
      <w:pPr>
        <w:framePr w:w="526" w:wrap="around" w:vAnchor="margin" w:hAnchor="text" w:x="3005" w:y="1086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44</w:t>
      </w:r>
    </w:p>
    <w:p>
      <w:pPr>
        <w:framePr w:w="2418"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泉州银行股份有限公司</w:t>
      </w:r>
    </w:p>
    <w:p>
      <w:pPr>
        <w:framePr w:w="3020"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办公地址：福建省泉州市丰泽</w:t>
      </w:r>
    </w:p>
    <w:p>
      <w:pPr>
        <w:framePr w:w="3020"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区云鹿路 </w:t>
      </w:r>
      <w:r>
        <w:rPr>
          <w:rFonts w:ascii="Times New Roman"/>
          <w:color w:val="000000"/>
          <w:spacing w:val="0"/>
          <w:sz w:val="21"/>
        </w:rPr>
        <w:t>3</w:t>
      </w:r>
      <w:r>
        <w:rPr>
          <w:rFonts w:ascii="SKJVQB+å®ä½" w:hAnsi="SKJVQB+å®ä½" w:cs="SKJVQB+å®ä½"/>
          <w:color w:val="000000"/>
          <w:spacing w:val="0"/>
          <w:sz w:val="21"/>
        </w:rPr>
        <w:t>号</w:t>
      </w:r>
    </w:p>
    <w:p>
      <w:pPr>
        <w:framePr w:w="2209" w:wrap="around" w:vAnchor="margin" w:hAnchor="text" w:x="7482"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法定代表人：傅子能</w:t>
      </w:r>
    </w:p>
    <w:p>
      <w:pPr>
        <w:framePr w:w="2209" w:wrap="around" w:vAnchor="margin" w:hAnchor="text" w:x="7482" w:y="1212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联系人：谢婷枫</w:t>
      </w:r>
    </w:p>
    <w:p>
      <w:pPr>
        <w:framePr w:w="2284" w:wrap="around" w:vAnchor="margin" w:hAnchor="text" w:x="7482" w:y="1274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0595-22551071</w:t>
      </w:r>
    </w:p>
    <w:p>
      <w:pPr>
        <w:framePr w:w="2284"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0595-22578871</w:t>
      </w:r>
    </w:p>
    <w:p>
      <w:pPr>
        <w:framePr w:w="2284"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96312</w:t>
      </w:r>
    </w:p>
    <w:p>
      <w:pPr>
        <w:framePr w:w="949" w:wrap="around" w:vAnchor="margin" w:hAnchor="text" w:x="7482" w:y="1368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1" w:wrap="around" w:vAnchor="margin" w:hAnchor="text" w:x="7482" w:y="1398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http://www.qzccbank.com/</w:t>
      </w:r>
    </w:p>
    <w:p>
      <w:pPr>
        <w:framePr w:w="3021" w:wrap="around" w:vAnchor="margin" w:hAnchor="text" w:x="7482" w:y="1398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注册地址：西安市高新技术产</w:t>
      </w:r>
    </w:p>
    <w:p>
      <w:pPr>
        <w:framePr w:w="3021" w:wrap="around" w:vAnchor="margin" w:hAnchor="text" w:x="7482" w:y="1398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业开发区高新四路 </w:t>
      </w:r>
      <w:r>
        <w:rPr>
          <w:rFonts w:ascii="Times New Roman"/>
          <w:color w:val="000000"/>
          <w:spacing w:val="0"/>
          <w:sz w:val="21"/>
        </w:rPr>
        <w:t>13</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幢</w:t>
      </w:r>
    </w:p>
    <w:p>
      <w:pPr>
        <w:framePr w:w="3021" w:wrap="around" w:vAnchor="margin" w:hAnchor="text" w:x="7482" w:y="1398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w:t>
      </w:r>
      <w:r>
        <w:rPr>
          <w:rFonts w:ascii="SKJVQB+å®ä½" w:hAnsi="SKJVQB+å®ä½" w:cs="SKJVQB+å®ä½"/>
          <w:color w:val="000000"/>
          <w:spacing w:val="0"/>
          <w:sz w:val="21"/>
        </w:rPr>
        <w:t xml:space="preserve">单元  </w:t>
      </w:r>
      <w:r>
        <w:rPr>
          <w:rFonts w:ascii="Times New Roman"/>
          <w:color w:val="000000"/>
          <w:spacing w:val="0"/>
          <w:sz w:val="21"/>
        </w:rPr>
        <w:t>10101</w:t>
      </w:r>
      <w:r>
        <w:rPr>
          <w:rFonts w:ascii="SKJVQB+å®ä½" w:hAnsi="SKJVQB+å®ä½" w:cs="SKJVQB+å®ä½"/>
          <w:color w:val="000000"/>
          <w:spacing w:val="0"/>
          <w:sz w:val="21"/>
        </w:rPr>
        <w:t>室</w:t>
      </w:r>
    </w:p>
    <w:p>
      <w:pPr>
        <w:framePr w:w="526" w:wrap="around" w:vAnchor="margin" w:hAnchor="text" w:x="3005" w:y="1431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45</w:t>
      </w:r>
    </w:p>
    <w:p>
      <w:pPr>
        <w:framePr w:w="2418" w:wrap="around" w:vAnchor="margin" w:hAnchor="text" w:x="4640"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长安银行股份有限公司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77</w:t>
      </w:r>
    </w:p>
    <w:p>
      <w:pPr>
        <w:spacing w:before="0" w:after="0" w:line="0" w:lineRule="exact"/>
        <w:ind w:left="0" w:right="0"/>
        <w:jc w:val="left"/>
        <w:rPr>
          <w:rFonts w:ascii="Arial"/>
          <w:color w:val="FF0000"/>
          <w:spacing w:val="0"/>
          <w:sz w:val="2"/>
        </w:rPr>
      </w:pPr>
      <w:r>
        <w:pict>
          <v:shape id="_x0000160" o:spid="_x0000_s1186"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42" o:title=""/>
            <o:lock v:ext="edit" aspectratio="t"/>
          </v:shape>
        </w:pict>
      </w:r>
      <w:r>
        <w:pict>
          <v:shape id="_x0000161" o:spid="_x0000_s1187"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4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办公地址：西安市高新技术产</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业开发区高新四路 </w:t>
      </w:r>
      <w:r>
        <w:rPr>
          <w:rFonts w:ascii="Times New Roman"/>
          <w:color w:val="000000"/>
          <w:spacing w:val="0"/>
          <w:sz w:val="21"/>
        </w:rPr>
        <w:t>13</w:t>
      </w:r>
      <w:r>
        <w:rPr>
          <w:rFonts w:ascii="SKJVQB+å®ä½" w:hAnsi="SKJVQB+å®ä½" w:cs="SKJVQB+å®ä½"/>
          <w:color w:val="000000"/>
          <w:spacing w:val="0"/>
          <w:sz w:val="21"/>
        </w:rPr>
        <w:t>号</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法定代表人：毛亚社</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联系人：闫石</w:t>
      </w:r>
    </w:p>
    <w:p>
      <w:pPr>
        <w:framePr w:w="2581"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029-88609566</w:t>
      </w:r>
    </w:p>
    <w:p>
      <w:pPr>
        <w:framePr w:w="2581" w:wrap="around" w:vAnchor="margin" w:hAnchor="text" w:x="7482" w:y="27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(029)96669</w:t>
      </w:r>
      <w:r>
        <w:rPr>
          <w:rFonts w:ascii="SKJVQB+å®ä½" w:hAnsi="SKJVQB+å®ä½" w:cs="SKJVQB+å®ä½"/>
          <w:color w:val="000000"/>
          <w:spacing w:val="0"/>
          <w:sz w:val="21"/>
        </w:rPr>
        <w:t>、</w:t>
      </w:r>
    </w:p>
    <w:p>
      <w:pPr>
        <w:framePr w:w="2581" w:wrap="around" w:vAnchor="margin" w:hAnchor="text" w:x="7482" w:y="2727"/>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400-05-96669</w:t>
      </w:r>
    </w:p>
    <w:p>
      <w:pPr>
        <w:framePr w:w="2740" w:wrap="around" w:vAnchor="margin" w:hAnchor="text" w:x="7482" w:y="36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www.ccabchina.com</w:t>
      </w:r>
    </w:p>
    <w:p>
      <w:pPr>
        <w:framePr w:w="526" w:wrap="around" w:vAnchor="margin" w:hAnchor="text" w:x="3005" w:y="398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46</w:t>
      </w:r>
    </w:p>
    <w:p>
      <w:pPr>
        <w:framePr w:w="526" w:wrap="around" w:vAnchor="margin" w:hAnchor="text" w:x="3005" w:y="3982"/>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47</w:t>
      </w:r>
    </w:p>
    <w:p>
      <w:pPr>
        <w:framePr w:w="526" w:wrap="around" w:vAnchor="margin" w:hAnchor="text" w:x="3005" w:y="3982"/>
        <w:widowControl w:val="0"/>
        <w:autoSpaceDE w:val="0"/>
        <w:autoSpaceDN w:val="0"/>
        <w:spacing w:before="0" w:after="0" w:line="3132" w:lineRule="exact"/>
        <w:ind w:left="0" w:right="0"/>
        <w:jc w:val="left"/>
        <w:rPr>
          <w:rFonts w:ascii="Times New Roman"/>
          <w:color w:val="000000"/>
          <w:spacing w:val="0"/>
          <w:sz w:val="21"/>
        </w:rPr>
      </w:pPr>
      <w:r>
        <w:rPr>
          <w:rFonts w:ascii="Times New Roman"/>
          <w:color w:val="000000"/>
          <w:spacing w:val="0"/>
          <w:sz w:val="21"/>
        </w:rPr>
        <w:t>48</w:t>
      </w:r>
    </w:p>
    <w:p>
      <w:pPr>
        <w:framePr w:w="2418" w:wrap="around" w:vAnchor="margin" w:hAnchor="text" w:x="4640"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锦州银行股份有限公司</w:t>
      </w:r>
    </w:p>
    <w:p>
      <w:pPr>
        <w:framePr w:w="3020"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注册地址：辽宁省锦州市松山</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新区科技路 </w:t>
      </w:r>
      <w:r>
        <w:rPr>
          <w:rFonts w:ascii="Times New Roman"/>
          <w:color w:val="000000"/>
          <w:spacing w:val="0"/>
          <w:sz w:val="21"/>
        </w:rPr>
        <w:t>68</w:t>
      </w:r>
      <w:r>
        <w:rPr>
          <w:rFonts w:ascii="SKJVQB+å®ä½" w:hAnsi="SKJVQB+å®ä½" w:cs="SKJVQB+å®ä½"/>
          <w:color w:val="000000"/>
          <w:spacing w:val="0"/>
          <w:sz w:val="21"/>
        </w:rPr>
        <w:t>号</w:t>
      </w:r>
    </w:p>
    <w:p>
      <w:pPr>
        <w:framePr w:w="3020"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办公地址：辽宁省锦州市松山</w:t>
      </w:r>
    </w:p>
    <w:p>
      <w:pPr>
        <w:framePr w:w="3020" w:wrap="around" w:vAnchor="margin" w:hAnchor="text" w:x="7482" w:y="461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新区科技路 </w:t>
      </w:r>
      <w:r>
        <w:rPr>
          <w:rFonts w:ascii="Times New Roman"/>
          <w:color w:val="000000"/>
          <w:spacing w:val="0"/>
          <w:sz w:val="21"/>
        </w:rPr>
        <w:t>68</w:t>
      </w:r>
      <w:r>
        <w:rPr>
          <w:rFonts w:ascii="SKJVQB+å®ä½" w:hAnsi="SKJVQB+å®ä½" w:cs="SKJVQB+å®ä½"/>
          <w:color w:val="000000"/>
          <w:spacing w:val="0"/>
          <w:sz w:val="21"/>
        </w:rPr>
        <w:t>号</w:t>
      </w:r>
    </w:p>
    <w:p>
      <w:pPr>
        <w:framePr w:w="1998"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法定代表人：张伟</w:t>
      </w:r>
    </w:p>
    <w:p>
      <w:pPr>
        <w:framePr w:w="1789" w:wrap="around" w:vAnchor="margin" w:hAnchor="text" w:x="7482" w:y="555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联系人：庞璐璐</w:t>
      </w:r>
    </w:p>
    <w:p>
      <w:pPr>
        <w:framePr w:w="3020" w:wrap="around" w:vAnchor="margin" w:hAnchor="text" w:x="7482" w:y="585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0416-3220085</w:t>
      </w:r>
    </w:p>
    <w:p>
      <w:pPr>
        <w:framePr w:w="3020"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0416-3220186</w:t>
      </w:r>
    </w:p>
    <w:p>
      <w:pPr>
        <w:framePr w:w="3020"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400-66-96178</w:t>
      </w:r>
    </w:p>
    <w:p>
      <w:pPr>
        <w:framePr w:w="3020"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www.jinzhoubank.com</w:t>
      </w:r>
    </w:p>
    <w:p>
      <w:pPr>
        <w:framePr w:w="3020" w:wrap="around" w:vAnchor="margin" w:hAnchor="text" w:x="7482" w:y="585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注册地址：浙江省乐清市城</w:t>
      </w:r>
    </w:p>
    <w:p>
      <w:pPr>
        <w:framePr w:w="3020"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南街道伯乐西路 </w:t>
      </w:r>
      <w:r>
        <w:rPr>
          <w:rFonts w:ascii="Times New Roman"/>
          <w:color w:val="000000"/>
          <w:spacing w:val="0"/>
          <w:sz w:val="21"/>
        </w:rPr>
        <w:t>99</w:t>
      </w:r>
      <w:r>
        <w:rPr>
          <w:rFonts w:ascii="SKJVQB+å®ä½" w:hAnsi="SKJVQB+å®ä½" w:cs="SKJVQB+å®ä½"/>
          <w:color w:val="000000"/>
          <w:spacing w:val="0"/>
          <w:sz w:val="21"/>
        </w:rPr>
        <w:t>号</w:t>
      </w:r>
    </w:p>
    <w:p>
      <w:pPr>
        <w:framePr w:w="3020"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办公地址：浙江省乐清市城南</w:t>
      </w:r>
    </w:p>
    <w:p>
      <w:pPr>
        <w:framePr w:w="3020" w:wrap="around" w:vAnchor="margin" w:hAnchor="text" w:x="7482" w:y="5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街道伯乐西路 </w:t>
      </w:r>
      <w:r>
        <w:rPr>
          <w:rFonts w:ascii="Times New Roman"/>
          <w:color w:val="000000"/>
          <w:spacing w:val="0"/>
          <w:sz w:val="21"/>
        </w:rPr>
        <w:t>99</w:t>
      </w:r>
      <w:r>
        <w:rPr>
          <w:rFonts w:ascii="SKJVQB+å®ä½" w:hAnsi="SKJVQB+å®ä½" w:cs="SKJVQB+å®ä½"/>
          <w:color w:val="000000"/>
          <w:spacing w:val="0"/>
          <w:sz w:val="21"/>
        </w:rPr>
        <w:t>号</w:t>
      </w:r>
    </w:p>
    <w:p>
      <w:pPr>
        <w:framePr w:w="2901" w:wrap="around" w:vAnchor="margin" w:hAnchor="text" w:x="4640"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浙江乐清农村商业银行股份</w:t>
      </w:r>
    </w:p>
    <w:p>
      <w:pPr>
        <w:framePr w:w="2901" w:wrap="around" w:vAnchor="margin" w:hAnchor="text" w:x="4640"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2312" w:wrap="around" w:vAnchor="margin" w:hAnchor="text" w:x="7482"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法定代表人：高剑飞</w:t>
      </w:r>
    </w:p>
    <w:p>
      <w:pPr>
        <w:framePr w:w="2312"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联系人：金晓娇</w:t>
      </w:r>
    </w:p>
    <w:p>
      <w:pPr>
        <w:framePr w:w="3020"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0577-61566028</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0577-61566063</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4008896596</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www.yqbank.com</w:t>
      </w:r>
    </w:p>
    <w:p>
      <w:pPr>
        <w:framePr w:w="3020" w:wrap="around" w:vAnchor="margin" w:hAnchor="text" w:x="7482" w:y="898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注册地址：浙江省台州市路桥</w:t>
      </w:r>
    </w:p>
    <w:p>
      <w:pPr>
        <w:framePr w:w="3020" w:wrap="around" w:vAnchor="margin" w:hAnchor="text" w:x="7482" w:y="8987"/>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区南官大道 </w:t>
      </w:r>
      <w:r>
        <w:rPr>
          <w:rFonts w:ascii="Times New Roman"/>
          <w:color w:val="000000"/>
          <w:spacing w:val="0"/>
          <w:sz w:val="21"/>
        </w:rPr>
        <w:t>188</w:t>
      </w:r>
      <w:r>
        <w:rPr>
          <w:rFonts w:ascii="SKJVQB+å®ä½" w:hAnsi="SKJVQB+å®ä½" w:cs="SKJVQB+å®ä½"/>
          <w:color w:val="000000"/>
          <w:spacing w:val="0"/>
          <w:sz w:val="21"/>
        </w:rPr>
        <w:t>号</w:t>
      </w:r>
    </w:p>
    <w:p>
      <w:pPr>
        <w:framePr w:w="2901" w:wrap="around" w:vAnchor="margin" w:hAnchor="text" w:x="4640"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浙江泰隆商业银行股份有限</w:t>
      </w:r>
    </w:p>
    <w:p>
      <w:pPr>
        <w:framePr w:w="2901" w:wrap="around" w:vAnchor="margin" w:hAnchor="text" w:x="4640" w:y="1025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办公地址：浙江省杭州市上城</w:t>
      </w:r>
    </w:p>
    <w:p>
      <w:pPr>
        <w:framePr w:w="3020" w:wrap="around" w:vAnchor="margin" w:hAnchor="text" w:x="7482"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区望江东路 </w:t>
      </w:r>
      <w:r>
        <w:rPr>
          <w:rFonts w:ascii="Times New Roman"/>
          <w:color w:val="000000"/>
          <w:spacing w:val="0"/>
          <w:sz w:val="21"/>
        </w:rPr>
        <w:t>59</w:t>
      </w:r>
      <w:r>
        <w:rPr>
          <w:rFonts w:ascii="SKJVQB+å®ä½" w:hAnsi="SKJVQB+å®ä½" w:cs="SKJVQB+å®ä½"/>
          <w:color w:val="000000"/>
          <w:spacing w:val="0"/>
          <w:sz w:val="21"/>
        </w:rPr>
        <w:t>号</w:t>
      </w:r>
    </w:p>
    <w:p>
      <w:pPr>
        <w:framePr w:w="1998"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法定代表人：王钧</w:t>
      </w:r>
    </w:p>
    <w:p>
      <w:pPr>
        <w:framePr w:w="1789"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联系人：陈妍宇</w:t>
      </w:r>
    </w:p>
    <w:p>
      <w:pPr>
        <w:framePr w:w="2588"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0571-87788979</w:t>
      </w:r>
    </w:p>
    <w:p>
      <w:pPr>
        <w:framePr w:w="2588"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0571-87788818</w:t>
      </w:r>
    </w:p>
    <w:p>
      <w:pPr>
        <w:framePr w:w="2588"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400-88-96575</w:t>
      </w:r>
    </w:p>
    <w:p>
      <w:pPr>
        <w:framePr w:w="2588"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www.zjtlcb.com</w:t>
      </w:r>
    </w:p>
    <w:p>
      <w:pPr>
        <w:framePr w:w="526" w:wrap="around" w:vAnchor="margin" w:hAnchor="text" w:x="3005" w:y="1368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49</w:t>
      </w:r>
    </w:p>
    <w:p>
      <w:pPr>
        <w:framePr w:w="2901" w:wrap="around" w:vAnchor="margin" w:hAnchor="text" w:x="4640"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浙江杭州余杭农村商业银行</w:t>
      </w:r>
    </w:p>
    <w:p>
      <w:pPr>
        <w:framePr w:w="2901" w:wrap="around" w:vAnchor="margin" w:hAnchor="text" w:x="4640"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股份有限公司</w:t>
      </w:r>
    </w:p>
    <w:p>
      <w:pPr>
        <w:framePr w:w="3020"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注册地址：浙江省杭州市余杭</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区南苑街道南大街 </w:t>
      </w:r>
      <w:r>
        <w:rPr>
          <w:rFonts w:ascii="Times New Roman"/>
          <w:color w:val="000000"/>
          <w:spacing w:val="0"/>
          <w:sz w:val="21"/>
        </w:rPr>
        <w:t>72</w:t>
      </w:r>
      <w:r>
        <w:rPr>
          <w:rFonts w:ascii="SKJVQB+å®ä½" w:hAnsi="SKJVQB+å®ä½" w:cs="SKJVQB+å®ä½"/>
          <w:color w:val="000000"/>
          <w:spacing w:val="0"/>
          <w:sz w:val="21"/>
        </w:rPr>
        <w:t>号</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办公地址：浙江省杭州市余杭</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区南苑街道南大街 </w:t>
      </w:r>
      <w:r>
        <w:rPr>
          <w:rFonts w:ascii="Times New Roman"/>
          <w:color w:val="000000"/>
          <w:spacing w:val="0"/>
          <w:sz w:val="21"/>
        </w:rPr>
        <w:t>72</w:t>
      </w:r>
      <w:r>
        <w:rPr>
          <w:rFonts w:ascii="SKJVQB+å®ä½" w:hAnsi="SKJVQB+å®ä½" w:cs="SKJVQB+å®ä½"/>
          <w:color w:val="000000"/>
          <w:spacing w:val="0"/>
          <w:sz w:val="21"/>
        </w:rPr>
        <w:t>号</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法定代表人：来煜标</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78</w:t>
      </w:r>
    </w:p>
    <w:p>
      <w:pPr>
        <w:spacing w:before="0" w:after="0" w:line="0" w:lineRule="exact"/>
        <w:ind w:left="0" w:right="0"/>
        <w:jc w:val="left"/>
        <w:rPr>
          <w:rFonts w:ascii="Arial"/>
          <w:color w:val="FF0000"/>
          <w:spacing w:val="0"/>
          <w:sz w:val="2"/>
        </w:rPr>
      </w:pPr>
      <w:r>
        <w:pict>
          <v:shape id="_x0000162" o:spid="_x0000_s1188"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44" o:title=""/>
            <o:lock v:ext="edit" aspectratio="t"/>
          </v:shape>
        </w:pict>
      </w:r>
      <w:r>
        <w:pict>
          <v:shape id="_x0000163" o:spid="_x0000_s1189"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4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578"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联系人：蔡亮</w:t>
      </w:r>
    </w:p>
    <w:p>
      <w:pPr>
        <w:framePr w:w="3266"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0571-86209980</w:t>
      </w:r>
    </w:p>
    <w:p>
      <w:pPr>
        <w:framePr w:w="3266"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0571-86137150</w:t>
      </w:r>
    </w:p>
    <w:p>
      <w:pPr>
        <w:framePr w:w="3266"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96596</w:t>
      </w:r>
      <w:r>
        <w:rPr>
          <w:rFonts w:ascii="SKJVQB+å®ä½" w:hAnsi="SKJVQB+å®ä½" w:cs="SKJVQB+å®ä½"/>
          <w:color w:val="000000"/>
          <w:spacing w:val="0"/>
          <w:sz w:val="21"/>
        </w:rPr>
        <w:t>，</w:t>
      </w:r>
      <w:r>
        <w:rPr>
          <w:rFonts w:ascii="Times New Roman"/>
          <w:color w:val="000000"/>
          <w:spacing w:val="0"/>
          <w:sz w:val="21"/>
        </w:rPr>
        <w:t>4008896596</w:t>
      </w:r>
    </w:p>
    <w:p>
      <w:pPr>
        <w:framePr w:w="3266"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www.yhrcb.com</w:t>
      </w:r>
    </w:p>
    <w:p>
      <w:pPr>
        <w:framePr w:w="526" w:wrap="around" w:vAnchor="margin" w:hAnchor="text" w:x="3005"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50</w:t>
      </w:r>
    </w:p>
    <w:p>
      <w:pPr>
        <w:framePr w:w="526" w:wrap="around" w:vAnchor="margin" w:hAnchor="text" w:x="3005" w:y="3046"/>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51</w:t>
      </w:r>
    </w:p>
    <w:p>
      <w:pPr>
        <w:framePr w:w="526" w:wrap="around" w:vAnchor="margin" w:hAnchor="text" w:x="3005" w:y="3046"/>
        <w:widowControl w:val="0"/>
        <w:autoSpaceDE w:val="0"/>
        <w:autoSpaceDN w:val="0"/>
        <w:spacing w:before="0" w:after="0" w:line="3132" w:lineRule="exact"/>
        <w:ind w:left="0" w:right="0"/>
        <w:jc w:val="left"/>
        <w:rPr>
          <w:rFonts w:ascii="Times New Roman"/>
          <w:color w:val="000000"/>
          <w:spacing w:val="0"/>
          <w:sz w:val="21"/>
        </w:rPr>
      </w:pPr>
      <w:r>
        <w:rPr>
          <w:rFonts w:ascii="Times New Roman"/>
          <w:color w:val="000000"/>
          <w:spacing w:val="0"/>
          <w:sz w:val="21"/>
        </w:rPr>
        <w:t>52</w:t>
      </w:r>
    </w:p>
    <w:p>
      <w:pPr>
        <w:framePr w:w="526" w:wrap="around" w:vAnchor="margin" w:hAnchor="text" w:x="3005" w:y="3046"/>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53</w:t>
      </w:r>
    </w:p>
    <w:p>
      <w:pPr>
        <w:framePr w:w="2901"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浙江富阳农村商业银行股份</w:t>
      </w:r>
    </w:p>
    <w:p>
      <w:pPr>
        <w:framePr w:w="2901" w:wrap="around" w:vAnchor="margin" w:hAnchor="text" w:x="4640"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注册地址：杭州市富阳区鹿山</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街道依江路 </w:t>
      </w:r>
      <w:r>
        <w:rPr>
          <w:rFonts w:ascii="Times New Roman"/>
          <w:color w:val="000000"/>
          <w:spacing w:val="0"/>
          <w:sz w:val="21"/>
        </w:rPr>
        <w:t>501</w:t>
      </w:r>
      <w:r>
        <w:rPr>
          <w:rFonts w:ascii="SKJVQB+å®ä½" w:hAnsi="SKJVQB+å®ä½" w:cs="SKJVQB+å®ä½"/>
          <w:color w:val="000000"/>
          <w:spacing w:val="0"/>
          <w:sz w:val="21"/>
        </w:rPr>
        <w:t xml:space="preserve">号第  </w:t>
      </w:r>
      <w:r>
        <w:rPr>
          <w:rFonts w:ascii="Times New Roman"/>
          <w:color w:val="000000"/>
          <w:spacing w:val="0"/>
          <w:sz w:val="21"/>
        </w:rPr>
        <w:t>1</w:t>
      </w:r>
      <w:r>
        <w:rPr>
          <w:rFonts w:ascii="SKJVQB+å®ä½" w:hAnsi="SKJVQB+å®ä½" w:cs="SKJVQB+å®ä½"/>
          <w:color w:val="000000"/>
          <w:spacing w:val="0"/>
          <w:sz w:val="21"/>
        </w:rPr>
        <w:t>幢</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办公地址：杭州市富阳区鹿山</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街道依江路 </w:t>
      </w:r>
      <w:r>
        <w:rPr>
          <w:rFonts w:ascii="Times New Roman"/>
          <w:color w:val="000000"/>
          <w:spacing w:val="0"/>
          <w:sz w:val="21"/>
        </w:rPr>
        <w:t>501</w:t>
      </w:r>
      <w:r>
        <w:rPr>
          <w:rFonts w:ascii="SKJVQB+å®ä½" w:hAnsi="SKJVQB+å®ä½" w:cs="SKJVQB+å®ä½"/>
          <w:color w:val="000000"/>
          <w:spacing w:val="0"/>
          <w:sz w:val="21"/>
        </w:rPr>
        <w:t xml:space="preserve">号第  </w:t>
      </w:r>
      <w:r>
        <w:rPr>
          <w:rFonts w:ascii="Times New Roman"/>
          <w:color w:val="000000"/>
          <w:spacing w:val="0"/>
          <w:sz w:val="21"/>
        </w:rPr>
        <w:t>1</w:t>
      </w:r>
      <w:r>
        <w:rPr>
          <w:rFonts w:ascii="SKJVQB+å®ä½" w:hAnsi="SKJVQB+å®ä½" w:cs="SKJVQB+å®ä½"/>
          <w:color w:val="000000"/>
          <w:spacing w:val="0"/>
          <w:sz w:val="21"/>
        </w:rPr>
        <w:t>幢</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法定代表人：丁松茂</w:t>
      </w:r>
    </w:p>
    <w:p>
      <w:pPr>
        <w:framePr w:w="3020" w:wrap="around" w:vAnchor="margin" w:hAnchor="text" w:x="7482" w:y="3055"/>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联系人：陈硕</w:t>
      </w:r>
    </w:p>
    <w:p>
      <w:pPr>
        <w:framePr w:w="3020"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0571-63280253</w:t>
      </w:r>
    </w:p>
    <w:p>
      <w:pPr>
        <w:framePr w:w="3020"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0571-63360418</w:t>
      </w:r>
    </w:p>
    <w:p>
      <w:pPr>
        <w:framePr w:w="3020"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4008896596</w:t>
      </w:r>
    </w:p>
    <w:p>
      <w:pPr>
        <w:framePr w:w="3020"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www.fyrcbk.com</w:t>
      </w:r>
    </w:p>
    <w:p>
      <w:pPr>
        <w:framePr w:w="3020" w:wrap="around" w:vAnchor="margin" w:hAnchor="text" w:x="7482" w:y="492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注册地址：吉林省长春市二道</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区自由大路 </w:t>
      </w:r>
      <w:r>
        <w:rPr>
          <w:rFonts w:ascii="Times New Roman"/>
          <w:color w:val="000000"/>
          <w:spacing w:val="0"/>
          <w:sz w:val="21"/>
        </w:rPr>
        <w:t>5755</w:t>
      </w:r>
      <w:r>
        <w:rPr>
          <w:rFonts w:ascii="SKJVQB+å®ä½" w:hAnsi="SKJVQB+å®ä½" w:cs="SKJVQB+å®ä½"/>
          <w:color w:val="000000"/>
          <w:spacing w:val="0"/>
          <w:sz w:val="21"/>
        </w:rPr>
        <w:t>号</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办公地址：吉林省长春市绿园</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区正阳街 </w:t>
      </w:r>
      <w:r>
        <w:rPr>
          <w:rFonts w:ascii="Times New Roman"/>
          <w:color w:val="000000"/>
          <w:spacing w:val="0"/>
          <w:sz w:val="21"/>
        </w:rPr>
        <w:t>4288</w:t>
      </w:r>
      <w:r>
        <w:rPr>
          <w:rFonts w:ascii="SKJVQB+å®ä½" w:hAnsi="SKJVQB+å®ä½" w:cs="SKJVQB+å®ä½"/>
          <w:color w:val="000000"/>
          <w:spacing w:val="0"/>
          <w:sz w:val="21"/>
        </w:rPr>
        <w:t>号</w:t>
      </w:r>
    </w:p>
    <w:p>
      <w:pPr>
        <w:framePr w:w="2901" w:wrap="around" w:vAnchor="margin" w:hAnchor="text" w:x="4640"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长春农村商业银行股份有限</w:t>
      </w:r>
    </w:p>
    <w:p>
      <w:pPr>
        <w:framePr w:w="2901" w:wrap="around" w:vAnchor="margin" w:hAnchor="text" w:x="4640"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2209"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法定代表人：马铁刚</w:t>
      </w:r>
    </w:p>
    <w:p>
      <w:pPr>
        <w:framePr w:w="2209" w:wrap="around" w:vAnchor="margin" w:hAnchor="text" w:x="7482"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联系人：张俊峰</w:t>
      </w:r>
    </w:p>
    <w:p>
      <w:pPr>
        <w:framePr w:w="3020" w:wrap="around" w:vAnchor="margin" w:hAnchor="text" w:x="7482" w:y="80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0431-89115109</w:t>
      </w:r>
    </w:p>
    <w:p>
      <w:pPr>
        <w:framePr w:w="3020"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0431-89115154</w:t>
      </w:r>
    </w:p>
    <w:p>
      <w:pPr>
        <w:framePr w:w="3020"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96888-0-1</w:t>
      </w:r>
    </w:p>
    <w:p>
      <w:pPr>
        <w:framePr w:w="3020"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http://www.cccb.cn</w:t>
      </w:r>
    </w:p>
    <w:p>
      <w:pPr>
        <w:framePr w:w="3020" w:wrap="around" w:vAnchor="margin" w:hAnchor="text" w:x="7482" w:y="805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注册地址：山东省淄博市张店</w:t>
      </w:r>
    </w:p>
    <w:p>
      <w:pPr>
        <w:framePr w:w="3020" w:wrap="around" w:vAnchor="margin" w:hAnchor="text" w:x="7482" w:y="80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区金晶大道 </w:t>
      </w:r>
      <w:r>
        <w:rPr>
          <w:rFonts w:ascii="Times New Roman"/>
          <w:color w:val="000000"/>
          <w:spacing w:val="0"/>
          <w:sz w:val="21"/>
        </w:rPr>
        <w:t>105</w:t>
      </w:r>
      <w:r>
        <w:rPr>
          <w:rFonts w:ascii="SKJVQB+å®ä½" w:hAnsi="SKJVQB+å®ä½" w:cs="SKJVQB+å®ä½"/>
          <w:color w:val="000000"/>
          <w:spacing w:val="0"/>
          <w:sz w:val="21"/>
        </w:rPr>
        <w:t>号</w:t>
      </w:r>
    </w:p>
    <w:p>
      <w:pPr>
        <w:framePr w:w="2418" w:wrap="around" w:vAnchor="margin" w:hAnchor="text" w:x="4640"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齐商银行股份有限公司</w:t>
      </w:r>
    </w:p>
    <w:p>
      <w:pPr>
        <w:framePr w:w="3020"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办公地址：山东省淄博市张店</w:t>
      </w:r>
    </w:p>
    <w:p>
      <w:pPr>
        <w:framePr w:w="3020" w:wrap="around" w:vAnchor="margin" w:hAnchor="text" w:x="7482" w:y="994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区金晶大道 </w:t>
      </w:r>
      <w:r>
        <w:rPr>
          <w:rFonts w:ascii="Times New Roman"/>
          <w:color w:val="000000"/>
          <w:spacing w:val="0"/>
          <w:sz w:val="21"/>
        </w:rPr>
        <w:t>105</w:t>
      </w:r>
      <w:r>
        <w:rPr>
          <w:rFonts w:ascii="SKJVQB+å®ä½" w:hAnsi="SKJVQB+å®ä½" w:cs="SKJVQB+å®ä½"/>
          <w:color w:val="000000"/>
          <w:spacing w:val="0"/>
          <w:sz w:val="21"/>
        </w:rPr>
        <w:t>号</w:t>
      </w:r>
    </w:p>
    <w:p>
      <w:pPr>
        <w:framePr w:w="2209"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法定代表人：杲传勇</w:t>
      </w:r>
    </w:p>
    <w:p>
      <w:pPr>
        <w:framePr w:w="2209" w:wrap="around" w:vAnchor="margin" w:hAnchor="text" w:x="7482"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联系人：焦浦</w:t>
      </w:r>
    </w:p>
    <w:p>
      <w:pPr>
        <w:framePr w:w="2709"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0533-2178888-9907</w:t>
      </w:r>
    </w:p>
    <w:p>
      <w:pPr>
        <w:framePr w:w="2709"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0533-6120373</w:t>
      </w:r>
    </w:p>
    <w:p>
      <w:pPr>
        <w:framePr w:w="2709"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96588</w:t>
      </w:r>
    </w:p>
    <w:p>
      <w:pPr>
        <w:framePr w:w="3020"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www.qsbank.cc</w:t>
      </w:r>
    </w:p>
    <w:p>
      <w:pPr>
        <w:framePr w:w="3020" w:wrap="around" w:vAnchor="margin" w:hAnchor="text" w:x="7482" w:y="1211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注册地址：杭州市萧山区人民</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258</w:t>
      </w:r>
      <w:r>
        <w:rPr>
          <w:rFonts w:ascii="SKJVQB+å®ä½" w:hAnsi="SKJVQB+å®ä½" w:cs="SKJVQB+å®ä½"/>
          <w:color w:val="000000"/>
          <w:spacing w:val="0"/>
          <w:sz w:val="21"/>
        </w:rPr>
        <w:t>号</w:t>
      </w:r>
    </w:p>
    <w:p>
      <w:pPr>
        <w:framePr w:w="2901" w:wrap="around" w:vAnchor="margin" w:hAnchor="text" w:x="4640"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浙江萧山农村商业银行股份</w:t>
      </w:r>
    </w:p>
    <w:p>
      <w:pPr>
        <w:framePr w:w="2901" w:wrap="around" w:vAnchor="margin" w:hAnchor="text" w:x="4640" w:y="124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3020" w:wrap="around" w:vAnchor="margin" w:hAnchor="text" w:x="7482" w:y="130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办公地址：杭州市萧山区人民</w:t>
      </w:r>
    </w:p>
    <w:p>
      <w:pPr>
        <w:framePr w:w="3020"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258</w:t>
      </w:r>
      <w:r>
        <w:rPr>
          <w:rFonts w:ascii="SKJVQB+å®ä½" w:hAnsi="SKJVQB+å®ä½" w:cs="SKJVQB+å®ä½"/>
          <w:color w:val="000000"/>
          <w:spacing w:val="0"/>
          <w:sz w:val="21"/>
        </w:rPr>
        <w:t>号</w:t>
      </w:r>
    </w:p>
    <w:p>
      <w:pPr>
        <w:framePr w:w="2209"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法定代表人：王云龙</w:t>
      </w:r>
    </w:p>
    <w:p>
      <w:pPr>
        <w:framePr w:w="2209"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联系人：朱光锋</w:t>
      </w:r>
    </w:p>
    <w:p>
      <w:pPr>
        <w:framePr w:w="2284" w:wrap="around" w:vAnchor="margin" w:hAnchor="text" w:x="7482" w:y="1431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0571-82739513</w:t>
      </w:r>
    </w:p>
    <w:p>
      <w:pPr>
        <w:framePr w:w="2284"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0571-82739513</w:t>
      </w:r>
    </w:p>
    <w:p>
      <w:pPr>
        <w:framePr w:w="2284" w:wrap="around" w:vAnchor="margin" w:hAnchor="text" w:x="7482" w:y="1431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96596</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79</w:t>
      </w:r>
    </w:p>
    <w:p>
      <w:pPr>
        <w:spacing w:before="0" w:after="0" w:line="0" w:lineRule="exact"/>
        <w:ind w:left="0" w:right="0"/>
        <w:jc w:val="left"/>
        <w:rPr>
          <w:rFonts w:ascii="Arial"/>
          <w:color w:val="FF0000"/>
          <w:spacing w:val="0"/>
          <w:sz w:val="2"/>
        </w:rPr>
      </w:pPr>
      <w:r>
        <w:pict>
          <v:shape id="_x0000164" o:spid="_x0000_s119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46" o:title=""/>
            <o:lock v:ext="edit" aspectratio="t"/>
          </v:shape>
        </w:pict>
      </w:r>
      <w:r>
        <w:pict>
          <v:shape id="_x0000165" o:spid="_x0000_s1191"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4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4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483" w:wrap="around" w:vAnchor="margin" w:hAnchor="text" w:x="7482" w:y="178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http://www.zjxsbank.com</w:t>
      </w:r>
    </w:p>
    <w:p>
      <w:pPr>
        <w:framePr w:w="526" w:wrap="around" w:vAnchor="margin" w:hAnchor="text" w:x="3005" w:y="21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54</w:t>
      </w:r>
    </w:p>
    <w:p>
      <w:pPr>
        <w:framePr w:w="2418" w:wrap="around" w:vAnchor="margin" w:hAnchor="text" w:x="4640"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晋中银行股份有限公司</w:t>
      </w:r>
    </w:p>
    <w:p>
      <w:pPr>
        <w:framePr w:w="3020" w:wrap="around" w:vAnchor="margin" w:hAnchor="text" w:x="7482"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注册地址：山西省晋中市榆</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次区迎宾西街 </w:t>
      </w:r>
      <w:r>
        <w:rPr>
          <w:rFonts w:ascii="Times New Roman"/>
          <w:color w:val="000000"/>
          <w:spacing w:val="0"/>
          <w:sz w:val="21"/>
        </w:rPr>
        <w:t>65</w:t>
      </w:r>
      <w:r>
        <w:rPr>
          <w:rFonts w:ascii="SKJVQB+å®ä½" w:hAnsi="SKJVQB+å®ä½" w:cs="SKJVQB+å®ä½"/>
          <w:color w:val="000000"/>
          <w:spacing w:val="0"/>
          <w:sz w:val="21"/>
        </w:rPr>
        <w:t>号</w:t>
      </w:r>
    </w:p>
    <w:p>
      <w:pPr>
        <w:framePr w:w="3020"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办公地址：山西省晋中市榆次</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区迎宾西街 </w:t>
      </w:r>
      <w:r>
        <w:rPr>
          <w:rFonts w:ascii="Times New Roman"/>
          <w:color w:val="000000"/>
          <w:spacing w:val="0"/>
          <w:sz w:val="21"/>
        </w:rPr>
        <w:t>65</w:t>
      </w:r>
      <w:r>
        <w:rPr>
          <w:rFonts w:ascii="SKJVQB+å®ä½" w:hAnsi="SKJVQB+å®ä½" w:cs="SKJVQB+å®ä½"/>
          <w:color w:val="000000"/>
          <w:spacing w:val="0"/>
          <w:sz w:val="21"/>
        </w:rPr>
        <w:t>号</w:t>
      </w:r>
    </w:p>
    <w:p>
      <w:pPr>
        <w:framePr w:w="2312"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法定代表人：刘海滨</w:t>
      </w:r>
    </w:p>
    <w:p>
      <w:pPr>
        <w:framePr w:w="2312"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联系人：贺莎莎</w:t>
      </w:r>
    </w:p>
    <w:p>
      <w:pPr>
        <w:framePr w:w="2106" w:wrap="around" w:vAnchor="margin" w:hAnchor="text" w:x="7482" w:y="398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18634889009</w:t>
      </w:r>
    </w:p>
    <w:p>
      <w:pPr>
        <w:framePr w:w="2417"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95105678</w:t>
      </w:r>
    </w:p>
    <w:p>
      <w:pPr>
        <w:framePr w:w="2417" w:wrap="around" w:vAnchor="margin" w:hAnchor="text" w:x="7482" w:y="4296"/>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www.jzbank.com</w:t>
      </w:r>
    </w:p>
    <w:p>
      <w:pPr>
        <w:framePr w:w="4710" w:wrap="around" w:vAnchor="margin" w:hAnchor="text" w:x="1800" w:y="5366"/>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SKJVQB+å®ä½" w:hAnsi="SKJVQB+å®ä½" w:cs="SKJVQB+å®ä½"/>
          <w:color w:val="222222"/>
          <w:spacing w:val="0"/>
          <w:sz w:val="24"/>
        </w:rPr>
        <w:t>南方双元</w:t>
      </w:r>
      <w:r>
        <w:rPr>
          <w:rFonts w:ascii="GGHCMB+å®ä½"/>
          <w:color w:val="222222"/>
          <w:spacing w:val="0"/>
          <w:sz w:val="24"/>
        </w:rPr>
        <w:t>C</w:t>
      </w:r>
      <w:r>
        <w:rPr>
          <w:rFonts w:ascii="SKJVQB+å®ä½" w:hAnsi="SKJVQB+å®ä½" w:cs="SKJVQB+å®ä½"/>
          <w:color w:val="222222"/>
          <w:spacing w:val="0"/>
          <w:sz w:val="24"/>
        </w:rPr>
        <w:t>代销券商及其他代销机构：</w:t>
      </w:r>
    </w:p>
    <w:p>
      <w:pPr>
        <w:framePr w:w="737" w:wrap="around" w:vAnchor="margin" w:hAnchor="text" w:x="1800" w:y="630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framePr w:w="1578" w:wrap="around" w:vAnchor="margin" w:hAnchor="text" w:x="4640" w:y="630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代销机构名称</w:t>
      </w:r>
    </w:p>
    <w:p>
      <w:pPr>
        <w:framePr w:w="1578" w:wrap="around" w:vAnchor="margin" w:hAnchor="text" w:x="7482" w:y="630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代销机构信息</w:t>
      </w:r>
    </w:p>
    <w:p>
      <w:pPr>
        <w:framePr w:w="421" w:wrap="around" w:vAnchor="margin" w:hAnchor="text" w:x="4319" w:y="661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w:t>
      </w:r>
    </w:p>
    <w:p>
      <w:pPr>
        <w:framePr w:w="2418" w:wrap="around" w:vAnchor="margin" w:hAnchor="text" w:x="4640" w:y="662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华泰证券股份有限公司</w:t>
      </w:r>
    </w:p>
    <w:p>
      <w:pPr>
        <w:framePr w:w="2901" w:wrap="around" w:vAnchor="margin" w:hAnchor="text" w:x="7482" w:y="662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注册地址：南京市江东中路</w:t>
      </w:r>
    </w:p>
    <w:p>
      <w:pPr>
        <w:framePr w:w="2901" w:wrap="around" w:vAnchor="margin" w:hAnchor="text" w:x="7482" w:y="662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228</w:t>
      </w:r>
      <w:r>
        <w:rPr>
          <w:rFonts w:ascii="SKJVQB+å®ä½" w:hAnsi="SKJVQB+å®ä½" w:cs="SKJVQB+å®ä½"/>
          <w:color w:val="000000"/>
          <w:spacing w:val="0"/>
          <w:sz w:val="21"/>
        </w:rPr>
        <w:t>号</w:t>
      </w:r>
    </w:p>
    <w:p>
      <w:pPr>
        <w:framePr w:w="1998" w:wrap="around" w:vAnchor="margin" w:hAnchor="text" w:x="7482" w:y="724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法定代表人：周易</w:t>
      </w:r>
    </w:p>
    <w:p>
      <w:pPr>
        <w:framePr w:w="1789" w:wrap="around" w:vAnchor="margin" w:hAnchor="text" w:x="7482" w:y="75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联系人：庞晓芸</w:t>
      </w:r>
    </w:p>
    <w:p>
      <w:pPr>
        <w:framePr w:w="2747" w:wrap="around" w:vAnchor="margin" w:hAnchor="text" w:x="7482" w:y="786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0755-82492193</w:t>
      </w:r>
    </w:p>
    <w:p>
      <w:pPr>
        <w:framePr w:w="2747" w:wrap="around" w:vAnchor="margin" w:hAnchor="text" w:x="7482" w:y="786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95597</w:t>
      </w:r>
    </w:p>
    <w:p>
      <w:pPr>
        <w:framePr w:w="3020" w:wrap="around" w:vAnchor="margin" w:hAnchor="text" w:x="7482" w:y="8488"/>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www.htsc.com.cn</w:t>
      </w:r>
    </w:p>
    <w:p>
      <w:pPr>
        <w:framePr w:w="3020" w:wrap="around" w:vAnchor="margin" w:hAnchor="text" w:x="7482" w:y="8488"/>
        <w:widowControl w:val="0"/>
        <w:autoSpaceDE w:val="0"/>
        <w:autoSpaceDN w:val="0"/>
        <w:spacing w:before="0" w:after="0" w:line="322"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注册地址：福州市湖东路 </w:t>
      </w:r>
      <w:r>
        <w:rPr>
          <w:rFonts w:ascii="Times New Roman"/>
          <w:color w:val="000000"/>
          <w:spacing w:val="0"/>
          <w:sz w:val="21"/>
        </w:rPr>
        <w:t xml:space="preserve"> 268</w:t>
      </w:r>
    </w:p>
    <w:p>
      <w:pPr>
        <w:framePr w:w="3020" w:wrap="around" w:vAnchor="margin" w:hAnchor="text" w:x="7482" w:y="848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421" w:wrap="around" w:vAnchor="margin" w:hAnchor="text" w:x="4319" w:y="880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w:t>
      </w:r>
    </w:p>
    <w:p>
      <w:pPr>
        <w:framePr w:w="2418" w:wrap="around" w:vAnchor="margin" w:hAnchor="text" w:x="4640" w:y="881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兴业证券股份有限公司</w:t>
      </w:r>
    </w:p>
    <w:p>
      <w:pPr>
        <w:framePr w:w="3020" w:wrap="around" w:vAnchor="margin" w:hAnchor="text" w:x="7482" w:y="944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办公地址：上海市浦东新区长</w:t>
      </w:r>
    </w:p>
    <w:p>
      <w:pPr>
        <w:framePr w:w="3020" w:wrap="around" w:vAnchor="margin" w:hAnchor="text" w:x="7482" w:y="944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柳路 </w:t>
      </w:r>
      <w:r>
        <w:rPr>
          <w:rFonts w:ascii="Times New Roman"/>
          <w:color w:val="000000"/>
          <w:spacing w:val="0"/>
          <w:sz w:val="21"/>
        </w:rPr>
        <w:t>36</w:t>
      </w:r>
      <w:r>
        <w:rPr>
          <w:rFonts w:ascii="SKJVQB+å®ä½" w:hAnsi="SKJVQB+å®ä½" w:cs="SKJVQB+å®ä½"/>
          <w:color w:val="000000"/>
          <w:spacing w:val="0"/>
          <w:sz w:val="21"/>
        </w:rPr>
        <w:t>号</w:t>
      </w:r>
    </w:p>
    <w:p>
      <w:pPr>
        <w:framePr w:w="2209" w:wrap="around" w:vAnchor="margin" w:hAnchor="text" w:x="7482" w:y="1006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法定代表人：杨华辉</w:t>
      </w:r>
    </w:p>
    <w:p>
      <w:pPr>
        <w:framePr w:w="2209" w:wrap="around" w:vAnchor="margin" w:hAnchor="text" w:x="7482" w:y="1006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联系人：乔琳雪</w:t>
      </w:r>
    </w:p>
    <w:p>
      <w:pPr>
        <w:framePr w:w="2626" w:wrap="around" w:vAnchor="margin" w:hAnchor="text" w:x="7482" w:y="1068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021-38565547</w:t>
      </w:r>
    </w:p>
    <w:p>
      <w:pPr>
        <w:framePr w:w="2626" w:wrap="around" w:vAnchor="margin" w:hAnchor="text" w:x="7482" w:y="1068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95562</w:t>
      </w:r>
    </w:p>
    <w:p>
      <w:pPr>
        <w:framePr w:w="3020" w:wrap="around" w:vAnchor="margin" w:hAnchor="text" w:x="7482" w:y="1130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www.xyzq.com.cn</w:t>
      </w:r>
    </w:p>
    <w:p>
      <w:pPr>
        <w:framePr w:w="3020" w:wrap="around" w:vAnchor="margin" w:hAnchor="text" w:x="7482" w:y="1130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1130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35</w:t>
      </w:r>
      <w:r>
        <w:rPr>
          <w:rFonts w:ascii="SKJVQB+å®ä½" w:hAnsi="SKJVQB+å®ä½" w:cs="SKJVQB+å®ä½"/>
          <w:color w:val="000000"/>
          <w:spacing w:val="0"/>
          <w:sz w:val="21"/>
        </w:rPr>
        <w:t xml:space="preserve">号  </w:t>
      </w:r>
      <w:r>
        <w:rPr>
          <w:rFonts w:ascii="Times New Roman"/>
          <w:color w:val="000000"/>
          <w:spacing w:val="0"/>
          <w:sz w:val="21"/>
        </w:rPr>
        <w:t>2-6</w:t>
      </w:r>
      <w:r>
        <w:rPr>
          <w:rFonts w:ascii="SKJVQB+å®ä½" w:hAnsi="SKJVQB+å®ä½" w:cs="SKJVQB+å®ä½"/>
          <w:color w:val="000000"/>
          <w:spacing w:val="0"/>
          <w:sz w:val="21"/>
        </w:rPr>
        <w:t>层</w:t>
      </w:r>
    </w:p>
    <w:p>
      <w:pPr>
        <w:framePr w:w="421" w:wrap="around" w:vAnchor="margin" w:hAnchor="text" w:x="4319" w:y="1162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w:t>
      </w:r>
    </w:p>
    <w:p>
      <w:pPr>
        <w:framePr w:w="2901" w:wrap="around" w:vAnchor="margin" w:hAnchor="text" w:x="4640" w:y="1163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中国银河证券股份有限公司</w:t>
      </w:r>
    </w:p>
    <w:p>
      <w:pPr>
        <w:framePr w:w="3021" w:wrap="around" w:vAnchor="margin" w:hAnchor="text" w:x="7482" w:y="122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1" w:wrap="around" w:vAnchor="margin" w:hAnchor="text" w:x="7482" w:y="122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35</w:t>
      </w:r>
      <w:r>
        <w:rPr>
          <w:rFonts w:ascii="SKJVQB+å®ä½" w:hAnsi="SKJVQB+å®ä½" w:cs="SKJVQB+å®ä½"/>
          <w:color w:val="000000"/>
          <w:spacing w:val="0"/>
          <w:sz w:val="21"/>
        </w:rPr>
        <w:t xml:space="preserve">号国际企业大厦 </w:t>
      </w:r>
      <w:r>
        <w:rPr>
          <w:rFonts w:ascii="Times New Roman"/>
          <w:color w:val="000000"/>
          <w:spacing w:val="0"/>
          <w:sz w:val="21"/>
        </w:rPr>
        <w:t>C</w:t>
      </w:r>
      <w:r>
        <w:rPr>
          <w:rFonts w:ascii="SKJVQB+å®ä½" w:hAnsi="SKJVQB+å®ä½" w:cs="SKJVQB+å®ä½"/>
          <w:color w:val="000000"/>
          <w:spacing w:val="0"/>
          <w:sz w:val="21"/>
        </w:rPr>
        <w:t>座</w:t>
      </w:r>
    </w:p>
    <w:p>
      <w:pPr>
        <w:framePr w:w="3021" w:wrap="around" w:vAnchor="margin" w:hAnchor="text" w:x="7482" w:y="122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法定代表人：陈共炎</w:t>
      </w:r>
    </w:p>
    <w:p>
      <w:pPr>
        <w:framePr w:w="3021" w:wrap="around" w:vAnchor="margin" w:hAnchor="text" w:x="7482" w:y="122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联系人：辛国政</w:t>
      </w:r>
    </w:p>
    <w:p>
      <w:pPr>
        <w:framePr w:w="2879" w:wrap="around" w:vAnchor="margin" w:hAnchor="text" w:x="7482" w:y="134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010-83574507</w:t>
      </w:r>
    </w:p>
    <w:p>
      <w:pPr>
        <w:framePr w:w="2879" w:wrap="around" w:vAnchor="margin" w:hAnchor="text" w:x="7482" w:y="134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4008-888-888</w:t>
      </w:r>
      <w:r>
        <w:rPr>
          <w:rFonts w:ascii="SKJVQB+å®ä½" w:hAnsi="SKJVQB+å®ä½" w:cs="SKJVQB+å®ä½"/>
          <w:color w:val="000000"/>
          <w:spacing w:val="0"/>
          <w:sz w:val="21"/>
        </w:rPr>
        <w:t>或</w:t>
      </w:r>
    </w:p>
    <w:p>
      <w:pPr>
        <w:framePr w:w="2879" w:wrap="around" w:vAnchor="margin" w:hAnchor="text" w:x="7482" w:y="1349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95551</w:t>
      </w:r>
    </w:p>
    <w:p>
      <w:pPr>
        <w:framePr w:w="3092" w:wrap="around" w:vAnchor="margin" w:hAnchor="text" w:x="7482" w:y="1443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www.chinastock.com.cn</w:t>
      </w:r>
    </w:p>
    <w:p>
      <w:pPr>
        <w:framePr w:w="3092" w:wrap="around" w:vAnchor="margin" w:hAnchor="text" w:x="7482" w:y="14436"/>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092" w:wrap="around" w:vAnchor="margin" w:hAnchor="text" w:x="7482" w:y="1443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贸易试验区商城路 </w:t>
      </w:r>
      <w:r>
        <w:rPr>
          <w:rFonts w:ascii="Times New Roman"/>
          <w:color w:val="000000"/>
          <w:spacing w:val="0"/>
          <w:sz w:val="21"/>
        </w:rPr>
        <w:t>618</w:t>
      </w:r>
      <w:r>
        <w:rPr>
          <w:rFonts w:ascii="SKJVQB+å®ä½" w:hAnsi="SKJVQB+å®ä½" w:cs="SKJVQB+å®ä½"/>
          <w:color w:val="000000"/>
          <w:spacing w:val="0"/>
          <w:sz w:val="21"/>
        </w:rPr>
        <w:t>号</w:t>
      </w:r>
    </w:p>
    <w:p>
      <w:pPr>
        <w:framePr w:w="421" w:wrap="around" w:vAnchor="margin" w:hAnchor="text" w:x="4319" w:y="147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w:t>
      </w:r>
    </w:p>
    <w:p>
      <w:pPr>
        <w:framePr w:w="2901" w:wrap="around" w:vAnchor="margin" w:hAnchor="text" w:x="4640" w:y="147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国泰君安证券股份有限公司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80</w:t>
      </w:r>
    </w:p>
    <w:p>
      <w:pPr>
        <w:spacing w:before="0" w:after="0" w:line="0" w:lineRule="exact"/>
        <w:ind w:left="0" w:right="0"/>
        <w:jc w:val="left"/>
        <w:rPr>
          <w:rFonts w:ascii="Arial"/>
          <w:color w:val="FF0000"/>
          <w:spacing w:val="0"/>
          <w:sz w:val="2"/>
        </w:rPr>
      </w:pPr>
      <w:r>
        <w:pict>
          <v:shape id="_x0000166" o:spid="_x0000_s119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48" o:title=""/>
            <o:lock v:ext="edit" aspectratio="t"/>
          </v:shape>
        </w:pict>
      </w:r>
      <w:r>
        <w:pict>
          <v:shape id="_x0000167" o:spid="_x0000_s1193" o:spt="75" type="#_x0000_t75" style="position:absolute;left:0pt;margin-left:84.4pt;margin-top:71.1pt;height:173.1pt;width:426.7pt;mso-position-horizontal-relative:page;mso-position-vertical-relative:page;z-index:-1024;mso-width-relative:page;mso-height-relative:page;" filled="f" coordsize="21600,21600">
            <v:path/>
            <v:fill on="f" focussize="0,0"/>
            <v:stroke/>
            <v:imagedata r:id="rId149" o:title=""/>
            <o:lock v:ext="edit" aspectratio="t"/>
          </v:shape>
        </w:pict>
      </w:r>
      <w:r>
        <w:pict>
          <v:shape id="_x0000168" o:spid="_x0000_s1194" o:spt="75" type="#_x0000_t75" style="position:absolute;left:0pt;margin-left:84.4pt;margin-top:311.85pt;height:455.45pt;width:426.7pt;mso-position-horizontal-relative:page;mso-position-vertical-relative:page;z-index:-1024;mso-width-relative:page;mso-height-relative:page;" filled="f" coordsize="21600,21600">
            <v:path/>
            <v:fill on="f" focussize="0,0"/>
            <v:stroke/>
            <v:imagedata r:id="rId15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168</w:t>
      </w:r>
      <w:r>
        <w:rPr>
          <w:rFonts w:ascii="SKJVQB+å®ä½" w:hAnsi="SKJVQB+å®ä½" w:cs="SKJVQB+å®ä½"/>
          <w:color w:val="000000"/>
          <w:spacing w:val="0"/>
          <w:sz w:val="21"/>
        </w:rPr>
        <w:t>号</w:t>
      </w:r>
    </w:p>
    <w:p>
      <w:pPr>
        <w:framePr w:w="2209" w:wrap="around" w:vAnchor="margin" w:hAnchor="text" w:x="7482" w:y="21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法定代表人：杨德红</w:t>
      </w:r>
    </w:p>
    <w:p>
      <w:pPr>
        <w:framePr w:w="2209" w:wrap="around" w:vAnchor="margin" w:hAnchor="text" w:x="7482" w:y="21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联系人：芮敏祺</w:t>
      </w:r>
    </w:p>
    <w:p>
      <w:pPr>
        <w:framePr w:w="2421"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SKJVQB+å®ä½" w:hAnsi="SKJVQB+å®ä½" w:cs="SKJVQB+å®ä½"/>
          <w:color w:val="000000"/>
          <w:spacing w:val="0"/>
          <w:sz w:val="21"/>
        </w:rPr>
        <w:t>－</w:t>
      </w:r>
      <w:r>
        <w:rPr>
          <w:rFonts w:ascii="Times New Roman"/>
          <w:color w:val="000000"/>
          <w:spacing w:val="0"/>
          <w:sz w:val="21"/>
        </w:rPr>
        <w:t>38676666</w:t>
      </w:r>
    </w:p>
    <w:p>
      <w:pPr>
        <w:framePr w:w="2421"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4008888666</w:t>
      </w:r>
    </w:p>
    <w:p>
      <w:pPr>
        <w:framePr w:w="2421"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www.gtja.com</w:t>
      </w:r>
    </w:p>
    <w:p>
      <w:pPr>
        <w:framePr w:w="421" w:wrap="around" w:vAnchor="margin" w:hAnchor="text" w:x="4319"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w:t>
      </w:r>
    </w:p>
    <w:p>
      <w:pPr>
        <w:framePr w:w="2418"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中泰证券股份有限公司</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注册地址：济南市市中区经七</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86</w:t>
      </w:r>
      <w:r>
        <w:rPr>
          <w:rFonts w:ascii="SKJVQB+å®ä½" w:hAnsi="SKJVQB+å®ä½" w:cs="SKJVQB+å®ä½"/>
          <w:color w:val="000000"/>
          <w:spacing w:val="0"/>
          <w:sz w:val="21"/>
        </w:rPr>
        <w:t>号</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办公地址：山东省济南市市中</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区经七路 </w:t>
      </w:r>
      <w:r>
        <w:rPr>
          <w:rFonts w:ascii="Times New Roman"/>
          <w:color w:val="000000"/>
          <w:spacing w:val="0"/>
          <w:sz w:val="21"/>
        </w:rPr>
        <w:t>86</w:t>
      </w:r>
      <w:r>
        <w:rPr>
          <w:rFonts w:ascii="SKJVQB+å®ä½" w:hAnsi="SKJVQB+å®ä½" w:cs="SKJVQB+å®ä½"/>
          <w:color w:val="000000"/>
          <w:spacing w:val="0"/>
          <w:sz w:val="21"/>
        </w:rPr>
        <w:t>号</w:t>
      </w:r>
    </w:p>
    <w:p>
      <w:pPr>
        <w:framePr w:w="1998"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法定代表人：李玮</w:t>
      </w:r>
    </w:p>
    <w:p>
      <w:pPr>
        <w:framePr w:w="1998"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联系人：许曼华</w:t>
      </w:r>
    </w:p>
    <w:p>
      <w:pPr>
        <w:framePr w:w="2178"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021-20315290</w:t>
      </w:r>
    </w:p>
    <w:p>
      <w:pPr>
        <w:framePr w:w="2178"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021-20315137</w:t>
      </w:r>
    </w:p>
    <w:p>
      <w:pPr>
        <w:framePr w:w="2178"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95538</w:t>
      </w:r>
    </w:p>
    <w:p>
      <w:pPr>
        <w:framePr w:w="3020"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www.zts.com.cn</w:t>
      </w:r>
    </w:p>
    <w:p>
      <w:pPr>
        <w:framePr w:w="3020" w:wrap="around" w:vAnchor="margin" w:hAnchor="text" w:x="7482" w:y="6481"/>
        <w:widowControl w:val="0"/>
        <w:autoSpaceDE w:val="0"/>
        <w:autoSpaceDN w:val="0"/>
        <w:spacing w:before="0" w:after="0" w:line="322"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注册地址：上海市广东路 </w:t>
      </w:r>
      <w:r>
        <w:rPr>
          <w:rFonts w:ascii="Times New Roman"/>
          <w:color w:val="000000"/>
          <w:spacing w:val="0"/>
          <w:sz w:val="21"/>
        </w:rPr>
        <w:t xml:space="preserve"> 689</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421" w:wrap="around" w:vAnchor="margin" w:hAnchor="text" w:x="4319"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w:t>
      </w:r>
    </w:p>
    <w:p>
      <w:pPr>
        <w:framePr w:w="2418"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海通证券股份有限公司</w:t>
      </w:r>
    </w:p>
    <w:p>
      <w:pPr>
        <w:framePr w:w="3020"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办公地址：上海市广东路 </w:t>
      </w:r>
      <w:r>
        <w:rPr>
          <w:rFonts w:ascii="Times New Roman"/>
          <w:color w:val="000000"/>
          <w:spacing w:val="0"/>
          <w:sz w:val="21"/>
        </w:rPr>
        <w:t xml:space="preserve"> 689</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w:t>
      </w:r>
    </w:p>
    <w:p>
      <w:pPr>
        <w:framePr w:w="2317" w:wrap="around" w:vAnchor="margin" w:hAnchor="text" w:x="7482"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法定代表人：周杰</w:t>
      </w:r>
    </w:p>
    <w:p>
      <w:pPr>
        <w:framePr w:w="2317" w:wrap="around" w:vAnchor="margin" w:hAnchor="text" w:x="7482" w:y="805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w:t>
      </w:r>
      <w:r>
        <w:rPr>
          <w:rFonts w:ascii="SKJVQB+å®ä½" w:hAnsi="SKJVQB+å®ä½" w:cs="SKJVQB+å®ä½"/>
          <w:color w:val="000000"/>
          <w:spacing w:val="0"/>
          <w:sz w:val="21"/>
        </w:rPr>
        <w:t>－</w:t>
      </w:r>
      <w:r>
        <w:rPr>
          <w:rFonts w:ascii="Times New Roman"/>
          <w:color w:val="000000"/>
          <w:spacing w:val="0"/>
          <w:sz w:val="21"/>
        </w:rPr>
        <w:t>23219000</w:t>
      </w:r>
    </w:p>
    <w:p>
      <w:pPr>
        <w:framePr w:w="2317" w:wrap="around" w:vAnchor="margin" w:hAnchor="text" w:x="7482" w:y="805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021-23219100</w:t>
      </w:r>
    </w:p>
    <w:p>
      <w:pPr>
        <w:framePr w:w="2317" w:wrap="around" w:vAnchor="margin" w:hAnchor="text" w:x="7482" w:y="80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联系人：李笑鸣</w:t>
      </w:r>
    </w:p>
    <w:p>
      <w:pPr>
        <w:framePr w:w="1894"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95553</w:t>
      </w:r>
    </w:p>
    <w:p>
      <w:pPr>
        <w:framePr w:w="3020"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www.htsec.com</w:t>
      </w:r>
    </w:p>
    <w:p>
      <w:pPr>
        <w:framePr w:w="3020" w:wrap="around" w:vAnchor="margin" w:hAnchor="text" w:x="7482" w:y="961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注册地址：北京市朝阳区安立</w:t>
      </w:r>
    </w:p>
    <w:p>
      <w:pPr>
        <w:framePr w:w="3020"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66</w:t>
      </w:r>
      <w:r>
        <w:rPr>
          <w:rFonts w:ascii="SKJVQB+å®ä½" w:hAnsi="SKJVQB+å®ä½" w:cs="SKJVQB+å®ä½"/>
          <w:color w:val="000000"/>
          <w:spacing w:val="0"/>
          <w:sz w:val="21"/>
        </w:rPr>
        <w:t xml:space="preserve">号  </w:t>
      </w:r>
      <w:r>
        <w:rPr>
          <w:rFonts w:ascii="Times New Roman"/>
          <w:color w:val="000000"/>
          <w:spacing w:val="0"/>
          <w:sz w:val="21"/>
        </w:rPr>
        <w:t>4</w:t>
      </w:r>
      <w:r>
        <w:rPr>
          <w:rFonts w:ascii="SKJVQB+å®ä½" w:hAnsi="SKJVQB+å®ä½" w:cs="SKJVQB+å®ä½"/>
          <w:color w:val="000000"/>
          <w:spacing w:val="0"/>
          <w:sz w:val="21"/>
        </w:rPr>
        <w:t>号楼</w:t>
      </w:r>
    </w:p>
    <w:p>
      <w:pPr>
        <w:framePr w:w="421" w:wrap="around" w:vAnchor="margin" w:hAnchor="text" w:x="4319" w:y="993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w:t>
      </w:r>
    </w:p>
    <w:p>
      <w:pPr>
        <w:framePr w:w="2901" w:wrap="around" w:vAnchor="margin" w:hAnchor="text" w:x="4640"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中信建投证券股份有限公司</w:t>
      </w:r>
    </w:p>
    <w:p>
      <w:pPr>
        <w:framePr w:w="3020"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办公地址：北京市朝阳门内大</w:t>
      </w:r>
    </w:p>
    <w:p>
      <w:pPr>
        <w:framePr w:w="3020" w:wrap="around" w:vAnchor="margin" w:hAnchor="text" w:x="7482"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188</w:t>
      </w:r>
      <w:r>
        <w:rPr>
          <w:rFonts w:ascii="SKJVQB+å®ä½" w:hAnsi="SKJVQB+å®ä½" w:cs="SKJVQB+å®ä½"/>
          <w:color w:val="000000"/>
          <w:spacing w:val="0"/>
          <w:sz w:val="21"/>
        </w:rPr>
        <w:t>号</w:t>
      </w:r>
    </w:p>
    <w:p>
      <w:pPr>
        <w:framePr w:w="2209" w:wrap="around" w:vAnchor="margin" w:hAnchor="text" w:x="7482"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法定代表人：王常青</w:t>
      </w:r>
    </w:p>
    <w:p>
      <w:pPr>
        <w:framePr w:w="2209" w:wrap="around" w:vAnchor="margin" w:hAnchor="text" w:x="7482"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联系人：刘畅</w:t>
      </w:r>
    </w:p>
    <w:p>
      <w:pPr>
        <w:framePr w:w="3020" w:wrap="around" w:vAnchor="margin" w:hAnchor="text" w:x="7482" w:y="1180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010-65608231</w:t>
      </w:r>
    </w:p>
    <w:p>
      <w:pPr>
        <w:framePr w:w="3020" w:wrap="around" w:vAnchor="margin" w:hAnchor="text" w:x="7482" w:y="1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4008888108</w:t>
      </w:r>
    </w:p>
    <w:p>
      <w:pPr>
        <w:framePr w:w="3020" w:wrap="around" w:vAnchor="margin" w:hAnchor="text" w:x="7482" w:y="1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www.csc108.com</w:t>
      </w:r>
    </w:p>
    <w:p>
      <w:pPr>
        <w:framePr w:w="3020" w:wrap="around" w:vAnchor="margin" w:hAnchor="text" w:x="7482" w:y="1180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framePr w:w="302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街道金田路 </w:t>
      </w:r>
      <w:r>
        <w:rPr>
          <w:rFonts w:ascii="Times New Roman"/>
          <w:color w:val="000000"/>
          <w:spacing w:val="0"/>
          <w:sz w:val="21"/>
        </w:rPr>
        <w:t>2026</w:t>
      </w:r>
      <w:r>
        <w:rPr>
          <w:rFonts w:ascii="SKJVQB+å®ä½" w:hAnsi="SKJVQB+å®ä½" w:cs="SKJVQB+å®ä½"/>
          <w:color w:val="000000"/>
          <w:spacing w:val="0"/>
          <w:sz w:val="21"/>
        </w:rPr>
        <w:t>号能源大厦</w:t>
      </w:r>
    </w:p>
    <w:p>
      <w:pPr>
        <w:framePr w:w="302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南塔楼 </w:t>
      </w:r>
      <w:r>
        <w:rPr>
          <w:rFonts w:ascii="Times New Roman"/>
          <w:color w:val="000000"/>
          <w:spacing w:val="0"/>
          <w:sz w:val="21"/>
        </w:rPr>
        <w:t>10-19</w:t>
      </w:r>
      <w:r>
        <w:rPr>
          <w:rFonts w:ascii="SKJVQB+å®ä½" w:hAnsi="SKJVQB+å®ä½" w:cs="SKJVQB+å®ä½"/>
          <w:color w:val="000000"/>
          <w:spacing w:val="0"/>
          <w:sz w:val="21"/>
        </w:rPr>
        <w:t>层</w:t>
      </w:r>
    </w:p>
    <w:p>
      <w:pPr>
        <w:framePr w:w="421" w:wrap="around" w:vAnchor="margin" w:hAnchor="text" w:x="4319" w:y="1275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w:t>
      </w:r>
    </w:p>
    <w:p>
      <w:pPr>
        <w:framePr w:w="2418" w:wrap="around" w:vAnchor="margin" w:hAnchor="text" w:x="4640"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长城证券股份有限公司</w:t>
      </w:r>
    </w:p>
    <w:p>
      <w:pPr>
        <w:framePr w:w="3020"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办公地址：深圳市福田区福田</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街道金田路 </w:t>
      </w:r>
      <w:r>
        <w:rPr>
          <w:rFonts w:ascii="Times New Roman"/>
          <w:color w:val="000000"/>
          <w:spacing w:val="0"/>
          <w:sz w:val="21"/>
        </w:rPr>
        <w:t>2026</w:t>
      </w:r>
      <w:r>
        <w:rPr>
          <w:rFonts w:ascii="SKJVQB+å®ä½" w:hAnsi="SKJVQB+å®ä½" w:cs="SKJVQB+å®ä½"/>
          <w:color w:val="000000"/>
          <w:spacing w:val="0"/>
          <w:sz w:val="21"/>
        </w:rPr>
        <w:t>号能源大厦</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南塔楼 </w:t>
      </w:r>
      <w:r>
        <w:rPr>
          <w:rFonts w:ascii="Times New Roman"/>
          <w:color w:val="000000"/>
          <w:spacing w:val="0"/>
          <w:sz w:val="21"/>
        </w:rPr>
        <w:t>10-19</w:t>
      </w:r>
      <w:r>
        <w:rPr>
          <w:rFonts w:ascii="SKJVQB+å®ä½" w:hAnsi="SKJVQB+å®ä½" w:cs="SKJVQB+å®ä½"/>
          <w:color w:val="000000"/>
          <w:spacing w:val="0"/>
          <w:sz w:val="21"/>
        </w:rPr>
        <w:t>层</w:t>
      </w:r>
    </w:p>
    <w:p>
      <w:pPr>
        <w:framePr w:w="1998"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法定代表人：丁益</w:t>
      </w:r>
    </w:p>
    <w:p>
      <w:pPr>
        <w:framePr w:w="1998" w:wrap="around" w:vAnchor="margin" w:hAnchor="text" w:x="7482" w:y="146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纪毓灵</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81</w:t>
      </w:r>
    </w:p>
    <w:p>
      <w:pPr>
        <w:spacing w:before="0" w:after="0" w:line="0" w:lineRule="exact"/>
        <w:ind w:left="0" w:right="0"/>
        <w:jc w:val="left"/>
        <w:rPr>
          <w:rFonts w:ascii="Arial"/>
          <w:color w:val="FF0000"/>
          <w:spacing w:val="0"/>
          <w:sz w:val="2"/>
        </w:rPr>
      </w:pPr>
      <w:r>
        <w:pict>
          <v:shape id="_x0000169" o:spid="_x0000_s119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51" o:title=""/>
            <o:lock v:ext="edit" aspectratio="t"/>
          </v:shape>
        </w:pict>
      </w:r>
      <w:r>
        <w:pict>
          <v:shape id="_x0000170" o:spid="_x0000_s1196"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5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71"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:0755-83516289</w:t>
      </w:r>
    </w:p>
    <w:p>
      <w:pPr>
        <w:framePr w:w="2571"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:0755-33680000</w:t>
      </w:r>
    </w:p>
    <w:p>
      <w:pPr>
        <w:framePr w:w="2571" w:wrap="around" w:vAnchor="margin" w:hAnchor="text" w:x="7482" w:y="147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4006666888</w:t>
      </w:r>
    </w:p>
    <w:p>
      <w:pPr>
        <w:framePr w:w="2290" w:wrap="around" w:vAnchor="margin" w:hAnchor="text" w:x="7482" w:y="241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www.cgws.com</w:t>
      </w:r>
    </w:p>
    <w:p>
      <w:pPr>
        <w:framePr w:w="421" w:wrap="around" w:vAnchor="margin" w:hAnchor="text" w:x="4319" w:y="273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w:t>
      </w:r>
    </w:p>
    <w:p>
      <w:pPr>
        <w:framePr w:w="2418" w:wrap="around" w:vAnchor="margin" w:hAnchor="text" w:x="4640"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招商证券股份有限公司</w:t>
      </w:r>
    </w:p>
    <w:p>
      <w:pPr>
        <w:framePr w:w="3020"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注册地址：深圳市福田区福华</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111</w:t>
      </w:r>
      <w:r>
        <w:rPr>
          <w:rFonts w:ascii="SKJVQB+å®ä½" w:hAnsi="SKJVQB+å®ä½" w:cs="SKJVQB+å®ä½"/>
          <w:color w:val="000000"/>
          <w:spacing w:val="0"/>
          <w:sz w:val="21"/>
        </w:rPr>
        <w:t>号</w:t>
      </w:r>
    </w:p>
    <w:p>
      <w:pPr>
        <w:framePr w:w="3020"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办公地址：深圳市福田区福华</w:t>
      </w:r>
    </w:p>
    <w:p>
      <w:pPr>
        <w:framePr w:w="3020" w:wrap="around" w:vAnchor="margin" w:hAnchor="text" w:x="7482" w:y="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111</w:t>
      </w:r>
      <w:r>
        <w:rPr>
          <w:rFonts w:ascii="SKJVQB+å®ä½" w:hAnsi="SKJVQB+å®ä½" w:cs="SKJVQB+å®ä½"/>
          <w:color w:val="000000"/>
          <w:spacing w:val="0"/>
          <w:sz w:val="21"/>
        </w:rPr>
        <w:t xml:space="preserve">号招商证券大厦  </w:t>
      </w:r>
      <w:r>
        <w:rPr>
          <w:rFonts w:ascii="Times New Roman"/>
          <w:color w:val="000000"/>
          <w:spacing w:val="0"/>
          <w:sz w:val="21"/>
        </w:rPr>
        <w:t xml:space="preserve"> 23</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1998"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法定代表人：霍达</w:t>
      </w:r>
    </w:p>
    <w:p>
      <w:pPr>
        <w:framePr w:w="1789"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联系人：黄婵君</w:t>
      </w:r>
    </w:p>
    <w:p>
      <w:pPr>
        <w:framePr w:w="3249"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0755-82960167</w:t>
      </w:r>
    </w:p>
    <w:p>
      <w:pPr>
        <w:framePr w:w="3249"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95565</w:t>
      </w:r>
      <w:r>
        <w:rPr>
          <w:rFonts w:ascii="SKJVQB+å®ä½" w:hAnsi="SKJVQB+å®ä½" w:cs="SKJVQB+å®ä½"/>
          <w:color w:val="000000"/>
          <w:spacing w:val="0"/>
          <w:sz w:val="21"/>
        </w:rPr>
        <w:t>、</w:t>
      </w:r>
      <w:r>
        <w:rPr>
          <w:rFonts w:ascii="Times New Roman"/>
          <w:color w:val="000000"/>
          <w:spacing w:val="0"/>
          <w:sz w:val="21"/>
        </w:rPr>
        <w:t>4008888111</w:t>
      </w:r>
    </w:p>
    <w:p>
      <w:pPr>
        <w:framePr w:w="3249"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www.newone.com.cn</w:t>
      </w:r>
    </w:p>
    <w:p>
      <w:pPr>
        <w:framePr w:w="3249" w:wrap="around" w:vAnchor="margin" w:hAnchor="text" w:x="7482" w:y="492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注册地址：广东省深圳市福田</w:t>
      </w:r>
    </w:p>
    <w:p>
      <w:pPr>
        <w:framePr w:w="3249"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区中心三路 </w:t>
      </w:r>
      <w:r>
        <w:rPr>
          <w:rFonts w:ascii="Times New Roman"/>
          <w:color w:val="000000"/>
          <w:spacing w:val="0"/>
          <w:sz w:val="21"/>
        </w:rPr>
        <w:t>8</w:t>
      </w:r>
      <w:r>
        <w:rPr>
          <w:rFonts w:ascii="SKJVQB+å®ä½" w:hAnsi="SKJVQB+å®ä½" w:cs="SKJVQB+å®ä½"/>
          <w:color w:val="000000"/>
          <w:spacing w:val="0"/>
          <w:sz w:val="21"/>
        </w:rPr>
        <w:t>号卓越时代广</w:t>
      </w:r>
    </w:p>
    <w:p>
      <w:pPr>
        <w:framePr w:w="3249"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场（二期）北座</w:t>
      </w:r>
    </w:p>
    <w:p>
      <w:pPr>
        <w:framePr w:w="526" w:wrap="around" w:vAnchor="margin" w:hAnchor="text" w:x="4213" w:y="586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w:t>
      </w:r>
    </w:p>
    <w:p>
      <w:pPr>
        <w:framePr w:w="2418" w:wrap="around" w:vAnchor="margin" w:hAnchor="text" w:x="4640"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中信证券股份有限公司</w:t>
      </w:r>
    </w:p>
    <w:p>
      <w:pPr>
        <w:framePr w:w="3020" w:wrap="around" w:vAnchor="margin" w:hAnchor="text" w:x="7482"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办公地址：北京市朝阳区亮马</w:t>
      </w:r>
    </w:p>
    <w:p>
      <w:pPr>
        <w:framePr w:w="3020" w:wrap="around" w:vAnchor="margin" w:hAnchor="text" w:x="7482" w:y="68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桥路 </w:t>
      </w:r>
      <w:r>
        <w:rPr>
          <w:rFonts w:ascii="Times New Roman"/>
          <w:color w:val="000000"/>
          <w:spacing w:val="0"/>
          <w:sz w:val="21"/>
        </w:rPr>
        <w:t>48</w:t>
      </w:r>
      <w:r>
        <w:rPr>
          <w:rFonts w:ascii="SKJVQB+å®ä½" w:hAnsi="SKJVQB+å®ä½" w:cs="SKJVQB+å®ä½"/>
          <w:color w:val="000000"/>
          <w:spacing w:val="0"/>
          <w:sz w:val="21"/>
        </w:rPr>
        <w:t>号中信证券大厦</w:t>
      </w:r>
    </w:p>
    <w:p>
      <w:pPr>
        <w:framePr w:w="3020" w:wrap="around" w:vAnchor="margin" w:hAnchor="text" w:x="7482" w:y="68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法定代表人：张佑君</w:t>
      </w:r>
    </w:p>
    <w:p>
      <w:pPr>
        <w:framePr w:w="3020" w:wrap="around" w:vAnchor="margin" w:hAnchor="text" w:x="7482" w:y="68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联系人：王一通</w:t>
      </w:r>
    </w:p>
    <w:p>
      <w:pPr>
        <w:framePr w:w="2178" w:wrap="around" w:vAnchor="margin" w:hAnchor="text" w:x="7482" w:y="80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010-60838888</w:t>
      </w:r>
    </w:p>
    <w:p>
      <w:pPr>
        <w:framePr w:w="2178"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010-60833739</w:t>
      </w:r>
    </w:p>
    <w:p>
      <w:pPr>
        <w:framePr w:w="2178" w:wrap="around" w:vAnchor="margin" w:hAnchor="text" w:x="7482" w:y="80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95558</w:t>
      </w:r>
    </w:p>
    <w:p>
      <w:pPr>
        <w:framePr w:w="2969"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www.cs.ecitic.com</w:t>
      </w:r>
    </w:p>
    <w:p>
      <w:pPr>
        <w:framePr w:w="2969" w:wrap="around" w:vAnchor="margin" w:hAnchor="text" w:x="7482" w:y="898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上海市徐汇区长乐</w:t>
      </w:r>
    </w:p>
    <w:p>
      <w:pPr>
        <w:framePr w:w="2969"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989</w:t>
      </w:r>
      <w:r>
        <w:rPr>
          <w:rFonts w:ascii="SKJVQB+å®ä½" w:hAnsi="SKJVQB+å®ä½" w:cs="SKJVQB+å®ä½"/>
          <w:color w:val="000000"/>
          <w:spacing w:val="0"/>
          <w:sz w:val="21"/>
        </w:rPr>
        <w:t xml:space="preserve">号  </w:t>
      </w:r>
      <w:r>
        <w:rPr>
          <w:rFonts w:ascii="Times New Roman"/>
          <w:color w:val="000000"/>
          <w:spacing w:val="0"/>
          <w:sz w:val="21"/>
        </w:rPr>
        <w:t>45</w:t>
      </w:r>
      <w:r>
        <w:rPr>
          <w:rFonts w:ascii="SKJVQB+å®ä½" w:hAnsi="SKJVQB+å®ä½" w:cs="SKJVQB+å®ä½"/>
          <w:color w:val="000000"/>
          <w:spacing w:val="0"/>
          <w:sz w:val="21"/>
        </w:rPr>
        <w:t>层</w:t>
      </w:r>
    </w:p>
    <w:p>
      <w:pPr>
        <w:framePr w:w="519" w:wrap="around" w:vAnchor="margin" w:hAnchor="text" w:x="4223" w:y="930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w:t>
      </w:r>
    </w:p>
    <w:p>
      <w:pPr>
        <w:framePr w:w="2418" w:wrap="around" w:vAnchor="margin" w:hAnchor="text" w:x="4640"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申万宏源证券有限公司</w:t>
      </w:r>
    </w:p>
    <w:p>
      <w:pPr>
        <w:framePr w:w="3020"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办公地址：上海市徐汇区长乐</w:t>
      </w:r>
    </w:p>
    <w:p>
      <w:pPr>
        <w:framePr w:w="3020" w:wrap="around" w:vAnchor="margin" w:hAnchor="text" w:x="7482" w:y="994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989</w:t>
      </w:r>
      <w:r>
        <w:rPr>
          <w:rFonts w:ascii="SKJVQB+å®ä½" w:hAnsi="SKJVQB+å®ä½" w:cs="SKJVQB+å®ä½"/>
          <w:color w:val="000000"/>
          <w:spacing w:val="0"/>
          <w:sz w:val="21"/>
        </w:rPr>
        <w:t xml:space="preserve">号  </w:t>
      </w:r>
      <w:r>
        <w:rPr>
          <w:rFonts w:ascii="Times New Roman"/>
          <w:color w:val="000000"/>
          <w:spacing w:val="0"/>
          <w:sz w:val="21"/>
        </w:rPr>
        <w:t>40</w:t>
      </w:r>
      <w:r>
        <w:rPr>
          <w:rFonts w:ascii="SKJVQB+å®ä½" w:hAnsi="SKJVQB+å®ä½" w:cs="SKJVQB+å®ä½"/>
          <w:color w:val="000000"/>
          <w:spacing w:val="0"/>
          <w:sz w:val="21"/>
        </w:rPr>
        <w:t>层</w:t>
      </w:r>
    </w:p>
    <w:p>
      <w:pPr>
        <w:framePr w:w="1998"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法定代表人：李梅</w:t>
      </w:r>
    </w:p>
    <w:p>
      <w:pPr>
        <w:framePr w:w="1789"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联系人：李玉婷</w:t>
      </w:r>
    </w:p>
    <w:p>
      <w:pPr>
        <w:framePr w:w="2178"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021-33389888</w:t>
      </w:r>
    </w:p>
    <w:p>
      <w:pPr>
        <w:framePr w:w="2178"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021-33388224</w:t>
      </w:r>
    </w:p>
    <w:p>
      <w:pPr>
        <w:framePr w:w="2178"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95523</w:t>
      </w:r>
      <w:r>
        <w:rPr>
          <w:rFonts w:ascii="SKJVQB+å®ä½" w:hAnsi="SKJVQB+å®ä½" w:cs="SKJVQB+å®ä½"/>
          <w:color w:val="000000"/>
          <w:spacing w:val="0"/>
          <w:sz w:val="21"/>
        </w:rPr>
        <w:t>或</w:t>
      </w:r>
    </w:p>
    <w:p>
      <w:pPr>
        <w:framePr w:w="2178" w:wrap="around" w:vAnchor="margin" w:hAnchor="text" w:x="7482" w:y="11183"/>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4008895523</w:t>
      </w:r>
    </w:p>
    <w:p>
      <w:pPr>
        <w:framePr w:w="2969"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网址：  </w:t>
      </w:r>
      <w:r>
        <w:rPr>
          <w:rFonts w:ascii="Times New Roman"/>
          <w:color w:val="000000"/>
          <w:spacing w:val="0"/>
          <w:sz w:val="21"/>
        </w:rPr>
        <w:t>www.swhysc.com</w:t>
      </w:r>
    </w:p>
    <w:p>
      <w:pPr>
        <w:framePr w:w="2969" w:wrap="around" w:vAnchor="margin" w:hAnchor="text" w:x="7482" w:y="1243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上海市静安区新闸</w:t>
      </w:r>
    </w:p>
    <w:p>
      <w:pPr>
        <w:framePr w:w="2969"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1508</w:t>
      </w:r>
      <w:r>
        <w:rPr>
          <w:rFonts w:ascii="SKJVQB+å®ä½" w:hAnsi="SKJVQB+å®ä½" w:cs="SKJVQB+å®ä½"/>
          <w:color w:val="000000"/>
          <w:spacing w:val="0"/>
          <w:sz w:val="21"/>
        </w:rPr>
        <w:t>号</w:t>
      </w:r>
    </w:p>
    <w:p>
      <w:pPr>
        <w:framePr w:w="526" w:wrap="around" w:vAnchor="margin" w:hAnchor="text" w:x="4213" w:y="1275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w:t>
      </w:r>
    </w:p>
    <w:p>
      <w:pPr>
        <w:framePr w:w="2418" w:wrap="around" w:vAnchor="margin" w:hAnchor="text" w:x="4640"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光大证券股份有限公司</w:t>
      </w:r>
    </w:p>
    <w:p>
      <w:pPr>
        <w:framePr w:w="2969" w:wrap="around" w:vAnchor="margin" w:hAnchor="text" w:x="7482" w:y="13377"/>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上海市静安区新闸</w:t>
      </w:r>
    </w:p>
    <w:p>
      <w:pPr>
        <w:framePr w:w="2969" w:wrap="around" w:vAnchor="margin" w:hAnchor="text" w:x="7482" w:y="1337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1508</w:t>
      </w:r>
      <w:r>
        <w:rPr>
          <w:rFonts w:ascii="SKJVQB+å®ä½" w:hAnsi="SKJVQB+å®ä½" w:cs="SKJVQB+å®ä½"/>
          <w:color w:val="000000"/>
          <w:spacing w:val="0"/>
          <w:sz w:val="21"/>
        </w:rPr>
        <w:t>号</w:t>
      </w:r>
    </w:p>
    <w:p>
      <w:pPr>
        <w:framePr w:w="2059" w:wrap="around" w:vAnchor="margin" w:hAnchor="text" w:x="7482" w:y="14001"/>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周健男</w:t>
      </w:r>
    </w:p>
    <w:p>
      <w:pPr>
        <w:framePr w:w="2059" w:wrap="around" w:vAnchor="margin" w:hAnchor="text" w:x="7482" w:y="1400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龚俊涛</w:t>
      </w:r>
    </w:p>
    <w:p>
      <w:pPr>
        <w:framePr w:w="2449"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:021-22169999</w:t>
      </w:r>
    </w:p>
    <w:p>
      <w:pPr>
        <w:framePr w:w="2449"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95525</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82</w:t>
      </w:r>
    </w:p>
    <w:p>
      <w:pPr>
        <w:spacing w:before="0" w:after="0" w:line="0" w:lineRule="exact"/>
        <w:ind w:left="0" w:right="0"/>
        <w:jc w:val="left"/>
        <w:rPr>
          <w:rFonts w:ascii="Arial"/>
          <w:color w:val="FF0000"/>
          <w:spacing w:val="0"/>
          <w:sz w:val="2"/>
        </w:rPr>
      </w:pPr>
      <w:r>
        <w:pict>
          <v:shape id="_x0000171" o:spid="_x0000_s119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53" o:title=""/>
            <o:lock v:ext="edit" aspectratio="t"/>
          </v:shape>
        </w:pict>
      </w:r>
      <w:r>
        <w:pict>
          <v:shape id="_x0000172" o:spid="_x0000_s119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5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335"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www.ebscn.com</w:t>
      </w:r>
    </w:p>
    <w:p>
      <w:pPr>
        <w:framePr w:w="526" w:wrap="around" w:vAnchor="margin" w:hAnchor="text" w:x="4213"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13</w:t>
      </w:r>
    </w:p>
    <w:p>
      <w:pPr>
        <w:framePr w:w="2901"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申万宏源西部证券有限公司</w:t>
      </w:r>
    </w:p>
    <w:p>
      <w:pPr>
        <w:framePr w:w="3020"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注册地址：新疆乌鲁木齐市高</w:t>
      </w:r>
    </w:p>
    <w:p>
      <w:pPr>
        <w:framePr w:w="3020" w:wrap="around" w:vAnchor="margin" w:hAnchor="text" w:x="7482" w:y="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新区（新市区）北京南路 </w:t>
      </w:r>
      <w:r>
        <w:rPr>
          <w:rFonts w:ascii="Times New Roman"/>
          <w:color w:val="000000"/>
          <w:spacing w:val="0"/>
          <w:sz w:val="21"/>
        </w:rPr>
        <w:t xml:space="preserve"> 358</w:t>
      </w:r>
    </w:p>
    <w:p>
      <w:pPr>
        <w:framePr w:w="3020" w:wrap="around" w:vAnchor="margin" w:hAnchor="text" w:x="7482" w:y="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号大成国际大厦 </w:t>
      </w:r>
      <w:r>
        <w:rPr>
          <w:rFonts w:ascii="Times New Roman"/>
          <w:color w:val="000000"/>
          <w:spacing w:val="0"/>
          <w:sz w:val="21"/>
        </w:rPr>
        <w:t>20</w:t>
      </w:r>
      <w:r>
        <w:rPr>
          <w:rFonts w:ascii="SKJVQB+å®ä½" w:hAnsi="SKJVQB+å®ä½" w:cs="SKJVQB+å®ä½"/>
          <w:color w:val="000000"/>
          <w:spacing w:val="0"/>
          <w:sz w:val="21"/>
        </w:rPr>
        <w:t xml:space="preserve">楼  </w:t>
      </w:r>
      <w:r>
        <w:rPr>
          <w:rFonts w:ascii="Times New Roman"/>
          <w:color w:val="000000"/>
          <w:spacing w:val="0"/>
          <w:sz w:val="21"/>
        </w:rPr>
        <w:t xml:space="preserve"> 2005</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901" w:wrap="around" w:vAnchor="margin" w:hAnchor="text" w:x="7482" w:y="3048"/>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新疆乌鲁木齐市</w:t>
      </w:r>
    </w:p>
    <w:p>
      <w:pPr>
        <w:framePr w:w="2901" w:wrap="around" w:vAnchor="margin" w:hAnchor="text" w:x="7482" w:y="30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高新区（新市区）北京南路</w:t>
      </w:r>
    </w:p>
    <w:p>
      <w:pPr>
        <w:framePr w:w="2901" w:wrap="around" w:vAnchor="margin" w:hAnchor="text" w:x="7482" w:y="30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358</w:t>
      </w:r>
      <w:r>
        <w:rPr>
          <w:rFonts w:ascii="SKJVQB+å®ä½" w:hAnsi="SKJVQB+å®ä½" w:cs="SKJVQB+å®ä½"/>
          <w:color w:val="000000"/>
          <w:spacing w:val="0"/>
          <w:sz w:val="21"/>
        </w:rPr>
        <w:t xml:space="preserve">号大成国际大厦  </w:t>
      </w:r>
      <w:r>
        <w:rPr>
          <w:rFonts w:ascii="Times New Roman"/>
          <w:color w:val="000000"/>
          <w:spacing w:val="0"/>
          <w:sz w:val="21"/>
        </w:rPr>
        <w:t>20</w:t>
      </w:r>
      <w:r>
        <w:rPr>
          <w:rFonts w:ascii="SKJVQB+å®ä½" w:hAnsi="SKJVQB+å®ä½" w:cs="SKJVQB+å®ä½"/>
          <w:color w:val="000000"/>
          <w:spacing w:val="0"/>
          <w:sz w:val="21"/>
        </w:rPr>
        <w:t>楼</w:t>
      </w:r>
    </w:p>
    <w:p>
      <w:pPr>
        <w:framePr w:w="2901" w:wrap="around" w:vAnchor="margin" w:hAnchor="text" w:x="7482" w:y="30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2005</w:t>
      </w:r>
      <w:r>
        <w:rPr>
          <w:rFonts w:ascii="SKJVQB+å®ä½" w:hAnsi="SKJVQB+å®ä½" w:cs="SKJVQB+å®ä½"/>
          <w:color w:val="000000"/>
          <w:spacing w:val="0"/>
          <w:sz w:val="21"/>
        </w:rPr>
        <w:t>室</w:t>
      </w:r>
    </w:p>
    <w:p>
      <w:pPr>
        <w:framePr w:w="1998"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法定代表人：李琦</w:t>
      </w:r>
    </w:p>
    <w:p>
      <w:pPr>
        <w:framePr w:w="2178"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0991-5801913</w:t>
      </w:r>
    </w:p>
    <w:p>
      <w:pPr>
        <w:framePr w:w="2178"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0991-5801466</w:t>
      </w:r>
    </w:p>
    <w:p>
      <w:pPr>
        <w:framePr w:w="2178"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联系人：王怀春</w:t>
      </w:r>
    </w:p>
    <w:p>
      <w:pPr>
        <w:framePr w:w="3023"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400-800-0562</w:t>
      </w:r>
    </w:p>
    <w:p>
      <w:pPr>
        <w:framePr w:w="3023"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www.hysec.com</w:t>
      </w:r>
    </w:p>
    <w:p>
      <w:pPr>
        <w:framePr w:w="3023"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注册地址：青岛市崂山区深圳</w:t>
      </w:r>
    </w:p>
    <w:p>
      <w:pPr>
        <w:framePr w:w="3023"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222</w:t>
      </w:r>
      <w:r>
        <w:rPr>
          <w:rFonts w:ascii="SKJVQB+å®ä½" w:hAnsi="SKJVQB+å®ä½" w:cs="SKJVQB+å®ä½"/>
          <w:color w:val="000000"/>
          <w:spacing w:val="0"/>
          <w:sz w:val="21"/>
        </w:rPr>
        <w:t xml:space="preserve">号青岛国际金融广场 </w:t>
      </w:r>
      <w:r>
        <w:rPr>
          <w:rFonts w:ascii="Times New Roman"/>
          <w:color w:val="000000"/>
          <w:spacing w:val="0"/>
          <w:sz w:val="21"/>
        </w:rPr>
        <w:t xml:space="preserve"> 1</w:t>
      </w:r>
    </w:p>
    <w:p>
      <w:pPr>
        <w:framePr w:w="3023"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号楼 </w:t>
      </w:r>
      <w:r>
        <w:rPr>
          <w:rFonts w:ascii="Times New Roman"/>
          <w:color w:val="000000"/>
          <w:spacing w:val="0"/>
          <w:sz w:val="21"/>
        </w:rPr>
        <w:t>20</w:t>
      </w:r>
      <w:r>
        <w:rPr>
          <w:rFonts w:ascii="SKJVQB+å®ä½" w:hAnsi="SKJVQB+å®ä½" w:cs="SKJVQB+å®ä½"/>
          <w:color w:val="000000"/>
          <w:spacing w:val="0"/>
          <w:sz w:val="21"/>
        </w:rPr>
        <w:t>层</w:t>
      </w:r>
    </w:p>
    <w:p>
      <w:pPr>
        <w:framePr w:w="526" w:wrap="around" w:vAnchor="margin" w:hAnchor="text" w:x="4213" w:y="61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14</w:t>
      </w:r>
    </w:p>
    <w:p>
      <w:pPr>
        <w:framePr w:w="3020" w:wrap="around" w:vAnchor="margin" w:hAnchor="text" w:x="4640"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中信证券（山东）有限责任公</w:t>
      </w:r>
    </w:p>
    <w:p>
      <w:pPr>
        <w:framePr w:w="3020" w:wrap="around" w:vAnchor="margin" w:hAnchor="text" w:x="4640"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0"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办公地址：山东省青岛市市南</w:t>
      </w:r>
    </w:p>
    <w:p>
      <w:pPr>
        <w:framePr w:w="3020"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区东海西路 </w:t>
      </w:r>
      <w:r>
        <w:rPr>
          <w:rFonts w:ascii="Times New Roman"/>
          <w:color w:val="000000"/>
          <w:spacing w:val="0"/>
          <w:sz w:val="21"/>
        </w:rPr>
        <w:t>28</w:t>
      </w:r>
      <w:r>
        <w:rPr>
          <w:rFonts w:ascii="SKJVQB+å®ä½" w:hAnsi="SKJVQB+å®ä½" w:cs="SKJVQB+å®ä½"/>
          <w:color w:val="000000"/>
          <w:spacing w:val="0"/>
          <w:sz w:val="21"/>
        </w:rPr>
        <w:t>号龙翔广场东</w:t>
      </w:r>
    </w:p>
    <w:p>
      <w:pPr>
        <w:framePr w:w="3020"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2209" w:wrap="around" w:vAnchor="margin" w:hAnchor="text" w:x="7482"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法定代表人：姜晓林</w:t>
      </w:r>
    </w:p>
    <w:p>
      <w:pPr>
        <w:framePr w:w="2209" w:wrap="around" w:vAnchor="margin" w:hAnchor="text" w:x="7482" w:y="80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联系人：焦刚</w:t>
      </w:r>
    </w:p>
    <w:p>
      <w:pPr>
        <w:framePr w:w="2747" w:wrap="around" w:vAnchor="margin" w:hAnchor="text" w:x="7482" w:y="86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0531-89606166</w:t>
      </w:r>
    </w:p>
    <w:p>
      <w:pPr>
        <w:framePr w:w="2747" w:wrap="around" w:vAnchor="margin" w:hAnchor="text" w:x="7482" w:y="86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95548</w:t>
      </w:r>
    </w:p>
    <w:p>
      <w:pPr>
        <w:framePr w:w="2045"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sd.citics.com</w:t>
      </w:r>
    </w:p>
    <w:p>
      <w:pPr>
        <w:framePr w:w="526" w:wrap="around" w:vAnchor="margin" w:hAnchor="text" w:x="4213" w:y="962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15</w:t>
      </w:r>
    </w:p>
    <w:p>
      <w:pPr>
        <w:framePr w:w="2418" w:wrap="around" w:vAnchor="margin" w:hAnchor="text" w:x="4640"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信达证券股份有限公司</w:t>
      </w:r>
    </w:p>
    <w:p>
      <w:pPr>
        <w:framePr w:w="3020"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注册（办公）地址：北京市西</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城区闹市口大街</w:t>
      </w:r>
      <w:r>
        <w:rPr>
          <w:rFonts w:ascii="Times New Roman"/>
          <w:color w:val="000000"/>
          <w:spacing w:val="0"/>
          <w:sz w:val="21"/>
        </w:rPr>
        <w:t>9</w:t>
      </w:r>
      <w:r>
        <w:rPr>
          <w:rFonts w:ascii="SKJVQB+å®ä½" w:hAnsi="SKJVQB+å®ä½" w:cs="SKJVQB+å®ä½"/>
          <w:color w:val="000000"/>
          <w:spacing w:val="0"/>
          <w:sz w:val="21"/>
        </w:rPr>
        <w:t>号院</w:t>
      </w:r>
      <w:r>
        <w:rPr>
          <w:rFonts w:ascii="Times New Roman"/>
          <w:color w:val="000000"/>
          <w:spacing w:val="0"/>
          <w:sz w:val="21"/>
        </w:rPr>
        <w:t>1</w:t>
      </w:r>
      <w:r>
        <w:rPr>
          <w:rFonts w:ascii="SKJVQB+å®ä½" w:hAnsi="SKJVQB+å®ä½" w:cs="SKJVQB+å®ä½"/>
          <w:color w:val="000000"/>
          <w:spacing w:val="0"/>
          <w:sz w:val="21"/>
        </w:rPr>
        <w:t>号楼</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法定代表人：肖林</w:t>
      </w:r>
    </w:p>
    <w:p>
      <w:pPr>
        <w:framePr w:w="1578"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联系人：付婷</w:t>
      </w:r>
    </w:p>
    <w:p>
      <w:pPr>
        <w:framePr w:w="2626" w:wrap="around" w:vAnchor="margin" w:hAnchor="text" w:x="7482" w:y="108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010-63081000</w:t>
      </w:r>
    </w:p>
    <w:p>
      <w:pPr>
        <w:framePr w:w="2626"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010-63080978</w:t>
      </w:r>
    </w:p>
    <w:p>
      <w:pPr>
        <w:framePr w:w="2626"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95321</w:t>
      </w:r>
    </w:p>
    <w:p>
      <w:pPr>
        <w:framePr w:w="3020" w:wrap="around" w:vAnchor="margin" w:hAnchor="text" w:x="7482" w:y="1180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www.cindasc.com</w:t>
      </w:r>
    </w:p>
    <w:p>
      <w:pPr>
        <w:framePr w:w="3020" w:wrap="around" w:vAnchor="margin" w:hAnchor="text" w:x="7482" w:y="1180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8</w:t>
      </w:r>
      <w:r>
        <w:rPr>
          <w:rFonts w:ascii="SKJVQB+å®ä½" w:hAnsi="SKJVQB+å®ä½" w:cs="SKJVQB+å®ä½"/>
          <w:color w:val="000000"/>
          <w:spacing w:val="0"/>
          <w:sz w:val="21"/>
        </w:rPr>
        <w:t>号</w:t>
      </w:r>
    </w:p>
    <w:p>
      <w:pPr>
        <w:framePr w:w="526" w:wrap="around" w:vAnchor="margin" w:hAnchor="text" w:x="4213" w:y="1212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16</w:t>
      </w:r>
    </w:p>
    <w:p>
      <w:pPr>
        <w:framePr w:w="2418" w:wrap="around" w:vAnchor="margin" w:hAnchor="text" w:x="4640"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华融证券股份有限公司</w:t>
      </w:r>
    </w:p>
    <w:p>
      <w:pPr>
        <w:framePr w:w="3020" w:wrap="around" w:vAnchor="margin" w:hAnchor="text" w:x="7482"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办公地址：北京市朝阳区朝阳</w:t>
      </w:r>
    </w:p>
    <w:p>
      <w:pPr>
        <w:framePr w:w="3020" w:wrap="around" w:vAnchor="margin" w:hAnchor="text" w:x="7482" w:y="1276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门北大街 </w:t>
      </w:r>
      <w:r>
        <w:rPr>
          <w:rFonts w:ascii="Times New Roman"/>
          <w:color w:val="000000"/>
          <w:spacing w:val="0"/>
          <w:sz w:val="21"/>
        </w:rPr>
        <w:t>18</w:t>
      </w:r>
      <w:r>
        <w:rPr>
          <w:rFonts w:ascii="SKJVQB+å®ä½" w:hAnsi="SKJVQB+å®ä½" w:cs="SKJVQB+å®ä½"/>
          <w:color w:val="000000"/>
          <w:spacing w:val="0"/>
          <w:sz w:val="21"/>
        </w:rPr>
        <w:t>号中国人保寿险</w:t>
      </w:r>
    </w:p>
    <w:p>
      <w:pPr>
        <w:framePr w:w="3020" w:wrap="around" w:vAnchor="margin" w:hAnchor="text" w:x="7482" w:y="1276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12-18</w:t>
      </w:r>
      <w:r>
        <w:rPr>
          <w:rFonts w:ascii="SKJVQB+å®ä½" w:hAnsi="SKJVQB+å®ä½" w:cs="SKJVQB+å®ä½"/>
          <w:color w:val="000000"/>
          <w:spacing w:val="0"/>
          <w:sz w:val="21"/>
        </w:rPr>
        <w:t>层</w:t>
      </w:r>
    </w:p>
    <w:p>
      <w:pPr>
        <w:framePr w:w="2661"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法定代表人：张海文</w:t>
      </w:r>
    </w:p>
    <w:p>
      <w:pPr>
        <w:framePr w:w="2661"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基金业务联系人：孙燕波</w:t>
      </w:r>
    </w:p>
    <w:p>
      <w:pPr>
        <w:framePr w:w="2661" w:wrap="around" w:vAnchor="margin" w:hAnchor="text" w:x="7482" w:y="136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010-85556048</w:t>
      </w:r>
    </w:p>
    <w:p>
      <w:pPr>
        <w:framePr w:w="2661" w:wrap="around" w:vAnchor="margin" w:hAnchor="text" w:x="7482" w:y="136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010-85556088</w:t>
      </w:r>
    </w:p>
    <w:p>
      <w:pPr>
        <w:framePr w:w="2661" w:wrap="around" w:vAnchor="margin" w:hAnchor="text" w:x="7482" w:y="1369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95390</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83</w:t>
      </w:r>
    </w:p>
    <w:p>
      <w:pPr>
        <w:spacing w:before="0" w:after="0" w:line="0" w:lineRule="exact"/>
        <w:ind w:left="0" w:right="0"/>
        <w:jc w:val="left"/>
        <w:rPr>
          <w:rFonts w:ascii="Arial"/>
          <w:color w:val="FF0000"/>
          <w:spacing w:val="0"/>
          <w:sz w:val="2"/>
        </w:rPr>
      </w:pPr>
      <w:r>
        <w:pict>
          <v:shape id="_x0000173" o:spid="_x0000_s119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66" o:title=""/>
            <o:lock v:ext="edit" aspectratio="t"/>
          </v:shape>
        </w:pict>
      </w:r>
      <w:r>
        <w:pict>
          <v:shape id="_x0000174" o:spid="_x0000_s120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5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68"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www.hrsec.com.cn</w:t>
      </w:r>
    </w:p>
    <w:p>
      <w:pPr>
        <w:framePr w:w="526" w:wrap="around" w:vAnchor="margin" w:hAnchor="text" w:x="4213"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17</w:t>
      </w:r>
    </w:p>
    <w:p>
      <w:pPr>
        <w:framePr w:w="2418"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华西证券股份有限公司</w:t>
      </w:r>
    </w:p>
    <w:p>
      <w:pPr>
        <w:framePr w:w="3020"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注册地址：四川省成都市高新</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区天府二街 </w:t>
      </w:r>
      <w:r>
        <w:rPr>
          <w:rFonts w:ascii="Times New Roman"/>
          <w:color w:val="000000"/>
          <w:spacing w:val="0"/>
          <w:sz w:val="21"/>
        </w:rPr>
        <w:t>198</w:t>
      </w:r>
      <w:r>
        <w:rPr>
          <w:rFonts w:ascii="SKJVQB+å®ä½" w:hAnsi="SKJVQB+å®ä½" w:cs="SKJVQB+å®ä½"/>
          <w:color w:val="000000"/>
          <w:spacing w:val="0"/>
          <w:sz w:val="21"/>
        </w:rPr>
        <w:t>号华西证券</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3020"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办公地址：四川省成都市高新</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区天府二街 </w:t>
      </w:r>
      <w:r>
        <w:rPr>
          <w:rFonts w:ascii="Times New Roman"/>
          <w:color w:val="000000"/>
          <w:spacing w:val="0"/>
          <w:sz w:val="21"/>
        </w:rPr>
        <w:t>198</w:t>
      </w:r>
      <w:r>
        <w:rPr>
          <w:rFonts w:ascii="SKJVQB+å®ä½" w:hAnsi="SKJVQB+å®ä½" w:cs="SKJVQB+å®ä½"/>
          <w:color w:val="000000"/>
          <w:spacing w:val="0"/>
          <w:sz w:val="21"/>
        </w:rPr>
        <w:t>号华西证券</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大厦</w:t>
      </w:r>
    </w:p>
    <w:p>
      <w:pPr>
        <w:framePr w:w="2209"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法定代表人：杨炯洋</w:t>
      </w:r>
    </w:p>
    <w:p>
      <w:pPr>
        <w:framePr w:w="2209"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联系人：谢国梅</w:t>
      </w:r>
    </w:p>
    <w:p>
      <w:pPr>
        <w:framePr w:w="1894"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95584</w:t>
      </w:r>
    </w:p>
    <w:p>
      <w:pPr>
        <w:framePr w:w="3023"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www.hx168.com.cn</w:t>
      </w:r>
    </w:p>
    <w:p>
      <w:pPr>
        <w:framePr w:w="3023" w:wrap="around" w:vAnchor="margin" w:hAnchor="text" w:x="7482" w:y="4609"/>
        <w:widowControl w:val="0"/>
        <w:autoSpaceDE w:val="0"/>
        <w:autoSpaceDN w:val="0"/>
        <w:spacing w:before="0" w:after="0" w:line="322"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注册地址：武汉市新华路特 </w:t>
      </w:r>
      <w:r>
        <w:rPr>
          <w:rFonts w:ascii="Times New Roman"/>
          <w:color w:val="000000"/>
          <w:spacing w:val="0"/>
          <w:sz w:val="21"/>
        </w:rPr>
        <w:t xml:space="preserve"> 8</w:t>
      </w:r>
    </w:p>
    <w:p>
      <w:pPr>
        <w:framePr w:w="3023"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号长江证券大厦</w:t>
      </w:r>
    </w:p>
    <w:p>
      <w:pPr>
        <w:framePr w:w="526" w:wrap="around" w:vAnchor="margin" w:hAnchor="text" w:x="4213" w:y="492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18</w:t>
      </w:r>
    </w:p>
    <w:p>
      <w:pPr>
        <w:framePr w:w="2418" w:wrap="around" w:vAnchor="margin" w:hAnchor="text" w:x="4640" w:y="493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长江证券股份有限公司</w:t>
      </w:r>
    </w:p>
    <w:p>
      <w:pPr>
        <w:framePr w:w="2209" w:wrap="around" w:vAnchor="margin" w:hAnchor="text" w:x="7482"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法定代表人：李新华</w:t>
      </w:r>
    </w:p>
    <w:p>
      <w:pPr>
        <w:framePr w:w="2209"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联系人：奚博宇</w:t>
      </w:r>
    </w:p>
    <w:p>
      <w:pPr>
        <w:framePr w:w="2178" w:wrap="around" w:vAnchor="margin" w:hAnchor="text" w:x="7482" w:y="6178"/>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027-65799999</w:t>
      </w:r>
    </w:p>
    <w:p>
      <w:pPr>
        <w:framePr w:w="2178" w:wrap="around" w:vAnchor="margin" w:hAnchor="text" w:x="7482" w:y="617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027-85481900</w:t>
      </w:r>
    </w:p>
    <w:p>
      <w:pPr>
        <w:framePr w:w="2178" w:wrap="around" w:vAnchor="margin" w:hAnchor="text" w:x="7482" w:y="61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95579</w:t>
      </w:r>
      <w:r>
        <w:rPr>
          <w:rFonts w:ascii="SKJVQB+å®ä½" w:hAnsi="SKJVQB+å®ä½" w:cs="SKJVQB+å®ä½"/>
          <w:color w:val="000000"/>
          <w:spacing w:val="0"/>
          <w:sz w:val="21"/>
        </w:rPr>
        <w:t>或</w:t>
      </w:r>
    </w:p>
    <w:p>
      <w:pPr>
        <w:framePr w:w="2178" w:wrap="around" w:vAnchor="margin" w:hAnchor="text" w:x="7482" w:y="6178"/>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4008-888-999</w:t>
      </w:r>
    </w:p>
    <w:p>
      <w:pPr>
        <w:framePr w:w="3020"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www.95579.com</w:t>
      </w:r>
    </w:p>
    <w:p>
      <w:pPr>
        <w:framePr w:w="3020" w:wrap="around" w:vAnchor="margin" w:hAnchor="text" w:x="7482" w:y="742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framePr w:w="3020" w:wrap="around" w:vAnchor="margin" w:hAnchor="text" w:x="7482" w:y="74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作区南山街道桂湾五路 </w:t>
      </w:r>
      <w:r>
        <w:rPr>
          <w:rFonts w:ascii="Times New Roman"/>
          <w:color w:val="000000"/>
          <w:spacing w:val="0"/>
          <w:sz w:val="21"/>
        </w:rPr>
        <w:t xml:space="preserve"> 128</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号前海深港基金小镇对冲基</w:t>
      </w:r>
    </w:p>
    <w:p>
      <w:pPr>
        <w:framePr w:w="3020" w:wrap="around" w:vAnchor="margin" w:hAnchor="text" w:x="7482" w:y="74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金中心 </w:t>
      </w:r>
      <w:r>
        <w:rPr>
          <w:rFonts w:ascii="Times New Roman"/>
          <w:color w:val="000000"/>
          <w:spacing w:val="0"/>
          <w:sz w:val="21"/>
        </w:rPr>
        <w:t xml:space="preserve"> 406</w:t>
      </w:r>
    </w:p>
    <w:p>
      <w:pPr>
        <w:framePr w:w="526" w:wrap="around" w:vAnchor="margin" w:hAnchor="text" w:x="4213" w:y="774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19</w:t>
      </w:r>
    </w:p>
    <w:p>
      <w:pPr>
        <w:framePr w:w="2418" w:wrap="around" w:vAnchor="margin" w:hAnchor="text" w:x="4640" w:y="77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世纪证券有限责任公司</w:t>
      </w:r>
    </w:p>
    <w:p>
      <w:pPr>
        <w:framePr w:w="3020" w:wrap="around" w:vAnchor="margin" w:hAnchor="text" w:x="7482"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办公地址：深圳市福田区深南</w:t>
      </w:r>
    </w:p>
    <w:p>
      <w:pPr>
        <w:framePr w:w="3020" w:wrap="around" w:vAnchor="margin" w:hAnchor="text" w:x="7482"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大道招商银行大厦 </w:t>
      </w:r>
      <w:r>
        <w:rPr>
          <w:rFonts w:ascii="Times New Roman"/>
          <w:color w:val="000000"/>
          <w:spacing w:val="0"/>
          <w:sz w:val="21"/>
        </w:rPr>
        <w:t>40-42</w:t>
      </w:r>
      <w:r>
        <w:rPr>
          <w:rFonts w:ascii="SKJVQB+å®ä½" w:hAnsi="SKJVQB+å®ä½" w:cs="SKJVQB+å®ä½"/>
          <w:color w:val="000000"/>
          <w:spacing w:val="0"/>
          <w:sz w:val="21"/>
        </w:rPr>
        <w:t>层</w:t>
      </w:r>
    </w:p>
    <w:p>
      <w:pPr>
        <w:framePr w:w="3020" w:wrap="around" w:vAnchor="margin" w:hAnchor="text" w:x="7482" w:y="90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法定代表人：李强</w:t>
      </w:r>
    </w:p>
    <w:p>
      <w:pPr>
        <w:framePr w:w="1578"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联系人：王雯</w:t>
      </w:r>
    </w:p>
    <w:p>
      <w:pPr>
        <w:framePr w:w="2901" w:wrap="around" w:vAnchor="margin" w:hAnchor="text" w:x="7482" w:y="1024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0755-83199511</w:t>
      </w:r>
    </w:p>
    <w:p>
      <w:pPr>
        <w:framePr w:w="2901" w:wrap="around" w:vAnchor="margin" w:hAnchor="text" w:x="7482" w:y="10247"/>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4008323000</w:t>
      </w:r>
    </w:p>
    <w:p>
      <w:pPr>
        <w:framePr w:w="2901" w:wrap="around" w:vAnchor="margin" w:hAnchor="text" w:x="7482" w:y="102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www.csco.com.cn</w:t>
      </w:r>
    </w:p>
    <w:p>
      <w:pPr>
        <w:framePr w:w="2901" w:wrap="around" w:vAnchor="margin" w:hAnchor="text" w:x="7482" w:y="1024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注册地址：长春市生态大街</w:t>
      </w:r>
    </w:p>
    <w:p>
      <w:pPr>
        <w:framePr w:w="2901" w:wrap="around" w:vAnchor="margin" w:hAnchor="text" w:x="7482" w:y="102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6666</w:t>
      </w:r>
      <w:r>
        <w:rPr>
          <w:rFonts w:ascii="SKJVQB+å®ä½" w:hAnsi="SKJVQB+å®ä½" w:cs="SKJVQB+å®ä½"/>
          <w:color w:val="000000"/>
          <w:spacing w:val="0"/>
          <w:sz w:val="21"/>
        </w:rPr>
        <w:t>号</w:t>
      </w:r>
    </w:p>
    <w:p>
      <w:pPr>
        <w:framePr w:w="526" w:wrap="around" w:vAnchor="margin" w:hAnchor="text" w:x="4213" w:y="1119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20</w:t>
      </w:r>
    </w:p>
    <w:p>
      <w:pPr>
        <w:framePr w:w="2418" w:wrap="around" w:vAnchor="margin" w:hAnchor="text" w:x="4640" w:y="1120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东北证券股份有限公司</w:t>
      </w:r>
    </w:p>
    <w:p>
      <w:pPr>
        <w:framePr w:w="2901" w:wrap="around" w:vAnchor="margin" w:hAnchor="text" w:x="7482" w:y="1182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办公地址：长春市生态大街</w:t>
      </w:r>
    </w:p>
    <w:p>
      <w:pPr>
        <w:framePr w:w="2901" w:wrap="around" w:vAnchor="margin" w:hAnchor="text" w:x="7482" w:y="1182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6666</w:t>
      </w:r>
      <w:r>
        <w:rPr>
          <w:rFonts w:ascii="SKJVQB+å®ä½" w:hAnsi="SKJVQB+å®ä½" w:cs="SKJVQB+å®ä½"/>
          <w:color w:val="000000"/>
          <w:spacing w:val="0"/>
          <w:sz w:val="21"/>
        </w:rPr>
        <w:t>号</w:t>
      </w:r>
    </w:p>
    <w:p>
      <w:pPr>
        <w:framePr w:w="2209" w:wrap="around" w:vAnchor="margin" w:hAnchor="text" w:x="7482"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法定代表人：李福春</w:t>
      </w:r>
    </w:p>
    <w:p>
      <w:pPr>
        <w:framePr w:w="2209" w:wrap="around" w:vAnchor="margin" w:hAnchor="text" w:x="7482" w:y="124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安岩岩</w:t>
      </w:r>
    </w:p>
    <w:p>
      <w:pPr>
        <w:framePr w:w="2571" w:wrap="around" w:vAnchor="margin" w:hAnchor="text" w:x="7482" w:y="1306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:0431-85096517</w:t>
      </w:r>
    </w:p>
    <w:p>
      <w:pPr>
        <w:framePr w:w="2571" w:wrap="around" w:vAnchor="margin" w:hAnchor="text" w:x="7482" w:y="1306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:95360</w:t>
      </w:r>
    </w:p>
    <w:p>
      <w:pPr>
        <w:framePr w:w="3020" w:wrap="around" w:vAnchor="margin" w:hAnchor="text" w:x="7482" w:y="1368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www.nesc.cn</w:t>
      </w:r>
    </w:p>
    <w:p>
      <w:pPr>
        <w:framePr w:w="3020" w:wrap="around" w:vAnchor="margin" w:hAnchor="text" w:x="7482" w:y="1368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注册地址：上海市黄浦区四川</w:t>
      </w:r>
    </w:p>
    <w:p>
      <w:pPr>
        <w:framePr w:w="3020" w:wrap="around" w:vAnchor="margin" w:hAnchor="text" w:x="7482" w:y="1368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213</w:t>
      </w:r>
      <w:r>
        <w:rPr>
          <w:rFonts w:ascii="SKJVQB+å®ä½" w:hAnsi="SKJVQB+å®ä½" w:cs="SKJVQB+å®ä½"/>
          <w:color w:val="000000"/>
          <w:spacing w:val="0"/>
          <w:sz w:val="21"/>
        </w:rPr>
        <w:t xml:space="preserve">号  </w:t>
      </w:r>
      <w:r>
        <w:rPr>
          <w:rFonts w:ascii="Times New Roman"/>
          <w:color w:val="000000"/>
          <w:spacing w:val="0"/>
          <w:sz w:val="21"/>
        </w:rPr>
        <w:t>7</w:t>
      </w:r>
      <w:r>
        <w:rPr>
          <w:rFonts w:ascii="SKJVQB+å®ä½" w:hAnsi="SKJVQB+å®ä½" w:cs="SKJVQB+å®ä½"/>
          <w:color w:val="000000"/>
          <w:spacing w:val="0"/>
          <w:sz w:val="21"/>
        </w:rPr>
        <w:t>楼</w:t>
      </w:r>
    </w:p>
    <w:p>
      <w:pPr>
        <w:framePr w:w="526" w:wrap="around" w:vAnchor="margin" w:hAnchor="text" w:x="4213" w:y="1400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21</w:t>
      </w:r>
    </w:p>
    <w:p>
      <w:pPr>
        <w:framePr w:w="2418" w:wrap="around" w:vAnchor="margin" w:hAnchor="text" w:x="4640" w:y="140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上海证券有限责任公司</w:t>
      </w:r>
    </w:p>
    <w:p>
      <w:pPr>
        <w:framePr w:w="3020" w:wrap="around" w:vAnchor="margin" w:hAnchor="text" w:x="7482" w:y="1464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办公地址：上海市黄浦区四川</w:t>
      </w:r>
    </w:p>
    <w:p>
      <w:pPr>
        <w:framePr w:w="3020" w:wrap="around" w:vAnchor="margin" w:hAnchor="text" w:x="7482" w:y="1464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213</w:t>
      </w:r>
      <w:r>
        <w:rPr>
          <w:rFonts w:ascii="SKJVQB+å®ä½" w:hAnsi="SKJVQB+å®ä½" w:cs="SKJVQB+å®ä½"/>
          <w:color w:val="000000"/>
          <w:spacing w:val="0"/>
          <w:sz w:val="21"/>
        </w:rPr>
        <w:t xml:space="preserve">号久事商务大厦  </w:t>
      </w:r>
      <w:r>
        <w:rPr>
          <w:rFonts w:ascii="Times New Roman"/>
          <w:color w:val="000000"/>
          <w:spacing w:val="0"/>
          <w:sz w:val="21"/>
        </w:rPr>
        <w:t xml:space="preserve"> 7</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84</w:t>
      </w:r>
    </w:p>
    <w:p>
      <w:pPr>
        <w:spacing w:before="0" w:after="0" w:line="0" w:lineRule="exact"/>
        <w:ind w:left="0" w:right="0"/>
        <w:jc w:val="left"/>
        <w:rPr>
          <w:rFonts w:ascii="Arial"/>
          <w:color w:val="FF0000"/>
          <w:spacing w:val="0"/>
          <w:sz w:val="2"/>
        </w:rPr>
      </w:pPr>
      <w:r>
        <w:pict>
          <v:shape id="_x0000175" o:spid="_x0000_s120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56" o:title=""/>
            <o:lock v:ext="edit" aspectratio="t"/>
          </v:shape>
        </w:pict>
      </w:r>
      <w:r>
        <w:pict>
          <v:shape id="_x0000176" o:spid="_x0000_s1202" o:spt="75" type="#_x0000_t75" style="position:absolute;left:0pt;margin-left:84.4pt;margin-top:71.1pt;height:690pt;width:426.7pt;mso-position-horizontal-relative:page;mso-position-vertical-relative:page;z-index:-1024;mso-width-relative:page;mso-height-relative:page;" filled="f" coordsize="21600,21600">
            <v:path/>
            <v:fill on="f" focussize="0,0"/>
            <v:stroke/>
            <v:imagedata r:id="rId15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26"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209"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法定代表人：李俊杰</w:t>
      </w:r>
    </w:p>
    <w:p>
      <w:pPr>
        <w:framePr w:w="2209"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联系人：邵珍珍</w:t>
      </w:r>
    </w:p>
    <w:p>
      <w:pPr>
        <w:framePr w:w="2709" w:wrap="around" w:vAnchor="margin" w:hAnchor="text" w:x="7482" w:y="241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021-53686888</w:t>
      </w:r>
    </w:p>
    <w:p>
      <w:pPr>
        <w:framePr w:w="2709"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021-53686100-7008</w:t>
      </w:r>
    </w:p>
    <w:p>
      <w:pPr>
        <w:framePr w:w="2709"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4008918918</w:t>
      </w:r>
    </w:p>
    <w:p>
      <w:pPr>
        <w:framePr w:w="2709"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www.shzq.com</w:t>
      </w:r>
    </w:p>
    <w:p>
      <w:pPr>
        <w:framePr w:w="526" w:wrap="around" w:vAnchor="margin" w:hAnchor="text" w:x="4213"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22</w:t>
      </w:r>
    </w:p>
    <w:p>
      <w:pPr>
        <w:framePr w:w="1998"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江海证券有限公司</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注册地址：黑龙江省哈尔滨市</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香坊区赣水路 </w:t>
      </w:r>
      <w:r>
        <w:rPr>
          <w:rFonts w:ascii="Times New Roman"/>
          <w:color w:val="000000"/>
          <w:spacing w:val="0"/>
          <w:sz w:val="21"/>
        </w:rPr>
        <w:t>56</w:t>
      </w:r>
      <w:r>
        <w:rPr>
          <w:rFonts w:ascii="SKJVQB+å®ä½" w:hAnsi="SKJVQB+å®ä½" w:cs="SKJVQB+å®ä½"/>
          <w:color w:val="000000"/>
          <w:spacing w:val="0"/>
          <w:sz w:val="21"/>
        </w:rPr>
        <w:t>号</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办公地址：黑龙江省哈尔滨市</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松北区创新三路 </w:t>
      </w:r>
      <w:r>
        <w:rPr>
          <w:rFonts w:ascii="Times New Roman"/>
          <w:color w:val="000000"/>
          <w:spacing w:val="0"/>
          <w:sz w:val="21"/>
        </w:rPr>
        <w:t>833</w:t>
      </w:r>
      <w:r>
        <w:rPr>
          <w:rFonts w:ascii="SKJVQB+å®ä½" w:hAnsi="SKJVQB+å®ä½" w:cs="SKJVQB+å®ä½"/>
          <w:color w:val="000000"/>
          <w:spacing w:val="0"/>
          <w:sz w:val="21"/>
        </w:rPr>
        <w:t>号</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法定代表人：赵洪波</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联系人：姜志伟</w:t>
      </w:r>
    </w:p>
    <w:p>
      <w:pPr>
        <w:framePr w:w="3021"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0451-87765732</w:t>
      </w:r>
    </w:p>
    <w:p>
      <w:pPr>
        <w:framePr w:w="3021"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0451-82337279</w:t>
      </w:r>
    </w:p>
    <w:p>
      <w:pPr>
        <w:framePr w:w="3021"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400-666-2288</w:t>
      </w:r>
    </w:p>
    <w:p>
      <w:pPr>
        <w:framePr w:w="3021"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www.jhzq.com.cn</w:t>
      </w:r>
    </w:p>
    <w:p>
      <w:pPr>
        <w:framePr w:w="3021"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江苏省无锡滨湖区</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太湖新城金融一街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7-9</w:t>
      </w:r>
      <w:r>
        <w:rPr>
          <w:rFonts w:ascii="SKJVQB+å®ä½" w:hAnsi="SKJVQB+å®ä½" w:cs="SKJVQB+å®ä½"/>
          <w:color w:val="000000"/>
          <w:spacing w:val="0"/>
          <w:sz w:val="21"/>
        </w:rPr>
        <w:t>层</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办公地址：江苏省无锡滨湖区</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太湖新城金融一街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7-9</w:t>
      </w:r>
      <w:r>
        <w:rPr>
          <w:rFonts w:ascii="SKJVQB+å®ä½" w:hAnsi="SKJVQB+å®ä½" w:cs="SKJVQB+å®ä½"/>
          <w:color w:val="000000"/>
          <w:spacing w:val="0"/>
          <w:sz w:val="21"/>
        </w:rPr>
        <w:t>层</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姚志勇</w:t>
      </w:r>
    </w:p>
    <w:p>
      <w:pPr>
        <w:framePr w:w="526" w:wrap="around" w:vAnchor="margin" w:hAnchor="text" w:x="4213"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23</w:t>
      </w:r>
    </w:p>
    <w:p>
      <w:pPr>
        <w:framePr w:w="526" w:wrap="around" w:vAnchor="margin" w:hAnchor="text" w:x="4213" w:y="6800"/>
        <w:widowControl w:val="0"/>
        <w:autoSpaceDE w:val="0"/>
        <w:autoSpaceDN w:val="0"/>
        <w:spacing w:before="0" w:after="0" w:line="2820" w:lineRule="exact"/>
        <w:ind w:left="0" w:right="0"/>
        <w:jc w:val="left"/>
        <w:rPr>
          <w:rFonts w:ascii="Times New Roman"/>
          <w:color w:val="000000"/>
          <w:spacing w:val="0"/>
          <w:sz w:val="21"/>
        </w:rPr>
      </w:pPr>
      <w:r>
        <w:rPr>
          <w:rFonts w:ascii="Times New Roman"/>
          <w:color w:val="000000"/>
          <w:spacing w:val="0"/>
          <w:sz w:val="21"/>
        </w:rPr>
        <w:t>24</w:t>
      </w:r>
    </w:p>
    <w:p>
      <w:pPr>
        <w:framePr w:w="526" w:wrap="around" w:vAnchor="margin" w:hAnchor="text" w:x="4213" w:y="6800"/>
        <w:widowControl w:val="0"/>
        <w:autoSpaceDE w:val="0"/>
        <w:autoSpaceDN w:val="0"/>
        <w:spacing w:before="0" w:after="0" w:line="2818" w:lineRule="exact"/>
        <w:ind w:left="0" w:right="0"/>
        <w:jc w:val="left"/>
        <w:rPr>
          <w:rFonts w:ascii="Times New Roman"/>
          <w:color w:val="000000"/>
          <w:spacing w:val="0"/>
          <w:sz w:val="21"/>
        </w:rPr>
      </w:pPr>
      <w:r>
        <w:rPr>
          <w:rFonts w:ascii="Times New Roman"/>
          <w:color w:val="000000"/>
          <w:spacing w:val="0"/>
          <w:sz w:val="21"/>
        </w:rPr>
        <w:t>25</w:t>
      </w:r>
    </w:p>
    <w:p>
      <w:pPr>
        <w:framePr w:w="2418"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国联证券股份有限公司</w:t>
      </w:r>
    </w:p>
    <w:p>
      <w:pPr>
        <w:framePr w:w="2418" w:wrap="around" w:vAnchor="margin" w:hAnchor="text" w:x="4640" w:y="6809"/>
        <w:widowControl w:val="0"/>
        <w:autoSpaceDE w:val="0"/>
        <w:autoSpaceDN w:val="0"/>
        <w:spacing w:before="0" w:after="0" w:line="2820"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东莞证券股份有限公司</w:t>
      </w:r>
    </w:p>
    <w:p>
      <w:pPr>
        <w:framePr w:w="2418" w:wrap="around" w:vAnchor="margin" w:hAnchor="text" w:x="4640" w:y="6809"/>
        <w:widowControl w:val="0"/>
        <w:autoSpaceDE w:val="0"/>
        <w:autoSpaceDN w:val="0"/>
        <w:spacing w:before="0" w:after="0" w:line="281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渤海证券股份有限公司</w:t>
      </w:r>
    </w:p>
    <w:p>
      <w:pPr>
        <w:framePr w:w="1430" w:wrap="around" w:vAnchor="margin" w:hAnchor="text" w:x="7482" w:y="8363"/>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祁昊</w:t>
      </w:r>
    </w:p>
    <w:p>
      <w:pPr>
        <w:framePr w:w="2571" w:wrap="around" w:vAnchor="margin" w:hAnchor="text" w:x="7482" w:y="86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:0510-82831662</w:t>
      </w:r>
    </w:p>
    <w:p>
      <w:pPr>
        <w:framePr w:w="2571" w:wrap="around" w:vAnchor="margin" w:hAnchor="text" w:x="7482" w:y="86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:95570</w:t>
      </w:r>
    </w:p>
    <w:p>
      <w:pPr>
        <w:framePr w:w="2969"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:www.glsc.com.cn</w:t>
      </w:r>
    </w:p>
    <w:p>
      <w:pPr>
        <w:framePr w:w="2969" w:wrap="around" w:vAnchor="margin" w:hAnchor="text" w:x="7482" w:y="929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广东省东莞市莞城</w:t>
      </w:r>
    </w:p>
    <w:p>
      <w:pPr>
        <w:framePr w:w="2969"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区可园南路 </w:t>
      </w:r>
      <w:r>
        <w:rPr>
          <w:rFonts w:ascii="Times New Roman"/>
          <w:color w:val="000000"/>
          <w:spacing w:val="0"/>
          <w:sz w:val="21"/>
        </w:rPr>
        <w:t>1</w:t>
      </w:r>
      <w:r>
        <w:rPr>
          <w:rFonts w:ascii="SKJVQB+å®ä½" w:hAnsi="SKJVQB+å®ä½" w:cs="SKJVQB+å®ä½"/>
          <w:color w:val="000000"/>
          <w:spacing w:val="0"/>
          <w:sz w:val="21"/>
        </w:rPr>
        <w:t>号金源中心</w:t>
      </w:r>
    </w:p>
    <w:p>
      <w:pPr>
        <w:framePr w:w="2969"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广东省东莞市莞城</w:t>
      </w:r>
    </w:p>
    <w:p>
      <w:pPr>
        <w:framePr w:w="2969" w:wrap="around" w:vAnchor="margin" w:hAnchor="text" w:x="7482" w:y="9299"/>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区可园南路 </w:t>
      </w:r>
      <w:r>
        <w:rPr>
          <w:rFonts w:ascii="Times New Roman"/>
          <w:color w:val="000000"/>
          <w:spacing w:val="0"/>
          <w:sz w:val="21"/>
        </w:rPr>
        <w:t>1</w:t>
      </w:r>
      <w:r>
        <w:rPr>
          <w:rFonts w:ascii="SKJVQB+å®ä½" w:hAnsi="SKJVQB+å®ä½" w:cs="SKJVQB+å®ä½"/>
          <w:color w:val="000000"/>
          <w:spacing w:val="0"/>
          <w:sz w:val="21"/>
        </w:rPr>
        <w:t>号金源中心</w:t>
      </w:r>
    </w:p>
    <w:p>
      <w:pPr>
        <w:framePr w:w="2969"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李荣</w:t>
      </w:r>
    </w:p>
    <w:p>
      <w:pPr>
        <w:framePr w:w="2736"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0769-22115712</w:t>
      </w:r>
    </w:p>
    <w:p>
      <w:pPr>
        <w:framePr w:w="2736"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0769-22115712</w:t>
      </w:r>
    </w:p>
    <w:p>
      <w:pPr>
        <w:framePr w:w="2736"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95328</w:t>
      </w:r>
    </w:p>
    <w:p>
      <w:pPr>
        <w:framePr w:w="3020"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:www.dgzq.com.cn</w:t>
      </w:r>
    </w:p>
    <w:p>
      <w:pPr>
        <w:framePr w:w="3020" w:wrap="around" w:vAnchor="margin" w:hAnchor="text" w:x="7482" w:y="1211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注册地址：天津市经济技术开</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发区第二大街 </w:t>
      </w:r>
      <w:r>
        <w:rPr>
          <w:rFonts w:ascii="Times New Roman"/>
          <w:color w:val="000000"/>
          <w:spacing w:val="0"/>
          <w:sz w:val="21"/>
        </w:rPr>
        <w:t>42</w:t>
      </w:r>
      <w:r>
        <w:rPr>
          <w:rFonts w:ascii="SKJVQB+å®ä½" w:hAnsi="SKJVQB+å®ä½" w:cs="SKJVQB+å®ä½"/>
          <w:color w:val="000000"/>
          <w:spacing w:val="0"/>
          <w:sz w:val="21"/>
        </w:rPr>
        <w:t>号写字楼</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101</w:t>
      </w:r>
      <w:r>
        <w:rPr>
          <w:rFonts w:ascii="SKJVQB+å®ä½" w:hAnsi="SKJVQB+å®ä½" w:cs="SKJVQB+å®ä½"/>
          <w:color w:val="000000"/>
          <w:spacing w:val="0"/>
          <w:sz w:val="21"/>
        </w:rPr>
        <w:t>室</w:t>
      </w:r>
    </w:p>
    <w:p>
      <w:pPr>
        <w:framePr w:w="3020" w:wrap="around" w:vAnchor="margin" w:hAnchor="text" w:x="7482"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办公地址：天津市南开区宾水</w:t>
      </w:r>
    </w:p>
    <w:p>
      <w:pPr>
        <w:framePr w:w="3020" w:wrap="around" w:vAnchor="margin" w:hAnchor="text" w:x="7482" w:y="133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西道 </w:t>
      </w:r>
      <w:r>
        <w:rPr>
          <w:rFonts w:ascii="Times New Roman"/>
          <w:color w:val="000000"/>
          <w:spacing w:val="0"/>
          <w:sz w:val="21"/>
        </w:rPr>
        <w:t>8</w:t>
      </w:r>
      <w:r>
        <w:rPr>
          <w:rFonts w:ascii="SKJVQB+å®ä½" w:hAnsi="SKJVQB+å®ä½" w:cs="SKJVQB+å®ä½"/>
          <w:color w:val="000000"/>
          <w:spacing w:val="0"/>
          <w:sz w:val="21"/>
        </w:rPr>
        <w:t>号</w:t>
      </w:r>
    </w:p>
    <w:p>
      <w:pPr>
        <w:framePr w:w="2209"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法定代表人：安志勇</w:t>
      </w:r>
    </w:p>
    <w:p>
      <w:pPr>
        <w:framePr w:w="2209"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王星</w:t>
      </w:r>
    </w:p>
    <w:p>
      <w:pPr>
        <w:framePr w:w="2178"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022-28451922</w:t>
      </w:r>
    </w:p>
    <w:p>
      <w:pPr>
        <w:framePr w:w="2178"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022-28451892</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85</w:t>
      </w:r>
    </w:p>
    <w:p>
      <w:pPr>
        <w:spacing w:before="0" w:after="0" w:line="0" w:lineRule="exact"/>
        <w:ind w:left="0" w:right="0"/>
        <w:jc w:val="left"/>
        <w:rPr>
          <w:rFonts w:ascii="Arial"/>
          <w:color w:val="FF0000"/>
          <w:spacing w:val="0"/>
          <w:sz w:val="2"/>
        </w:rPr>
      </w:pPr>
      <w:r>
        <w:pict>
          <v:shape id="_x0000177" o:spid="_x0000_s120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58" o:title=""/>
            <o:lock v:ext="edit" aspectratio="t"/>
          </v:shape>
        </w:pict>
      </w:r>
      <w:r>
        <w:pict>
          <v:shape id="_x0000178" o:spid="_x0000_s1204"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5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673"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400-651-5988</w:t>
      </w:r>
    </w:p>
    <w:p>
      <w:pPr>
        <w:framePr w:w="2673"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www.ewww.com.cn</w:t>
      </w:r>
    </w:p>
    <w:p>
      <w:pPr>
        <w:framePr w:w="526" w:wrap="around" w:vAnchor="margin" w:hAnchor="text" w:x="4213" w:y="21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26</w:t>
      </w:r>
    </w:p>
    <w:p>
      <w:pPr>
        <w:framePr w:w="2418" w:wrap="around" w:vAnchor="margin" w:hAnchor="text" w:x="4640"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平安证券股份有限公司</w:t>
      </w:r>
    </w:p>
    <w:p>
      <w:pPr>
        <w:framePr w:w="3020" w:wrap="around" w:vAnchor="margin" w:hAnchor="text" w:x="7482"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注册地址：深圳市福田中心区</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金田路 </w:t>
      </w:r>
      <w:r>
        <w:rPr>
          <w:rFonts w:ascii="Times New Roman"/>
          <w:color w:val="000000"/>
          <w:spacing w:val="0"/>
          <w:sz w:val="21"/>
        </w:rPr>
        <w:t>4036</w:t>
      </w:r>
      <w:r>
        <w:rPr>
          <w:rFonts w:ascii="SKJVQB+å®ä½" w:hAnsi="SKJVQB+å®ä½" w:cs="SKJVQB+å®ä½"/>
          <w:color w:val="000000"/>
          <w:spacing w:val="0"/>
          <w:sz w:val="21"/>
        </w:rPr>
        <w:t>号荣超大厦</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16-20</w:t>
      </w:r>
      <w:r>
        <w:rPr>
          <w:rFonts w:ascii="SKJVQB+å®ä½" w:hAnsi="SKJVQB+å®ä½" w:cs="SKJVQB+å®ä½"/>
          <w:color w:val="000000"/>
          <w:spacing w:val="0"/>
          <w:sz w:val="21"/>
        </w:rPr>
        <w:t>层</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办公地址：深圳市福田中心区</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金田路 </w:t>
      </w:r>
      <w:r>
        <w:rPr>
          <w:rFonts w:ascii="Times New Roman"/>
          <w:color w:val="000000"/>
          <w:spacing w:val="0"/>
          <w:sz w:val="21"/>
        </w:rPr>
        <w:t>4036</w:t>
      </w:r>
      <w:r>
        <w:rPr>
          <w:rFonts w:ascii="SKJVQB+å®ä½" w:hAnsi="SKJVQB+å®ä½" w:cs="SKJVQB+å®ä½"/>
          <w:color w:val="000000"/>
          <w:spacing w:val="0"/>
          <w:sz w:val="21"/>
        </w:rPr>
        <w:t>号荣超大厦</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16-20</w:t>
      </w:r>
      <w:r>
        <w:rPr>
          <w:rFonts w:ascii="SKJVQB+å®ä½" w:hAnsi="SKJVQB+å®ä½" w:cs="SKJVQB+å®ä½"/>
          <w:color w:val="000000"/>
          <w:spacing w:val="0"/>
          <w:sz w:val="21"/>
        </w:rPr>
        <w:t>层</w:t>
      </w:r>
    </w:p>
    <w:p>
      <w:pPr>
        <w:framePr w:w="2209"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法定代表人：何之江</w:t>
      </w:r>
    </w:p>
    <w:p>
      <w:pPr>
        <w:framePr w:w="2209"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王阳</w:t>
      </w:r>
    </w:p>
    <w:p>
      <w:pPr>
        <w:framePr w:w="2449"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:021-38637436</w:t>
      </w:r>
    </w:p>
    <w:p>
      <w:pPr>
        <w:framePr w:w="2449"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:95511-8</w:t>
      </w:r>
    </w:p>
    <w:p>
      <w:pPr>
        <w:framePr w:w="3023" w:wrap="around" w:vAnchor="margin" w:hAnchor="text" w:x="7482" w:y="523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stock.pingan.com</w:t>
      </w:r>
    </w:p>
    <w:p>
      <w:pPr>
        <w:framePr w:w="3023" w:wrap="around" w:vAnchor="margin" w:hAnchor="text" w:x="7482" w:y="523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注册地址：北京市东城区东直</w:t>
      </w:r>
    </w:p>
    <w:p>
      <w:pPr>
        <w:framePr w:w="3023"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门南大街 </w:t>
      </w:r>
      <w:r>
        <w:rPr>
          <w:rFonts w:ascii="Times New Roman"/>
          <w:color w:val="000000"/>
          <w:spacing w:val="0"/>
          <w:sz w:val="21"/>
        </w:rPr>
        <w:t>3</w:t>
      </w:r>
      <w:r>
        <w:rPr>
          <w:rFonts w:ascii="SKJVQB+å®ä½" w:hAnsi="SKJVQB+å®ä½" w:cs="SKJVQB+å®ä½"/>
          <w:color w:val="000000"/>
          <w:spacing w:val="0"/>
          <w:sz w:val="21"/>
        </w:rPr>
        <w:t xml:space="preserve">号国华投资大厦 </w:t>
      </w:r>
      <w:r>
        <w:rPr>
          <w:rFonts w:ascii="Times New Roman"/>
          <w:color w:val="000000"/>
          <w:spacing w:val="0"/>
          <w:sz w:val="21"/>
        </w:rPr>
        <w:t xml:space="preserve"> 9</w:t>
      </w:r>
    </w:p>
    <w:p>
      <w:pPr>
        <w:framePr w:w="3023" w:wrap="around" w:vAnchor="margin" w:hAnchor="text" w:x="7482" w:y="52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10</w:t>
      </w:r>
      <w:r>
        <w:rPr>
          <w:rFonts w:ascii="SKJVQB+å®ä½" w:hAnsi="SKJVQB+å®ä½" w:cs="SKJVQB+å®ä½"/>
          <w:color w:val="000000"/>
          <w:spacing w:val="0"/>
          <w:sz w:val="21"/>
        </w:rPr>
        <w:t>层</w:t>
      </w:r>
    </w:p>
    <w:p>
      <w:pPr>
        <w:framePr w:w="526" w:wrap="around" w:vAnchor="margin" w:hAnchor="text" w:x="4213" w:y="555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27</w:t>
      </w:r>
    </w:p>
    <w:p>
      <w:pPr>
        <w:framePr w:w="2418" w:wrap="around" w:vAnchor="margin" w:hAnchor="text" w:x="4640"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国都证券股份有限公司</w:t>
      </w:r>
    </w:p>
    <w:p>
      <w:pPr>
        <w:framePr w:w="3023" w:wrap="around" w:vAnchor="margin" w:hAnchor="text" w:x="7482"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办公地址：北京市东城区东直</w:t>
      </w:r>
    </w:p>
    <w:p>
      <w:pPr>
        <w:framePr w:w="3023" w:wrap="around" w:vAnchor="margin" w:hAnchor="text" w:x="7482" w:y="649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门南大街 </w:t>
      </w:r>
      <w:r>
        <w:rPr>
          <w:rFonts w:ascii="Times New Roman"/>
          <w:color w:val="000000"/>
          <w:spacing w:val="0"/>
          <w:sz w:val="21"/>
        </w:rPr>
        <w:t>3</w:t>
      </w:r>
      <w:r>
        <w:rPr>
          <w:rFonts w:ascii="SKJVQB+å®ä½" w:hAnsi="SKJVQB+å®ä½" w:cs="SKJVQB+å®ä½"/>
          <w:color w:val="000000"/>
          <w:spacing w:val="0"/>
          <w:sz w:val="21"/>
        </w:rPr>
        <w:t xml:space="preserve">号国华投资大厦 </w:t>
      </w:r>
      <w:r>
        <w:rPr>
          <w:rFonts w:ascii="Times New Roman"/>
          <w:color w:val="000000"/>
          <w:spacing w:val="0"/>
          <w:sz w:val="21"/>
        </w:rPr>
        <w:t xml:space="preserve"> 9</w:t>
      </w:r>
    </w:p>
    <w:p>
      <w:pPr>
        <w:framePr w:w="3023" w:wrap="around" w:vAnchor="margin" w:hAnchor="text" w:x="7482" w:y="6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10</w:t>
      </w:r>
      <w:r>
        <w:rPr>
          <w:rFonts w:ascii="SKJVQB+å®ä½" w:hAnsi="SKJVQB+å®ä½" w:cs="SKJVQB+å®ä½"/>
          <w:color w:val="000000"/>
          <w:spacing w:val="0"/>
          <w:sz w:val="21"/>
        </w:rPr>
        <w:t>层</w:t>
      </w:r>
    </w:p>
    <w:p>
      <w:pPr>
        <w:framePr w:w="1578"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联系人：黄静</w:t>
      </w:r>
    </w:p>
    <w:p>
      <w:pPr>
        <w:framePr w:w="3020"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010-84183333</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010-84183311-3389</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400-818-8118</w:t>
      </w:r>
    </w:p>
    <w:p>
      <w:pPr>
        <w:framePr w:w="3020"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www.guodu.com</w:t>
      </w:r>
    </w:p>
    <w:p>
      <w:pPr>
        <w:framePr w:w="3020" w:wrap="around" w:vAnchor="margin" w:hAnchor="text" w:x="7482" w:y="773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注册地址：苏州工业园区星阳</w:t>
      </w:r>
    </w:p>
    <w:p>
      <w:pPr>
        <w:framePr w:w="3020"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5</w:t>
      </w:r>
      <w:r>
        <w:rPr>
          <w:rFonts w:ascii="SKJVQB+å®ä½" w:hAnsi="SKJVQB+å®ä½" w:cs="SKJVQB+å®ä½"/>
          <w:color w:val="000000"/>
          <w:spacing w:val="0"/>
          <w:sz w:val="21"/>
        </w:rPr>
        <w:t>号</w:t>
      </w:r>
    </w:p>
    <w:p>
      <w:pPr>
        <w:framePr w:w="526" w:wrap="around" w:vAnchor="margin" w:hAnchor="text" w:x="4213" w:y="89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28</w:t>
      </w:r>
    </w:p>
    <w:p>
      <w:pPr>
        <w:framePr w:w="2418" w:wrap="around" w:vAnchor="margin" w:hAnchor="text" w:x="4640"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东吴证券股份有限公司</w:t>
      </w:r>
    </w:p>
    <w:p>
      <w:pPr>
        <w:framePr w:w="3020"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办公地址：苏州工业园区星阳</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5</w:t>
      </w:r>
      <w:r>
        <w:rPr>
          <w:rFonts w:ascii="SKJVQB+å®ä½" w:hAnsi="SKJVQB+å®ä½" w:cs="SKJVQB+å®ä½"/>
          <w:color w:val="000000"/>
          <w:spacing w:val="0"/>
          <w:sz w:val="21"/>
        </w:rPr>
        <w:t>号</w:t>
      </w:r>
    </w:p>
    <w:p>
      <w:pPr>
        <w:framePr w:w="1998" w:wrap="around" w:vAnchor="margin" w:hAnchor="text" w:x="7482"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法定代表人：范力</w:t>
      </w:r>
    </w:p>
    <w:p>
      <w:pPr>
        <w:framePr w:w="1578"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联系人：陆晓</w:t>
      </w:r>
    </w:p>
    <w:p>
      <w:pPr>
        <w:framePr w:w="2284" w:wrap="around" w:vAnchor="margin" w:hAnchor="text" w:x="7482" w:y="108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0512-62938521</w:t>
      </w:r>
    </w:p>
    <w:p>
      <w:pPr>
        <w:framePr w:w="2284"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0512-65588021</w:t>
      </w:r>
    </w:p>
    <w:p>
      <w:pPr>
        <w:framePr w:w="2284" w:wrap="around" w:vAnchor="margin" w:hAnchor="text" w:x="7482" w:y="1087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95330</w:t>
      </w:r>
    </w:p>
    <w:p>
      <w:pPr>
        <w:framePr w:w="3020" w:wrap="around" w:vAnchor="margin" w:hAnchor="text" w:x="7482" w:y="1180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www.dwzq.com.cn</w:t>
      </w:r>
    </w:p>
    <w:p>
      <w:pPr>
        <w:framePr w:w="3020" w:wrap="around" w:vAnchor="margin" w:hAnchor="text" w:x="7482" w:y="1180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framePr w:w="302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5</w:t>
      </w:r>
      <w:r>
        <w:rPr>
          <w:rFonts w:ascii="SKJVQB+å®ä½" w:hAnsi="SKJVQB+å®ä½" w:cs="SKJVQB+å®ä½"/>
          <w:color w:val="000000"/>
          <w:spacing w:val="0"/>
          <w:sz w:val="21"/>
        </w:rPr>
        <w:t>号广州国际金融中心</w:t>
      </w:r>
    </w:p>
    <w:p>
      <w:pPr>
        <w:framePr w:w="3020"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主塔 </w:t>
      </w:r>
      <w:r>
        <w:rPr>
          <w:rFonts w:ascii="Times New Roman"/>
          <w:color w:val="000000"/>
          <w:spacing w:val="0"/>
          <w:sz w:val="21"/>
        </w:rPr>
        <w:t>19</w:t>
      </w:r>
      <w:r>
        <w:rPr>
          <w:rFonts w:ascii="SKJVQB+å®ä½" w:hAnsi="SKJVQB+å®ä½" w:cs="SKJVQB+å®ä½"/>
          <w:color w:val="000000"/>
          <w:spacing w:val="0"/>
          <w:sz w:val="21"/>
        </w:rPr>
        <w:t>楼、</w:t>
      </w:r>
      <w:r>
        <w:rPr>
          <w:rFonts w:ascii="Times New Roman"/>
          <w:color w:val="000000"/>
          <w:spacing w:val="0"/>
          <w:sz w:val="21"/>
        </w:rPr>
        <w:t>20</w:t>
      </w:r>
      <w:r>
        <w:rPr>
          <w:rFonts w:ascii="SKJVQB+å®ä½" w:hAnsi="SKJVQB+å®ä½" w:cs="SKJVQB+å®ä½"/>
          <w:color w:val="000000"/>
          <w:spacing w:val="0"/>
          <w:sz w:val="21"/>
        </w:rPr>
        <w:t>楼</w:t>
      </w:r>
    </w:p>
    <w:p>
      <w:pPr>
        <w:framePr w:w="526" w:wrap="around" w:vAnchor="margin" w:hAnchor="text" w:x="4213" w:y="1212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29</w:t>
      </w:r>
    </w:p>
    <w:p>
      <w:pPr>
        <w:framePr w:w="2901" w:wrap="around" w:vAnchor="margin" w:hAnchor="text" w:x="4640"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中信证券华南股份有限公司</w:t>
      </w:r>
    </w:p>
    <w:p>
      <w:pPr>
        <w:framePr w:w="3020" w:wrap="around" w:vAnchor="margin" w:hAnchor="text" w:x="7482" w:y="130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framePr w:w="3020"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5</w:t>
      </w:r>
      <w:r>
        <w:rPr>
          <w:rFonts w:ascii="SKJVQB+å®ä½" w:hAnsi="SKJVQB+å®ä½" w:cs="SKJVQB+å®ä½"/>
          <w:color w:val="000000"/>
          <w:spacing w:val="0"/>
          <w:sz w:val="21"/>
        </w:rPr>
        <w:t>号广州国际金融中心</w:t>
      </w:r>
    </w:p>
    <w:p>
      <w:pPr>
        <w:framePr w:w="3020"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主塔 </w:t>
      </w:r>
      <w:r>
        <w:rPr>
          <w:rFonts w:ascii="Times New Roman"/>
          <w:color w:val="000000"/>
          <w:spacing w:val="0"/>
          <w:sz w:val="21"/>
        </w:rPr>
        <w:t>19</w:t>
      </w:r>
      <w:r>
        <w:rPr>
          <w:rFonts w:ascii="SKJVQB+å®ä½" w:hAnsi="SKJVQB+å®ä½" w:cs="SKJVQB+å®ä½"/>
          <w:color w:val="000000"/>
          <w:spacing w:val="0"/>
          <w:sz w:val="21"/>
        </w:rPr>
        <w:t>楼、</w:t>
      </w:r>
      <w:r>
        <w:rPr>
          <w:rFonts w:ascii="Times New Roman"/>
          <w:color w:val="000000"/>
          <w:spacing w:val="0"/>
          <w:sz w:val="21"/>
        </w:rPr>
        <w:t>20</w:t>
      </w:r>
      <w:r>
        <w:rPr>
          <w:rFonts w:ascii="SKJVQB+å®ä½" w:hAnsi="SKJVQB+å®ä½" w:cs="SKJVQB+å®ä½"/>
          <w:color w:val="000000"/>
          <w:spacing w:val="0"/>
          <w:sz w:val="21"/>
        </w:rPr>
        <w:t>楼</w:t>
      </w:r>
    </w:p>
    <w:p>
      <w:pPr>
        <w:framePr w:w="2209"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法定代表人：胡伏云</w:t>
      </w:r>
    </w:p>
    <w:p>
      <w:pPr>
        <w:framePr w:w="2209"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联系人：梁微</w:t>
      </w:r>
    </w:p>
    <w:p>
      <w:pPr>
        <w:framePr w:w="2626"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020-88836999</w:t>
      </w:r>
    </w:p>
    <w:p>
      <w:pPr>
        <w:framePr w:w="2626"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 95396</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86</w:t>
      </w:r>
    </w:p>
    <w:p>
      <w:pPr>
        <w:spacing w:before="0" w:after="0" w:line="0" w:lineRule="exact"/>
        <w:ind w:left="0" w:right="0"/>
        <w:jc w:val="left"/>
        <w:rPr>
          <w:rFonts w:ascii="Arial"/>
          <w:color w:val="FF0000"/>
          <w:spacing w:val="0"/>
          <w:sz w:val="2"/>
        </w:rPr>
      </w:pPr>
      <w:r>
        <w:pict>
          <v:shape id="_x0000179" o:spid="_x0000_s120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60" o:title=""/>
            <o:lock v:ext="edit" aspectratio="t"/>
          </v:shape>
        </w:pict>
      </w:r>
      <w:r>
        <w:pict>
          <v:shape id="_x0000180" o:spid="_x0000_s1206"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6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385"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www.gzs.com.cn</w:t>
      </w:r>
    </w:p>
    <w:p>
      <w:pPr>
        <w:framePr w:w="526" w:wrap="around" w:vAnchor="margin" w:hAnchor="text" w:x="4213"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30</w:t>
      </w:r>
    </w:p>
    <w:p>
      <w:pPr>
        <w:framePr w:w="2418"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南京证券股份有限公司</w:t>
      </w:r>
    </w:p>
    <w:p>
      <w:pPr>
        <w:framePr w:w="2901"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注册地址：南京市江东中路</w:t>
      </w:r>
    </w:p>
    <w:p>
      <w:pPr>
        <w:framePr w:w="2901"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389</w:t>
      </w:r>
      <w:r>
        <w:rPr>
          <w:rFonts w:ascii="SKJVQB+å®ä½" w:hAnsi="SKJVQB+å®ä½" w:cs="SKJVQB+å®ä½"/>
          <w:color w:val="000000"/>
          <w:spacing w:val="0"/>
          <w:sz w:val="21"/>
        </w:rPr>
        <w:t>号</w:t>
      </w:r>
    </w:p>
    <w:p>
      <w:pPr>
        <w:framePr w:w="2901"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办公地址：南京市江东中路</w:t>
      </w:r>
    </w:p>
    <w:p>
      <w:pPr>
        <w:framePr w:w="2901"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389</w:t>
      </w:r>
      <w:r>
        <w:rPr>
          <w:rFonts w:ascii="SKJVQB+å®ä½" w:hAnsi="SKJVQB+å®ä½" w:cs="SKJVQB+å®ä½"/>
          <w:color w:val="000000"/>
          <w:spacing w:val="0"/>
          <w:sz w:val="21"/>
        </w:rPr>
        <w:t>号</w:t>
      </w:r>
    </w:p>
    <w:p>
      <w:pPr>
        <w:framePr w:w="2209"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法定代表人：歩国旬</w:t>
      </w:r>
    </w:p>
    <w:p>
      <w:pPr>
        <w:framePr w:w="2209"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联系人：王万君</w:t>
      </w:r>
    </w:p>
    <w:p>
      <w:pPr>
        <w:framePr w:w="2626" w:wrap="around" w:vAnchor="margin" w:hAnchor="text" w:x="7482" w:y="367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025-58519523</w:t>
      </w:r>
    </w:p>
    <w:p>
      <w:pPr>
        <w:framePr w:w="2626"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95386</w:t>
      </w:r>
    </w:p>
    <w:p>
      <w:pPr>
        <w:framePr w:w="3020"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www.njzq.com.cn</w:t>
      </w:r>
    </w:p>
    <w:p>
      <w:pPr>
        <w:framePr w:w="3020" w:wrap="around" w:vAnchor="margin" w:hAnchor="text" w:x="7482" w:y="429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注册地址：安徽省合肥市政务</w:t>
      </w:r>
    </w:p>
    <w:p>
      <w:pPr>
        <w:framePr w:w="3020"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文化新区天鹅湖路 </w:t>
      </w:r>
      <w:r>
        <w:rPr>
          <w:rFonts w:ascii="Times New Roman"/>
          <w:color w:val="000000"/>
          <w:spacing w:val="0"/>
          <w:sz w:val="21"/>
        </w:rPr>
        <w:t>198</w:t>
      </w:r>
      <w:r>
        <w:rPr>
          <w:rFonts w:ascii="SKJVQB+å®ä½" w:hAnsi="SKJVQB+å®ä½" w:cs="SKJVQB+å®ä½"/>
          <w:color w:val="000000"/>
          <w:spacing w:val="0"/>
          <w:sz w:val="21"/>
        </w:rPr>
        <w:t>号</w:t>
      </w:r>
    </w:p>
    <w:p>
      <w:pPr>
        <w:framePr w:w="3020"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办公地址：安徽省合肥市政务</w:t>
      </w:r>
    </w:p>
    <w:p>
      <w:pPr>
        <w:framePr w:w="3020"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文化新区天鹅湖路 </w:t>
      </w:r>
      <w:r>
        <w:rPr>
          <w:rFonts w:ascii="Times New Roman"/>
          <w:color w:val="000000"/>
          <w:spacing w:val="0"/>
          <w:sz w:val="21"/>
        </w:rPr>
        <w:t>198</w:t>
      </w:r>
      <w:r>
        <w:rPr>
          <w:rFonts w:ascii="SKJVQB+å®ä½" w:hAnsi="SKJVQB+å®ä½" w:cs="SKJVQB+å®ä½"/>
          <w:color w:val="000000"/>
          <w:spacing w:val="0"/>
          <w:sz w:val="21"/>
        </w:rPr>
        <w:t>号财</w:t>
      </w:r>
    </w:p>
    <w:p>
      <w:pPr>
        <w:framePr w:w="3020"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智中心 </w:t>
      </w:r>
      <w:r>
        <w:rPr>
          <w:rFonts w:ascii="Times New Roman"/>
          <w:color w:val="000000"/>
          <w:spacing w:val="0"/>
          <w:sz w:val="21"/>
        </w:rPr>
        <w:t>B1</w:t>
      </w:r>
      <w:r>
        <w:rPr>
          <w:rFonts w:ascii="SKJVQB+å®ä½" w:hAnsi="SKJVQB+å®ä½" w:cs="SKJVQB+å®ä½"/>
          <w:color w:val="000000"/>
          <w:spacing w:val="0"/>
          <w:sz w:val="21"/>
        </w:rPr>
        <w:t>座</w:t>
      </w:r>
    </w:p>
    <w:p>
      <w:pPr>
        <w:framePr w:w="526" w:wrap="around" w:vAnchor="margin" w:hAnchor="text" w:x="4213" w:y="461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31</w:t>
      </w:r>
    </w:p>
    <w:p>
      <w:pPr>
        <w:framePr w:w="2418" w:wrap="around" w:vAnchor="margin" w:hAnchor="text" w:x="4640" w:y="462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华安证券股份有限公司</w:t>
      </w:r>
    </w:p>
    <w:p>
      <w:pPr>
        <w:framePr w:w="2209" w:wrap="around" w:vAnchor="margin" w:hAnchor="text" w:x="7482"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法定代表人：章宏韬</w:t>
      </w:r>
    </w:p>
    <w:p>
      <w:pPr>
        <w:framePr w:w="2209"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联系人：范超</w:t>
      </w:r>
    </w:p>
    <w:p>
      <w:pPr>
        <w:framePr w:w="2747" w:wrap="around" w:vAnchor="margin" w:hAnchor="text" w:x="7482" w:y="680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0551-65161821</w:t>
      </w:r>
    </w:p>
    <w:p>
      <w:pPr>
        <w:framePr w:w="2747" w:wrap="around" w:vAnchor="margin" w:hAnchor="text" w:x="7482" w:y="680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95318</w:t>
      </w:r>
    </w:p>
    <w:p>
      <w:pPr>
        <w:framePr w:w="3020" w:wrap="around" w:vAnchor="margin" w:hAnchor="text" w:x="7482" w:y="74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www.hazq.com</w:t>
      </w:r>
    </w:p>
    <w:p>
      <w:pPr>
        <w:framePr w:w="3020" w:wrap="around" w:vAnchor="margin" w:hAnchor="text" w:x="7482" w:y="742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贸易试验区世纪大道 </w:t>
      </w:r>
      <w:r>
        <w:rPr>
          <w:rFonts w:ascii="Times New Roman"/>
          <w:color w:val="000000"/>
          <w:spacing w:val="0"/>
          <w:sz w:val="21"/>
        </w:rPr>
        <w:t>100</w:t>
      </w:r>
      <w:r>
        <w:rPr>
          <w:rFonts w:ascii="SKJVQB+å®ä½" w:hAnsi="SKJVQB+å®ä½" w:cs="SKJVQB+å®ä½"/>
          <w:color w:val="000000"/>
          <w:spacing w:val="0"/>
          <w:sz w:val="21"/>
        </w:rPr>
        <w:t>号</w:t>
      </w:r>
    </w:p>
    <w:p>
      <w:pPr>
        <w:framePr w:w="3020" w:wrap="around" w:vAnchor="margin" w:hAnchor="text" w:x="7482" w:y="74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57</w:t>
      </w:r>
      <w:r>
        <w:rPr>
          <w:rFonts w:ascii="SKJVQB+å®ä½" w:hAnsi="SKJVQB+å®ä½" w:cs="SKJVQB+å®ä½"/>
          <w:color w:val="000000"/>
          <w:spacing w:val="0"/>
          <w:sz w:val="21"/>
        </w:rPr>
        <w:t>层</w:t>
      </w:r>
    </w:p>
    <w:p>
      <w:pPr>
        <w:framePr w:w="526" w:wrap="around" w:vAnchor="margin" w:hAnchor="text" w:x="4213" w:y="774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32</w:t>
      </w:r>
    </w:p>
    <w:p>
      <w:pPr>
        <w:framePr w:w="2418" w:wrap="around" w:vAnchor="margin" w:hAnchor="text" w:x="4640" w:y="77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华宝证券有限责任公司</w:t>
      </w:r>
    </w:p>
    <w:p>
      <w:pPr>
        <w:framePr w:w="3020" w:wrap="around" w:vAnchor="margin" w:hAnchor="text" w:x="7482" w:y="86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办公地址：中国（上海）自由</w:t>
      </w:r>
    </w:p>
    <w:p>
      <w:pPr>
        <w:framePr w:w="3020" w:wrap="around" w:vAnchor="margin" w:hAnchor="text" w:x="7482" w:y="86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贸易试验区世纪大道 </w:t>
      </w:r>
      <w:r>
        <w:rPr>
          <w:rFonts w:ascii="Times New Roman"/>
          <w:color w:val="000000"/>
          <w:spacing w:val="0"/>
          <w:sz w:val="21"/>
        </w:rPr>
        <w:t>100</w:t>
      </w:r>
      <w:r>
        <w:rPr>
          <w:rFonts w:ascii="SKJVQB+å®ä½" w:hAnsi="SKJVQB+å®ä½" w:cs="SKJVQB+å®ä½"/>
          <w:color w:val="000000"/>
          <w:spacing w:val="0"/>
          <w:sz w:val="21"/>
        </w:rPr>
        <w:t>号</w:t>
      </w:r>
    </w:p>
    <w:p>
      <w:pPr>
        <w:framePr w:w="3020" w:wrap="around" w:vAnchor="margin" w:hAnchor="text" w:x="7482" w:y="86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57</w:t>
      </w:r>
      <w:r>
        <w:rPr>
          <w:rFonts w:ascii="SKJVQB+å®ä½" w:hAnsi="SKJVQB+å®ä½" w:cs="SKJVQB+å®ä½"/>
          <w:color w:val="000000"/>
          <w:spacing w:val="0"/>
          <w:sz w:val="21"/>
        </w:rPr>
        <w:t>层</w:t>
      </w:r>
    </w:p>
    <w:p>
      <w:pPr>
        <w:framePr w:w="1998"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法定代表人：陈林</w:t>
      </w:r>
    </w:p>
    <w:p>
      <w:pPr>
        <w:framePr w:w="1789"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联系人：刘闻川</w:t>
      </w:r>
    </w:p>
    <w:p>
      <w:pPr>
        <w:framePr w:w="3021" w:wrap="around" w:vAnchor="margin" w:hAnchor="text" w:x="7482" w:y="1024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021-20657517</w:t>
      </w:r>
    </w:p>
    <w:p>
      <w:pPr>
        <w:framePr w:w="3021" w:wrap="around" w:vAnchor="margin" w:hAnchor="text" w:x="7482" w:y="10247"/>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021-68408217-7517</w:t>
      </w:r>
    </w:p>
    <w:p>
      <w:pPr>
        <w:framePr w:w="3021" w:wrap="around" w:vAnchor="margin" w:hAnchor="text" w:x="7482" w:y="102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4008209898</w:t>
      </w:r>
    </w:p>
    <w:p>
      <w:pPr>
        <w:framePr w:w="3021" w:wrap="around" w:vAnchor="margin" w:hAnchor="text" w:x="7482" w:y="102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www.cnhbstock.com</w:t>
      </w:r>
    </w:p>
    <w:p>
      <w:pPr>
        <w:framePr w:w="3021" w:wrap="around" w:vAnchor="margin" w:hAnchor="text" w:x="7482" w:y="1024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注册地址：山西省太原市府西</w:t>
      </w:r>
    </w:p>
    <w:p>
      <w:pPr>
        <w:framePr w:w="3021" w:wrap="around" w:vAnchor="margin" w:hAnchor="text" w:x="7482" w:y="102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69</w:t>
      </w:r>
      <w:r>
        <w:rPr>
          <w:rFonts w:ascii="SKJVQB+å®ä½" w:hAnsi="SKJVQB+å®ä½" w:cs="SKJVQB+å®ä½"/>
          <w:color w:val="000000"/>
          <w:spacing w:val="0"/>
          <w:sz w:val="21"/>
        </w:rPr>
        <w:t>号山西国际贸易中心东</w:t>
      </w:r>
    </w:p>
    <w:p>
      <w:pPr>
        <w:framePr w:w="3021" w:wrap="around" w:vAnchor="margin" w:hAnchor="text" w:x="7482" w:y="102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塔楼</w:t>
      </w:r>
    </w:p>
    <w:p>
      <w:pPr>
        <w:framePr w:w="526" w:wrap="around" w:vAnchor="margin" w:hAnchor="text" w:x="4213" w:y="1150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33</w:t>
      </w:r>
    </w:p>
    <w:p>
      <w:pPr>
        <w:framePr w:w="2418" w:wrap="around" w:vAnchor="margin" w:hAnchor="text" w:x="4640" w:y="1151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山西证券股份有限公司</w:t>
      </w:r>
    </w:p>
    <w:p>
      <w:pPr>
        <w:framePr w:w="3021" w:wrap="around" w:vAnchor="margin" w:hAnchor="text" w:x="7482"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办公地址：山西省太原市府西</w:t>
      </w:r>
    </w:p>
    <w:p>
      <w:pPr>
        <w:framePr w:w="3021" w:wrap="around" w:vAnchor="margin" w:hAnchor="text" w:x="7482" w:y="124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69</w:t>
      </w:r>
      <w:r>
        <w:rPr>
          <w:rFonts w:ascii="SKJVQB+å®ä½" w:hAnsi="SKJVQB+å®ä½" w:cs="SKJVQB+å®ä½"/>
          <w:color w:val="000000"/>
          <w:spacing w:val="0"/>
          <w:sz w:val="21"/>
        </w:rPr>
        <w:t>号山西国际贸易中心东</w:t>
      </w:r>
    </w:p>
    <w:p>
      <w:pPr>
        <w:framePr w:w="3021" w:wrap="around" w:vAnchor="margin" w:hAnchor="text" w:x="7482" w:y="1244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塔楼</w:t>
      </w:r>
    </w:p>
    <w:p>
      <w:pPr>
        <w:framePr w:w="1998" w:wrap="around" w:vAnchor="margin" w:hAnchor="text" w:x="7482"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法定代表人：侯巍</w:t>
      </w:r>
    </w:p>
    <w:p>
      <w:pPr>
        <w:framePr w:w="1578"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联系人：郭熠</w:t>
      </w:r>
    </w:p>
    <w:p>
      <w:pPr>
        <w:framePr w:w="2831" w:wrap="around" w:vAnchor="margin" w:hAnchor="text" w:x="7482" w:y="1400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0351</w:t>
      </w:r>
      <w:r>
        <w:rPr>
          <w:rFonts w:ascii="SKJVQB+å®ä½" w:hAnsi="SKJVQB+å®ä½" w:cs="SKJVQB+å®ä½"/>
          <w:color w:val="000000"/>
          <w:spacing w:val="0"/>
          <w:sz w:val="21"/>
        </w:rPr>
        <w:t>－</w:t>
      </w:r>
      <w:r>
        <w:rPr>
          <w:rFonts w:ascii="Times New Roman"/>
          <w:color w:val="000000"/>
          <w:spacing w:val="0"/>
          <w:sz w:val="21"/>
        </w:rPr>
        <w:t>8686659</w:t>
      </w:r>
    </w:p>
    <w:p>
      <w:pPr>
        <w:framePr w:w="2831" w:wrap="around" w:vAnchor="margin" w:hAnchor="text" w:x="7482" w:y="1400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400-666-1618</w:t>
      </w:r>
      <w:r>
        <w:rPr>
          <w:rFonts w:ascii="SKJVQB+å®ä½" w:hAnsi="SKJVQB+å®ä½" w:cs="SKJVQB+å®ä½"/>
          <w:color w:val="000000"/>
          <w:spacing w:val="0"/>
          <w:sz w:val="21"/>
        </w:rPr>
        <w:t>，</w:t>
      </w:r>
    </w:p>
    <w:p>
      <w:pPr>
        <w:framePr w:w="2831" w:wrap="around" w:vAnchor="margin" w:hAnchor="text" w:x="7482" w:y="14001"/>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95573</w:t>
      </w:r>
    </w:p>
    <w:p>
      <w:pPr>
        <w:framePr w:w="2488" w:wrap="around" w:vAnchor="margin" w:hAnchor="text" w:x="7482" w:y="1493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www.i618.com.cn</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87</w:t>
      </w:r>
    </w:p>
    <w:p>
      <w:pPr>
        <w:spacing w:before="0" w:after="0" w:line="0" w:lineRule="exact"/>
        <w:ind w:left="0" w:right="0"/>
        <w:jc w:val="left"/>
        <w:rPr>
          <w:rFonts w:ascii="Arial"/>
          <w:color w:val="FF0000"/>
          <w:spacing w:val="0"/>
          <w:sz w:val="2"/>
        </w:rPr>
      </w:pPr>
      <w:r>
        <w:pict>
          <v:shape id="_x0000181" o:spid="_x0000_s120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62" o:title=""/>
            <o:lock v:ext="edit" aspectratio="t"/>
          </v:shape>
        </w:pict>
      </w:r>
      <w:r>
        <w:pict>
          <v:shape id="_x0000182" o:spid="_x0000_s120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6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26" w:wrap="around" w:vAnchor="margin" w:hAnchor="text" w:x="4213"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34</w:t>
      </w:r>
    </w:p>
    <w:p>
      <w:pPr>
        <w:framePr w:w="2901" w:wrap="around" w:vAnchor="margin" w:hAnchor="text" w:x="4640"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第一创业证券股份有限公司</w:t>
      </w:r>
    </w:p>
    <w:p>
      <w:pPr>
        <w:framePr w:w="2969"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深圳市福田区福华</w:t>
      </w:r>
    </w:p>
    <w:p>
      <w:pPr>
        <w:framePr w:w="2969"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115</w:t>
      </w:r>
      <w:r>
        <w:rPr>
          <w:rFonts w:ascii="SKJVQB+å®ä½" w:hAnsi="SKJVQB+å®ä½" w:cs="SKJVQB+å®ä½"/>
          <w:color w:val="000000"/>
          <w:spacing w:val="0"/>
          <w:sz w:val="21"/>
        </w:rPr>
        <w:t xml:space="preserve">号投行大厦  </w:t>
      </w:r>
      <w:r>
        <w:rPr>
          <w:rFonts w:ascii="Times New Roman"/>
          <w:color w:val="000000"/>
          <w:spacing w:val="0"/>
          <w:sz w:val="21"/>
        </w:rPr>
        <w:t>20</w:t>
      </w:r>
      <w:r>
        <w:rPr>
          <w:rFonts w:ascii="SKJVQB+å®ä½" w:hAnsi="SKJVQB+å®ä½" w:cs="SKJVQB+å®ä½"/>
          <w:color w:val="000000"/>
          <w:spacing w:val="0"/>
          <w:sz w:val="21"/>
        </w:rPr>
        <w:t>楼</w:t>
      </w:r>
    </w:p>
    <w:p>
      <w:pPr>
        <w:framePr w:w="2969"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深圳市福田区福华</w:t>
      </w:r>
    </w:p>
    <w:p>
      <w:pPr>
        <w:framePr w:w="2969"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一路 </w:t>
      </w:r>
      <w:r>
        <w:rPr>
          <w:rFonts w:ascii="Times New Roman"/>
          <w:color w:val="000000"/>
          <w:spacing w:val="0"/>
          <w:sz w:val="21"/>
        </w:rPr>
        <w:t>115</w:t>
      </w:r>
      <w:r>
        <w:rPr>
          <w:rFonts w:ascii="SKJVQB+å®ä½" w:hAnsi="SKJVQB+å®ä½" w:cs="SKJVQB+å®ä½"/>
          <w:color w:val="000000"/>
          <w:spacing w:val="0"/>
          <w:sz w:val="21"/>
        </w:rPr>
        <w:t xml:space="preserve">号投行大厦  </w:t>
      </w:r>
      <w:r>
        <w:rPr>
          <w:rFonts w:ascii="Times New Roman"/>
          <w:color w:val="000000"/>
          <w:spacing w:val="0"/>
          <w:sz w:val="21"/>
        </w:rPr>
        <w:t>18</w:t>
      </w:r>
      <w:r>
        <w:rPr>
          <w:rFonts w:ascii="SKJVQB+å®ä½" w:hAnsi="SKJVQB+å®ä½" w:cs="SKJVQB+å®ä½"/>
          <w:color w:val="000000"/>
          <w:spacing w:val="0"/>
          <w:sz w:val="21"/>
        </w:rPr>
        <w:t>楼</w:t>
      </w:r>
    </w:p>
    <w:p>
      <w:pPr>
        <w:framePr w:w="2969"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w:t>
      </w:r>
      <w:r>
        <w:rPr>
          <w:rFonts w:ascii="Times New Roman"/>
          <w:color w:val="000000"/>
          <w:spacing w:val="0"/>
          <w:sz w:val="21"/>
        </w:rPr>
        <w:t>:</w:t>
      </w:r>
      <w:r>
        <w:rPr>
          <w:rFonts w:ascii="SKJVQB+å®ä½" w:hAnsi="SKJVQB+å®ä½" w:cs="SKJVQB+å®ä½"/>
          <w:color w:val="000000"/>
          <w:spacing w:val="0"/>
          <w:sz w:val="21"/>
        </w:rPr>
        <w:t>刘学民</w:t>
      </w:r>
    </w:p>
    <w:p>
      <w:pPr>
        <w:framePr w:w="1430" w:wrap="around" w:vAnchor="margin" w:hAnchor="text" w:x="7482" w:y="303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吴军</w:t>
      </w:r>
    </w:p>
    <w:p>
      <w:pPr>
        <w:framePr w:w="2571"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:0755-23838751</w:t>
      </w:r>
    </w:p>
    <w:p>
      <w:pPr>
        <w:framePr w:w="2571"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95358</w:t>
      </w:r>
    </w:p>
    <w:p>
      <w:pPr>
        <w:framePr w:w="3020" w:wrap="around" w:vAnchor="margin" w:hAnchor="text" w:x="7482" w:y="39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:www.firstcapital.com.cn</w:t>
      </w:r>
    </w:p>
    <w:p>
      <w:pPr>
        <w:framePr w:w="3020" w:wrap="around" w:vAnchor="margin" w:hAnchor="text" w:x="7482" w:y="3975"/>
        <w:widowControl w:val="0"/>
        <w:autoSpaceDE w:val="0"/>
        <w:autoSpaceDN w:val="0"/>
        <w:spacing w:before="0" w:after="0" w:line="322"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注册地址：福州市五四路 </w:t>
      </w:r>
      <w:r>
        <w:rPr>
          <w:rFonts w:ascii="Times New Roman"/>
          <w:color w:val="000000"/>
          <w:spacing w:val="0"/>
          <w:sz w:val="21"/>
        </w:rPr>
        <w:t xml:space="preserve"> 157</w:t>
      </w:r>
    </w:p>
    <w:p>
      <w:pPr>
        <w:framePr w:w="3020" w:wrap="around" w:vAnchor="margin" w:hAnchor="text" w:x="7482" w:y="3975"/>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号新天地大厦 </w:t>
      </w:r>
      <w:r>
        <w:rPr>
          <w:rFonts w:ascii="Times New Roman"/>
          <w:color w:val="000000"/>
          <w:spacing w:val="0"/>
          <w:sz w:val="21"/>
        </w:rPr>
        <w:t>7</w:t>
      </w:r>
      <w:r>
        <w:rPr>
          <w:rFonts w:ascii="SKJVQB+å®ä½" w:hAnsi="SKJVQB+å®ä½" w:cs="SKJVQB+å®ä½"/>
          <w:color w:val="000000"/>
          <w:spacing w:val="0"/>
          <w:sz w:val="21"/>
        </w:rPr>
        <w:t>、</w:t>
      </w:r>
      <w:r>
        <w:rPr>
          <w:rFonts w:ascii="Times New Roman"/>
          <w:color w:val="000000"/>
          <w:spacing w:val="0"/>
          <w:sz w:val="21"/>
        </w:rPr>
        <w:t>8</w:t>
      </w:r>
      <w:r>
        <w:rPr>
          <w:rFonts w:ascii="SKJVQB+å®ä½" w:hAnsi="SKJVQB+å®ä½" w:cs="SKJVQB+å®ä½"/>
          <w:color w:val="000000"/>
          <w:spacing w:val="0"/>
          <w:sz w:val="21"/>
        </w:rPr>
        <w:t>层</w:t>
      </w:r>
    </w:p>
    <w:p>
      <w:pPr>
        <w:framePr w:w="3020" w:wrap="around" w:vAnchor="margin" w:hAnchor="text" w:x="7482" w:y="39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办公地址：上海市浦东新区陆</w:t>
      </w:r>
    </w:p>
    <w:p>
      <w:pPr>
        <w:framePr w:w="3020" w:wrap="around" w:vAnchor="margin" w:hAnchor="text" w:x="7482" w:y="39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1088</w:t>
      </w:r>
      <w:r>
        <w:rPr>
          <w:rFonts w:ascii="SKJVQB+å®ä½" w:hAnsi="SKJVQB+å®ä½" w:cs="SKJVQB+å®ä½"/>
          <w:color w:val="000000"/>
          <w:spacing w:val="0"/>
          <w:sz w:val="21"/>
        </w:rPr>
        <w:t>号招商银行大</w:t>
      </w:r>
    </w:p>
    <w:p>
      <w:pPr>
        <w:framePr w:w="3020" w:wrap="around" w:vAnchor="margin" w:hAnchor="text" w:x="7482" w:y="39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18</w:t>
      </w:r>
      <w:r>
        <w:rPr>
          <w:rFonts w:ascii="SKJVQB+å®ä½" w:hAnsi="SKJVQB+å®ä½" w:cs="SKJVQB+å®ä½"/>
          <w:color w:val="000000"/>
          <w:spacing w:val="0"/>
          <w:sz w:val="21"/>
        </w:rPr>
        <w:t>楼</w:t>
      </w:r>
    </w:p>
    <w:p>
      <w:pPr>
        <w:framePr w:w="526" w:wrap="around" w:vAnchor="margin" w:hAnchor="text" w:x="4213"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35</w:t>
      </w:r>
    </w:p>
    <w:p>
      <w:pPr>
        <w:framePr w:w="2418"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华福证券有限责任公司</w:t>
      </w:r>
    </w:p>
    <w:p>
      <w:pPr>
        <w:framePr w:w="2209" w:wrap="around" w:vAnchor="margin" w:hAnchor="text" w:x="7482" w:y="58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法定代表人：黄金琳</w:t>
      </w:r>
    </w:p>
    <w:p>
      <w:pPr>
        <w:framePr w:w="2209" w:wrap="around" w:vAnchor="margin" w:hAnchor="text" w:x="7482" w:y="58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联系人：王虹</w:t>
      </w:r>
    </w:p>
    <w:p>
      <w:pPr>
        <w:framePr w:w="3023"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021-20655183</w:t>
      </w:r>
    </w:p>
    <w:p>
      <w:pPr>
        <w:framePr w:w="3023"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021-20655196</w:t>
      </w:r>
    </w:p>
    <w:p>
      <w:pPr>
        <w:framePr w:w="3023"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96326</w:t>
      </w:r>
      <w:r>
        <w:rPr>
          <w:rFonts w:ascii="SKJVQB+å®ä½" w:hAnsi="SKJVQB+å®ä½" w:cs="SKJVQB+å®ä½"/>
          <w:color w:val="000000"/>
          <w:spacing w:val="0"/>
          <w:sz w:val="21"/>
        </w:rPr>
        <w:t>（福建省外</w:t>
      </w:r>
    </w:p>
    <w:p>
      <w:pPr>
        <w:framePr w:w="3023"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请先拨 </w:t>
      </w:r>
      <w:r>
        <w:rPr>
          <w:rFonts w:ascii="Times New Roman"/>
          <w:color w:val="000000"/>
          <w:spacing w:val="0"/>
          <w:sz w:val="21"/>
        </w:rPr>
        <w:t>0591</w:t>
      </w:r>
      <w:r>
        <w:rPr>
          <w:rFonts w:ascii="SKJVQB+å®ä½" w:hAnsi="SKJVQB+å®ä½" w:cs="SKJVQB+å®ä½"/>
          <w:color w:val="000000"/>
          <w:spacing w:val="0"/>
          <w:sz w:val="21"/>
        </w:rPr>
        <w:t>）</w:t>
      </w:r>
    </w:p>
    <w:p>
      <w:pPr>
        <w:framePr w:w="3081" w:wrap="around" w:vAnchor="margin" w:hAnchor="text" w:x="7482" w:y="772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www.hfzq.com.cn</w:t>
      </w:r>
    </w:p>
    <w:p>
      <w:pPr>
        <w:framePr w:w="3081" w:wrap="around" w:vAnchor="margin" w:hAnchor="text" w:x="7482" w:y="772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注册地址：深圳市南山区创业</w:t>
      </w:r>
    </w:p>
    <w:p>
      <w:pPr>
        <w:framePr w:w="3081" w:wrap="around" w:vAnchor="margin" w:hAnchor="text" w:x="7482" w:y="7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1777</w:t>
      </w:r>
      <w:r>
        <w:rPr>
          <w:rFonts w:ascii="SKJVQB+å®ä½" w:hAnsi="SKJVQB+å®ä½" w:cs="SKJVQB+å®ä½"/>
          <w:color w:val="000000"/>
          <w:spacing w:val="0"/>
          <w:sz w:val="21"/>
        </w:rPr>
        <w:t xml:space="preserve">号海信南方大厦  </w:t>
      </w:r>
      <w:r>
        <w:rPr>
          <w:rFonts w:ascii="Times New Roman"/>
          <w:color w:val="000000"/>
          <w:spacing w:val="0"/>
          <w:sz w:val="21"/>
        </w:rPr>
        <w:t>21</w:t>
      </w:r>
      <w:r>
        <w:rPr>
          <w:rFonts w:ascii="SKJVQB+å®ä½" w:hAnsi="SKJVQB+å®ä½" w:cs="SKJVQB+å®ä½"/>
          <w:color w:val="000000"/>
          <w:spacing w:val="0"/>
          <w:sz w:val="21"/>
        </w:rPr>
        <w:t>、</w:t>
      </w:r>
    </w:p>
    <w:p>
      <w:pPr>
        <w:framePr w:w="3081" w:wrap="around" w:vAnchor="margin" w:hAnchor="text" w:x="7482" w:y="7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22</w:t>
      </w:r>
      <w:r>
        <w:rPr>
          <w:rFonts w:ascii="SKJVQB+å®ä½" w:hAnsi="SKJVQB+å®ä½" w:cs="SKJVQB+å®ä½"/>
          <w:color w:val="000000"/>
          <w:spacing w:val="0"/>
          <w:sz w:val="21"/>
        </w:rPr>
        <w:t>层</w:t>
      </w:r>
    </w:p>
    <w:p>
      <w:pPr>
        <w:framePr w:w="526" w:wrap="around" w:vAnchor="margin" w:hAnchor="text" w:x="4213" w:y="804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36</w:t>
      </w:r>
    </w:p>
    <w:p>
      <w:pPr>
        <w:framePr w:w="2418" w:wrap="around" w:vAnchor="margin" w:hAnchor="text" w:x="4640"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中山证券有限责任公司</w:t>
      </w:r>
    </w:p>
    <w:p>
      <w:pPr>
        <w:framePr w:w="3081" w:wrap="around" w:vAnchor="margin" w:hAnchor="text" w:x="7482"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办公地址：深圳市南山区创业</w:t>
      </w:r>
    </w:p>
    <w:p>
      <w:pPr>
        <w:framePr w:w="3081" w:wrap="around" w:vAnchor="margin" w:hAnchor="text" w:x="7482" w:y="89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1777</w:t>
      </w:r>
      <w:r>
        <w:rPr>
          <w:rFonts w:ascii="SKJVQB+å®ä½" w:hAnsi="SKJVQB+å®ä½" w:cs="SKJVQB+å®ä½"/>
          <w:color w:val="000000"/>
          <w:spacing w:val="0"/>
          <w:sz w:val="21"/>
        </w:rPr>
        <w:t xml:space="preserve">号海信南方大厦  </w:t>
      </w:r>
      <w:r>
        <w:rPr>
          <w:rFonts w:ascii="Times New Roman"/>
          <w:color w:val="000000"/>
          <w:spacing w:val="0"/>
          <w:sz w:val="21"/>
        </w:rPr>
        <w:t>21</w:t>
      </w:r>
      <w:r>
        <w:rPr>
          <w:rFonts w:ascii="SKJVQB+å®ä½" w:hAnsi="SKJVQB+å®ä½" w:cs="SKJVQB+å®ä½"/>
          <w:color w:val="000000"/>
          <w:spacing w:val="0"/>
          <w:sz w:val="21"/>
        </w:rPr>
        <w:t>、</w:t>
      </w:r>
    </w:p>
    <w:p>
      <w:pPr>
        <w:framePr w:w="3081" w:wrap="around" w:vAnchor="margin" w:hAnchor="text" w:x="7482" w:y="89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22</w:t>
      </w:r>
      <w:r>
        <w:rPr>
          <w:rFonts w:ascii="SKJVQB+å®ä½" w:hAnsi="SKJVQB+å®ä½" w:cs="SKJVQB+å®ä½"/>
          <w:color w:val="000000"/>
          <w:spacing w:val="0"/>
          <w:sz w:val="21"/>
        </w:rPr>
        <w:t>层</w:t>
      </w:r>
    </w:p>
    <w:p>
      <w:pPr>
        <w:framePr w:w="2209" w:wrap="around" w:vAnchor="margin" w:hAnchor="text" w:x="7482" w:y="99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法定代表人：林炳城</w:t>
      </w:r>
    </w:p>
    <w:p>
      <w:pPr>
        <w:framePr w:w="2209" w:wrap="around" w:vAnchor="margin" w:hAnchor="text" w:x="7482" w:y="99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联系人：罗艺琳</w:t>
      </w:r>
    </w:p>
    <w:p>
      <w:pPr>
        <w:framePr w:w="2747" w:wrap="around" w:vAnchor="margin" w:hAnchor="text" w:x="7482" w:y="1054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0755-82570586</w:t>
      </w:r>
    </w:p>
    <w:p>
      <w:pPr>
        <w:framePr w:w="2747" w:wrap="around" w:vAnchor="margin" w:hAnchor="text" w:x="7482" w:y="105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95329</w:t>
      </w:r>
    </w:p>
    <w:p>
      <w:pPr>
        <w:framePr w:w="3020" w:wrap="around" w:vAnchor="margin" w:hAnchor="text" w:x="7482" w:y="1117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www.zszq.com</w:t>
      </w:r>
    </w:p>
    <w:p>
      <w:pPr>
        <w:framePr w:w="3020" w:wrap="around" w:vAnchor="margin" w:hAnchor="text" w:x="7482" w:y="1117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注册地址：重庆市江北区桥北</w:t>
      </w:r>
    </w:p>
    <w:p>
      <w:pPr>
        <w:framePr w:w="3020" w:wrap="around" w:vAnchor="margin" w:hAnchor="text" w:x="7482" w:y="1117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苑 </w:t>
      </w:r>
      <w:r>
        <w:rPr>
          <w:rFonts w:ascii="Times New Roman"/>
          <w:color w:val="000000"/>
          <w:spacing w:val="0"/>
          <w:sz w:val="21"/>
        </w:rPr>
        <w:t>8</w:t>
      </w:r>
      <w:r>
        <w:rPr>
          <w:rFonts w:ascii="SKJVQB+å®ä½" w:hAnsi="SKJVQB+å®ä½" w:cs="SKJVQB+å®ä½"/>
          <w:color w:val="000000"/>
          <w:spacing w:val="0"/>
          <w:sz w:val="21"/>
        </w:rPr>
        <w:t>号</w:t>
      </w:r>
    </w:p>
    <w:p>
      <w:pPr>
        <w:framePr w:w="526" w:wrap="around" w:vAnchor="margin" w:hAnchor="text" w:x="4213" w:y="1149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37</w:t>
      </w:r>
    </w:p>
    <w:p>
      <w:pPr>
        <w:framePr w:w="2418" w:wrap="around" w:vAnchor="margin" w:hAnchor="text" w:x="4640"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西南证券股份有限公司</w:t>
      </w:r>
    </w:p>
    <w:p>
      <w:pPr>
        <w:framePr w:w="2209" w:wrap="around" w:vAnchor="margin" w:hAnchor="text" w:x="7482"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法定代表人：廖庆轩</w:t>
      </w:r>
    </w:p>
    <w:p>
      <w:pPr>
        <w:framePr w:w="2209" w:wrap="around" w:vAnchor="margin" w:hAnchor="text" w:x="7482" w:y="1212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联系人：周青</w:t>
      </w:r>
    </w:p>
    <w:p>
      <w:pPr>
        <w:framePr w:w="3020" w:wrap="around" w:vAnchor="margin" w:hAnchor="text" w:x="7482" w:y="1274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023-63786633</w:t>
      </w:r>
    </w:p>
    <w:p>
      <w:pPr>
        <w:framePr w:w="3020"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4008096096</w:t>
      </w:r>
    </w:p>
    <w:p>
      <w:pPr>
        <w:framePr w:w="3020"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www.swsc.com.cn</w:t>
      </w:r>
    </w:p>
    <w:p>
      <w:pPr>
        <w:framePr w:w="3020" w:wrap="around" w:vAnchor="margin" w:hAnchor="text" w:x="7482" w:y="1274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注册地址：上海市普陀区曹杨</w:t>
      </w:r>
    </w:p>
    <w:p>
      <w:pPr>
        <w:framePr w:w="3020"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510</w:t>
      </w:r>
      <w:r>
        <w:rPr>
          <w:rFonts w:ascii="SKJVQB+å®ä½" w:hAnsi="SKJVQB+å®ä½" w:cs="SKJVQB+å®ä½"/>
          <w:color w:val="000000"/>
          <w:spacing w:val="0"/>
          <w:sz w:val="21"/>
        </w:rPr>
        <w:t xml:space="preserve">号南半幢  </w:t>
      </w:r>
      <w:r>
        <w:rPr>
          <w:rFonts w:ascii="Times New Roman"/>
          <w:color w:val="000000"/>
          <w:spacing w:val="0"/>
          <w:sz w:val="21"/>
        </w:rPr>
        <w:t>9</w:t>
      </w:r>
      <w:r>
        <w:rPr>
          <w:rFonts w:ascii="SKJVQB+å®ä½" w:hAnsi="SKJVQB+å®ä½" w:cs="SKJVQB+å®ä½"/>
          <w:color w:val="000000"/>
          <w:spacing w:val="0"/>
          <w:sz w:val="21"/>
        </w:rPr>
        <w:t>楼</w:t>
      </w:r>
    </w:p>
    <w:p>
      <w:pPr>
        <w:framePr w:w="3020"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办公地址：上海市浦东新区福</w:t>
      </w:r>
    </w:p>
    <w:p>
      <w:pPr>
        <w:framePr w:w="3020"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山路 </w:t>
      </w:r>
      <w:r>
        <w:rPr>
          <w:rFonts w:ascii="Times New Roman"/>
          <w:color w:val="000000"/>
          <w:spacing w:val="0"/>
          <w:sz w:val="21"/>
        </w:rPr>
        <w:t>500</w:t>
      </w:r>
      <w:r>
        <w:rPr>
          <w:rFonts w:ascii="SKJVQB+å®ä½" w:hAnsi="SKJVQB+å®ä½" w:cs="SKJVQB+å®ä½"/>
          <w:color w:val="000000"/>
          <w:spacing w:val="0"/>
          <w:sz w:val="21"/>
        </w:rPr>
        <w:t xml:space="preserve">号城建国际中心  </w:t>
      </w:r>
      <w:r>
        <w:rPr>
          <w:rFonts w:ascii="Times New Roman"/>
          <w:color w:val="000000"/>
          <w:spacing w:val="0"/>
          <w:sz w:val="21"/>
        </w:rPr>
        <w:t xml:space="preserve"> 26</w:t>
      </w:r>
    </w:p>
    <w:p>
      <w:pPr>
        <w:framePr w:w="3020"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526" w:wrap="around" w:vAnchor="margin" w:hAnchor="text" w:x="4213" w:y="1368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38</w:t>
      </w:r>
    </w:p>
    <w:p>
      <w:pPr>
        <w:framePr w:w="2418" w:wrap="around" w:vAnchor="margin" w:hAnchor="text" w:x="4640"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德邦证券股份有限公司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88</w:t>
      </w:r>
    </w:p>
    <w:p>
      <w:pPr>
        <w:spacing w:before="0" w:after="0" w:line="0" w:lineRule="exact"/>
        <w:ind w:left="0" w:right="0"/>
        <w:jc w:val="left"/>
        <w:rPr>
          <w:rFonts w:ascii="Arial"/>
          <w:color w:val="FF0000"/>
          <w:spacing w:val="0"/>
          <w:sz w:val="2"/>
        </w:rPr>
      </w:pPr>
      <w:r>
        <w:pict>
          <v:shape id="_x0000183" o:spid="_x0000_s120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64" o:title=""/>
            <o:lock v:ext="edit" aspectratio="t"/>
          </v:shape>
        </w:pict>
      </w:r>
      <w:r>
        <w:pict>
          <v:shape id="_x0000184" o:spid="_x0000_s121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6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0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法定代表人：武晓春</w:t>
      </w:r>
    </w:p>
    <w:p>
      <w:pPr>
        <w:framePr w:w="2209"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联系人：刘熠</w:t>
      </w:r>
    </w:p>
    <w:p>
      <w:pPr>
        <w:framePr w:w="2596"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021-68761616</w:t>
      </w:r>
    </w:p>
    <w:p>
      <w:pPr>
        <w:framePr w:w="2596"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021-68767032</w:t>
      </w:r>
    </w:p>
    <w:p>
      <w:pPr>
        <w:framePr w:w="2596"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4008888128</w:t>
      </w:r>
    </w:p>
    <w:p>
      <w:pPr>
        <w:framePr w:w="2596"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www.tebon.com.cn</w:t>
      </w:r>
    </w:p>
    <w:p>
      <w:pPr>
        <w:framePr w:w="526" w:wrap="around" w:vAnchor="margin" w:hAnchor="text" w:x="4213" w:y="335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39</w:t>
      </w:r>
    </w:p>
    <w:p>
      <w:pPr>
        <w:framePr w:w="1998" w:wrap="around" w:vAnchor="margin" w:hAnchor="text" w:x="4640"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中航证券有限公司</w:t>
      </w:r>
    </w:p>
    <w:p>
      <w:pPr>
        <w:framePr w:w="3020"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注册地址：南昌市红谷滩新区</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红谷中大道 </w:t>
      </w:r>
      <w:r>
        <w:rPr>
          <w:rFonts w:ascii="Times New Roman"/>
          <w:color w:val="000000"/>
          <w:spacing w:val="0"/>
          <w:sz w:val="21"/>
        </w:rPr>
        <w:t>1619</w:t>
      </w:r>
      <w:r>
        <w:rPr>
          <w:rFonts w:ascii="SKJVQB+å®ä½" w:hAnsi="SKJVQB+å®ä½" w:cs="SKJVQB+å®ä½"/>
          <w:color w:val="000000"/>
          <w:spacing w:val="0"/>
          <w:sz w:val="21"/>
        </w:rPr>
        <w:t>号国际金融</w:t>
      </w:r>
    </w:p>
    <w:p>
      <w:pPr>
        <w:framePr w:w="3020"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41</w:t>
      </w:r>
      <w:r>
        <w:rPr>
          <w:rFonts w:ascii="SKJVQB+å®ä½" w:hAnsi="SKJVQB+å®ä½" w:cs="SKJVQB+å®ä½"/>
          <w:color w:val="000000"/>
          <w:spacing w:val="0"/>
          <w:sz w:val="21"/>
        </w:rPr>
        <w:t>楼</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 </w:t>
      </w:r>
      <w:r>
        <w:rPr>
          <w:rFonts w:ascii="Times New Roman"/>
          <w:color w:val="000000"/>
          <w:spacing w:val="0"/>
          <w:sz w:val="21"/>
        </w:rPr>
        <w:t>2</w:t>
      </w:r>
      <w:r>
        <w:rPr>
          <w:rFonts w:ascii="SKJVQB+å®ä½" w:hAnsi="SKJVQB+å®ä½" w:cs="SKJVQB+å®ä½"/>
          <w:color w:val="000000"/>
          <w:spacing w:val="0"/>
          <w:sz w:val="21"/>
        </w:rPr>
        <w:t xml:space="preserve"> 号中航资本大厦</w:t>
      </w:r>
    </w:p>
    <w:p>
      <w:pPr>
        <w:framePr w:w="3020" w:wrap="around" w:vAnchor="margin" w:hAnchor="text" w:x="7482" w:y="430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35</w:t>
      </w:r>
      <w:r>
        <w:rPr>
          <w:rFonts w:ascii="SKJVQB+å®ä½" w:hAnsi="SKJVQB+å®ä½" w:cs="SKJVQB+å®ä½"/>
          <w:color w:val="000000"/>
          <w:spacing w:val="0"/>
          <w:sz w:val="21"/>
        </w:rPr>
        <w:t>层</w:t>
      </w:r>
    </w:p>
    <w:p>
      <w:pPr>
        <w:framePr w:w="2209"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法定代表人：王晓峰</w:t>
      </w:r>
    </w:p>
    <w:p>
      <w:pPr>
        <w:framePr w:w="2209" w:wrap="around" w:vAnchor="margin" w:hAnchor="text" w:x="7482"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联系人：王紫雯</w:t>
      </w:r>
    </w:p>
    <w:p>
      <w:pPr>
        <w:framePr w:w="2178" w:wrap="around" w:vAnchor="margin" w:hAnchor="text" w:x="7482" w:y="585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010-59562468</w:t>
      </w:r>
    </w:p>
    <w:p>
      <w:pPr>
        <w:framePr w:w="2178"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010-59562637</w:t>
      </w:r>
    </w:p>
    <w:p>
      <w:pPr>
        <w:framePr w:w="2178" w:wrap="around" w:vAnchor="margin" w:hAnchor="text" w:x="7482" w:y="5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95335</w:t>
      </w:r>
    </w:p>
    <w:p>
      <w:pPr>
        <w:framePr w:w="3123" w:wrap="around" w:vAnchor="margin" w:hAnchor="text" w:x="7482" w:y="679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http://www.avicsec.com/</w:t>
      </w:r>
    </w:p>
    <w:p>
      <w:pPr>
        <w:framePr w:w="3123" w:wrap="around" w:vAnchor="margin" w:hAnchor="text" w:x="7482" w:y="679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注册地址：北京市建国门外大</w:t>
      </w:r>
    </w:p>
    <w:p>
      <w:pPr>
        <w:framePr w:w="3123" w:wrap="around" w:vAnchor="margin" w:hAnchor="text" w:x="7482" w:y="67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w:t>
      </w:r>
      <w:r>
        <w:rPr>
          <w:rFonts w:ascii="SKJVQB+å®ä½" w:hAnsi="SKJVQB+å®ä½" w:cs="SKJVQB+å®ä½"/>
          <w:color w:val="000000"/>
          <w:spacing w:val="0"/>
          <w:sz w:val="21"/>
        </w:rPr>
        <w:t xml:space="preserve">号国贸大厦  </w:t>
      </w:r>
      <w:r>
        <w:rPr>
          <w:rFonts w:ascii="Times New Roman"/>
          <w:color w:val="000000"/>
          <w:spacing w:val="0"/>
          <w:sz w:val="21"/>
        </w:rPr>
        <w:t>2</w:t>
      </w:r>
      <w:r>
        <w:rPr>
          <w:rFonts w:ascii="SKJVQB+å®ä½" w:hAnsi="SKJVQB+å®ä½" w:cs="SKJVQB+å®ä½"/>
          <w:color w:val="000000"/>
          <w:spacing w:val="0"/>
          <w:sz w:val="21"/>
        </w:rPr>
        <w:t xml:space="preserve">座  </w:t>
      </w:r>
      <w:r>
        <w:rPr>
          <w:rFonts w:ascii="Times New Roman"/>
          <w:color w:val="000000"/>
          <w:spacing w:val="0"/>
          <w:sz w:val="21"/>
        </w:rPr>
        <w:t>27</w:t>
      </w:r>
      <w:r>
        <w:rPr>
          <w:rFonts w:ascii="SKJVQB+å®ä½" w:hAnsi="SKJVQB+å®ä½" w:cs="SKJVQB+å®ä½"/>
          <w:color w:val="000000"/>
          <w:spacing w:val="0"/>
          <w:sz w:val="21"/>
        </w:rPr>
        <w:t>层及</w:t>
      </w:r>
    </w:p>
    <w:p>
      <w:pPr>
        <w:framePr w:w="3123" w:wrap="around" w:vAnchor="margin" w:hAnchor="text" w:x="7482" w:y="67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28</w:t>
      </w:r>
      <w:r>
        <w:rPr>
          <w:rFonts w:ascii="SKJVQB+å®ä½" w:hAnsi="SKJVQB+å®ä½" w:cs="SKJVQB+å®ä½"/>
          <w:color w:val="000000"/>
          <w:spacing w:val="0"/>
          <w:sz w:val="21"/>
        </w:rPr>
        <w:t>层</w:t>
      </w:r>
    </w:p>
    <w:p>
      <w:pPr>
        <w:framePr w:w="526" w:wrap="around" w:vAnchor="margin" w:hAnchor="text" w:x="4213" w:y="711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40</w:t>
      </w:r>
    </w:p>
    <w:p>
      <w:pPr>
        <w:framePr w:w="2901" w:wrap="around" w:vAnchor="margin" w:hAnchor="text" w:x="4640"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中国国际金融股份有限公司</w:t>
      </w:r>
    </w:p>
    <w:p>
      <w:pPr>
        <w:framePr w:w="3020" w:wrap="around" w:vAnchor="margin" w:hAnchor="text" w:x="7482"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办公地址：北京市建国门外大</w:t>
      </w:r>
    </w:p>
    <w:p>
      <w:pPr>
        <w:framePr w:w="3020" w:wrap="around" w:vAnchor="margin" w:hAnchor="text" w:x="7482" w:y="805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街甲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SK</w:t>
      </w:r>
      <w:r>
        <w:rPr>
          <w:rFonts w:ascii="SKJVQB+å®ä½" w:hAnsi="SKJVQB+å®ä½" w:cs="SKJVQB+å®ä½"/>
          <w:color w:val="000000"/>
          <w:spacing w:val="0"/>
          <w:sz w:val="21"/>
        </w:rPr>
        <w:t>大厦</w:t>
      </w:r>
    </w:p>
    <w:p>
      <w:pPr>
        <w:framePr w:w="1789"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联系人：杨涵宇</w:t>
      </w:r>
    </w:p>
    <w:p>
      <w:pPr>
        <w:framePr w:w="3020"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010-65051166</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400-910-1166</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www.cicc.com.cn</w:t>
      </w:r>
    </w:p>
    <w:p>
      <w:pPr>
        <w:framePr w:w="3020" w:wrap="around" w:vAnchor="margin" w:hAnchor="text" w:x="7482" w:y="898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注册地址：大同市城区迎宾街</w:t>
      </w:r>
    </w:p>
    <w:p>
      <w:pPr>
        <w:framePr w:w="3020"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15</w:t>
      </w:r>
      <w:r>
        <w:rPr>
          <w:rFonts w:ascii="SKJVQB+å®ä½" w:hAnsi="SKJVQB+å®ä½" w:cs="SKJVQB+å®ä½"/>
          <w:color w:val="000000"/>
          <w:spacing w:val="0"/>
          <w:sz w:val="21"/>
        </w:rPr>
        <w:t xml:space="preserve">号桐城中央  </w:t>
      </w:r>
      <w:r>
        <w:rPr>
          <w:rFonts w:ascii="Times New Roman"/>
          <w:color w:val="000000"/>
          <w:spacing w:val="0"/>
          <w:sz w:val="21"/>
        </w:rPr>
        <w:t>21</w:t>
      </w:r>
      <w:r>
        <w:rPr>
          <w:rFonts w:ascii="SKJVQB+å®ä½" w:hAnsi="SKJVQB+å®ä½" w:cs="SKJVQB+å®ä½"/>
          <w:color w:val="000000"/>
          <w:spacing w:val="0"/>
          <w:sz w:val="21"/>
        </w:rPr>
        <w:t>层</w:t>
      </w:r>
    </w:p>
    <w:p>
      <w:pPr>
        <w:framePr w:w="3020" w:wrap="around" w:vAnchor="margin" w:hAnchor="text" w:x="7482" w:y="8987"/>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办公地址：山西省太原市长治</w:t>
      </w:r>
    </w:p>
    <w:p>
      <w:pPr>
        <w:framePr w:w="3020"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111</w:t>
      </w:r>
      <w:r>
        <w:rPr>
          <w:rFonts w:ascii="SKJVQB+å®ä½" w:hAnsi="SKJVQB+å®ä½" w:cs="SKJVQB+å®ä½"/>
          <w:color w:val="000000"/>
          <w:spacing w:val="0"/>
          <w:sz w:val="21"/>
        </w:rPr>
        <w:t xml:space="preserve">号山西世贸中心  </w:t>
      </w:r>
      <w:r>
        <w:rPr>
          <w:rFonts w:ascii="Times New Roman"/>
          <w:color w:val="000000"/>
          <w:spacing w:val="0"/>
          <w:sz w:val="21"/>
        </w:rPr>
        <w:t>A</w:t>
      </w:r>
      <w:r>
        <w:rPr>
          <w:rFonts w:ascii="SKJVQB+å®ä½" w:hAnsi="SKJVQB+å®ä½" w:cs="SKJVQB+å®ä½"/>
          <w:color w:val="000000"/>
          <w:spacing w:val="0"/>
          <w:sz w:val="21"/>
        </w:rPr>
        <w:t>座</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F12</w:t>
      </w:r>
      <w:r>
        <w:rPr>
          <w:rFonts w:ascii="SKJVQB+å®ä½" w:hAnsi="SKJVQB+å®ä½" w:cs="SKJVQB+å®ä½"/>
          <w:color w:val="000000"/>
          <w:spacing w:val="0"/>
          <w:sz w:val="21"/>
        </w:rPr>
        <w:t>、</w:t>
      </w:r>
      <w:r>
        <w:rPr>
          <w:rFonts w:ascii="Times New Roman"/>
          <w:color w:val="000000"/>
          <w:spacing w:val="0"/>
          <w:sz w:val="21"/>
        </w:rPr>
        <w:t>F13</w:t>
      </w:r>
    </w:p>
    <w:p>
      <w:pPr>
        <w:framePr w:w="526" w:wrap="around" w:vAnchor="margin" w:hAnchor="text" w:x="4213" w:y="993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41</w:t>
      </w:r>
    </w:p>
    <w:p>
      <w:pPr>
        <w:framePr w:w="2418" w:wrap="around" w:vAnchor="margin" w:hAnchor="text" w:x="4640"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大同证券有限责任公司</w:t>
      </w:r>
    </w:p>
    <w:p>
      <w:pPr>
        <w:framePr w:w="1998"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法定代表人：董祥</w:t>
      </w:r>
    </w:p>
    <w:p>
      <w:pPr>
        <w:framePr w:w="1578"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联系人：薛津</w:t>
      </w:r>
    </w:p>
    <w:p>
      <w:pPr>
        <w:framePr w:w="2421"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0351-4130322</w:t>
      </w:r>
    </w:p>
    <w:p>
      <w:pPr>
        <w:framePr w:w="2421"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0351-4192803</w:t>
      </w:r>
    </w:p>
    <w:p>
      <w:pPr>
        <w:framePr w:w="2421"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4007121212</w:t>
      </w:r>
    </w:p>
    <w:p>
      <w:pPr>
        <w:framePr w:w="2421"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336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http://www.dtsbc.com.cn</w:t>
      </w:r>
    </w:p>
    <w:p>
      <w:pPr>
        <w:framePr w:w="3020" w:wrap="around" w:vAnchor="margin" w:hAnchor="text" w:x="7482" w:y="1336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注册地址：湖南省长沙市天心</w:t>
      </w:r>
    </w:p>
    <w:p>
      <w:pPr>
        <w:framePr w:w="3020" w:wrap="around" w:vAnchor="margin" w:hAnchor="text" w:x="7482" w:y="1336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区湘江中路二段 </w:t>
      </w:r>
      <w:r>
        <w:rPr>
          <w:rFonts w:ascii="Times New Roman"/>
          <w:color w:val="000000"/>
          <w:spacing w:val="0"/>
          <w:sz w:val="21"/>
        </w:rPr>
        <w:t>36</w:t>
      </w:r>
      <w:r>
        <w:rPr>
          <w:rFonts w:ascii="SKJVQB+å®ä½" w:hAnsi="SKJVQB+å®ä½" w:cs="SKJVQB+å®ä½"/>
          <w:color w:val="000000"/>
          <w:spacing w:val="0"/>
          <w:sz w:val="21"/>
        </w:rPr>
        <w:t>号华远华</w:t>
      </w:r>
    </w:p>
    <w:p>
      <w:pPr>
        <w:framePr w:w="3020" w:wrap="around" w:vAnchor="margin" w:hAnchor="text" w:x="7482" w:y="1336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中心 </w:t>
      </w:r>
      <w:r>
        <w:rPr>
          <w:rFonts w:ascii="Times New Roman"/>
          <w:color w:val="000000"/>
          <w:spacing w:val="0"/>
          <w:sz w:val="21"/>
        </w:rPr>
        <w:t>4</w:t>
      </w:r>
      <w:r>
        <w:rPr>
          <w:rFonts w:ascii="SKJVQB+å®ä½" w:hAnsi="SKJVQB+å®ä½" w:cs="SKJVQB+å®ä½"/>
          <w:color w:val="000000"/>
          <w:spacing w:val="0"/>
          <w:sz w:val="21"/>
        </w:rPr>
        <w:t>、</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3701-3717</w:t>
      </w:r>
    </w:p>
    <w:p>
      <w:pPr>
        <w:framePr w:w="3020" w:wrap="around" w:vAnchor="margin" w:hAnchor="text" w:x="7482" w:y="1336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办公地址：北京市朝阳区北四</w:t>
      </w:r>
    </w:p>
    <w:p>
      <w:pPr>
        <w:framePr w:w="3020" w:wrap="around" w:vAnchor="margin" w:hAnchor="text" w:x="7482" w:y="1336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环中路盘古大观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40</w:t>
      </w:r>
      <w:r>
        <w:rPr>
          <w:rFonts w:ascii="SKJVQB+å®ä½" w:hAnsi="SKJVQB+å®ä½" w:cs="SKJVQB+å®ä½"/>
          <w:color w:val="000000"/>
          <w:spacing w:val="0"/>
          <w:sz w:val="21"/>
        </w:rPr>
        <w:t>层</w:t>
      </w:r>
    </w:p>
    <w:p>
      <w:pPr>
        <w:framePr w:w="526" w:wrap="around" w:vAnchor="margin" w:hAnchor="text" w:x="4213" w:y="1368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42</w:t>
      </w:r>
    </w:p>
    <w:p>
      <w:pPr>
        <w:framePr w:w="2418" w:wrap="around" w:vAnchor="margin" w:hAnchor="text" w:x="4640"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方正证券股份有限公司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89</w:t>
      </w:r>
    </w:p>
    <w:p>
      <w:pPr>
        <w:spacing w:before="0" w:after="0" w:line="0" w:lineRule="exact"/>
        <w:ind w:left="0" w:right="0"/>
        <w:jc w:val="left"/>
        <w:rPr>
          <w:rFonts w:ascii="Arial"/>
          <w:color w:val="FF0000"/>
          <w:spacing w:val="0"/>
          <w:sz w:val="2"/>
        </w:rPr>
      </w:pPr>
      <w:r>
        <w:pict>
          <v:shape id="_x0000185" o:spid="_x0000_s121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66" o:title=""/>
            <o:lock v:ext="edit" aspectratio="t"/>
          </v:shape>
        </w:pict>
      </w:r>
      <w:r>
        <w:pict>
          <v:shape id="_x0000186" o:spid="_x0000_s1212"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6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998"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法定代表人：施华</w:t>
      </w:r>
    </w:p>
    <w:p>
      <w:pPr>
        <w:framePr w:w="1789"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联系人：程博怡</w:t>
      </w:r>
    </w:p>
    <w:p>
      <w:pPr>
        <w:framePr w:w="2626" w:wrap="around" w:vAnchor="margin" w:hAnchor="text" w:x="7482" w:y="21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010-59355997</w:t>
      </w:r>
    </w:p>
    <w:p>
      <w:pPr>
        <w:framePr w:w="2626" w:wrap="around" w:vAnchor="margin" w:hAnchor="text" w:x="7482" w:y="210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95571</w:t>
      </w:r>
    </w:p>
    <w:p>
      <w:pPr>
        <w:framePr w:w="2727"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www.foundersc.com</w:t>
      </w:r>
    </w:p>
    <w:p>
      <w:pPr>
        <w:framePr w:w="526" w:wrap="around" w:vAnchor="margin" w:hAnchor="text" w:x="4213"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43</w:t>
      </w:r>
    </w:p>
    <w:p>
      <w:pPr>
        <w:framePr w:w="2418"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东海证券股份有限公司</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注册地址：江苏省常州市延陵</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23</w:t>
      </w:r>
      <w:r>
        <w:rPr>
          <w:rFonts w:ascii="SKJVQB+å®ä½" w:hAnsi="SKJVQB+å®ä½" w:cs="SKJVQB+å®ä½"/>
          <w:color w:val="000000"/>
          <w:spacing w:val="0"/>
          <w:sz w:val="21"/>
        </w:rPr>
        <w:t xml:space="preserve">号投资广场  </w:t>
      </w:r>
      <w:r>
        <w:rPr>
          <w:rFonts w:ascii="Times New Roman"/>
          <w:color w:val="000000"/>
          <w:spacing w:val="0"/>
          <w:sz w:val="21"/>
        </w:rPr>
        <w:t>18</w:t>
      </w:r>
      <w:r>
        <w:rPr>
          <w:rFonts w:ascii="SKJVQB+å®ä½" w:hAnsi="SKJVQB+å®ä½" w:cs="SKJVQB+å®ä½"/>
          <w:color w:val="000000"/>
          <w:spacing w:val="0"/>
          <w:sz w:val="21"/>
        </w:rPr>
        <w:t>楼</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办公地址：上海市浦东新区东</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方路 </w:t>
      </w:r>
      <w:r>
        <w:rPr>
          <w:rFonts w:ascii="Times New Roman"/>
          <w:color w:val="000000"/>
          <w:spacing w:val="0"/>
          <w:sz w:val="21"/>
        </w:rPr>
        <w:t>1928</w:t>
      </w:r>
      <w:r>
        <w:rPr>
          <w:rFonts w:ascii="SKJVQB+å®ä½" w:hAnsi="SKJVQB+å®ä½" w:cs="SKJVQB+å®ä½"/>
          <w:color w:val="000000"/>
          <w:spacing w:val="0"/>
          <w:sz w:val="21"/>
        </w:rPr>
        <w:t>号东海证券大厦</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法定代表人：陈耀庭</w:t>
      </w:r>
    </w:p>
    <w:p>
      <w:pPr>
        <w:framePr w:w="3020" w:wrap="around" w:vAnchor="margin" w:hAnchor="text" w:x="7482" w:y="3055"/>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联系人：王一彦</w:t>
      </w:r>
    </w:p>
    <w:p>
      <w:pPr>
        <w:framePr w:w="2106" w:wrap="around" w:vAnchor="margin" w:hAnchor="text" w:x="7482" w:y="4921"/>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95531</w:t>
      </w:r>
      <w:r>
        <w:rPr>
          <w:rFonts w:ascii="SKJVQB+å®ä½" w:hAnsi="SKJVQB+å®ä½" w:cs="SKJVQB+å®ä½"/>
          <w:color w:val="000000"/>
          <w:spacing w:val="0"/>
          <w:sz w:val="21"/>
        </w:rPr>
        <w:t>；</w:t>
      </w:r>
    </w:p>
    <w:p>
      <w:pPr>
        <w:framePr w:w="2106" w:wrap="around" w:vAnchor="margin" w:hAnchor="text" w:x="7482" w:y="4921"/>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400-8888-588</w:t>
      </w:r>
    </w:p>
    <w:p>
      <w:pPr>
        <w:framePr w:w="3020"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www.longone.com.cn</w:t>
      </w:r>
    </w:p>
    <w:p>
      <w:pPr>
        <w:framePr w:w="3020"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注册地址：陕西省西安市东新</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319</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幢  </w:t>
      </w:r>
      <w:r>
        <w:rPr>
          <w:rFonts w:ascii="Times New Roman"/>
          <w:color w:val="000000"/>
          <w:spacing w:val="0"/>
          <w:sz w:val="21"/>
        </w:rPr>
        <w:t>10000</w:t>
      </w:r>
      <w:r>
        <w:rPr>
          <w:rFonts w:ascii="SKJVQB+å®ä½" w:hAnsi="SKJVQB+å®ä½" w:cs="SKJVQB+å®ä½"/>
          <w:color w:val="000000"/>
          <w:spacing w:val="0"/>
          <w:sz w:val="21"/>
        </w:rPr>
        <w:t>室</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办公地址：陕西省西安市东新</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319</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幢  </w:t>
      </w:r>
      <w:r>
        <w:rPr>
          <w:rFonts w:ascii="Times New Roman"/>
          <w:color w:val="000000"/>
          <w:spacing w:val="0"/>
          <w:sz w:val="21"/>
        </w:rPr>
        <w:t>10000</w:t>
      </w:r>
      <w:r>
        <w:rPr>
          <w:rFonts w:ascii="SKJVQB+å®ä½" w:hAnsi="SKJVQB+å®ä½" w:cs="SKJVQB+å®ä½"/>
          <w:color w:val="000000"/>
          <w:spacing w:val="0"/>
          <w:sz w:val="21"/>
        </w:rPr>
        <w:t>室</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法定代表人：徐朝晖</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联系人：梁承华</w:t>
      </w:r>
    </w:p>
    <w:p>
      <w:pPr>
        <w:framePr w:w="526" w:wrap="around" w:vAnchor="margin" w:hAnchor="text" w:x="4213" w:y="586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44</w:t>
      </w:r>
    </w:p>
    <w:p>
      <w:pPr>
        <w:framePr w:w="2418" w:wrap="around" w:vAnchor="margin" w:hAnchor="text" w:x="4640"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西部证券股份有限公司</w:t>
      </w:r>
    </w:p>
    <w:p>
      <w:pPr>
        <w:framePr w:w="2171"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029-87211526</w:t>
      </w:r>
    </w:p>
    <w:p>
      <w:pPr>
        <w:framePr w:w="2171"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029-87211478</w:t>
      </w:r>
    </w:p>
    <w:p>
      <w:pPr>
        <w:framePr w:w="2171"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95582</w:t>
      </w:r>
    </w:p>
    <w:p>
      <w:pPr>
        <w:framePr w:w="949"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969" w:wrap="around" w:vAnchor="margin" w:hAnchor="text" w:x="7482" w:y="898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http://www.westsecu.com/</w:t>
      </w:r>
    </w:p>
    <w:p>
      <w:pPr>
        <w:framePr w:w="2969" w:wrap="around" w:vAnchor="margin" w:hAnchor="text" w:x="7482" w:y="8984"/>
        <w:widowControl w:val="0"/>
        <w:autoSpaceDE w:val="0"/>
        <w:autoSpaceDN w:val="0"/>
        <w:spacing w:before="0" w:after="0" w:line="326"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w:t>
      </w:r>
      <w:r>
        <w:rPr>
          <w:rFonts w:ascii="Times New Roman"/>
          <w:color w:val="000000"/>
          <w:spacing w:val="0"/>
          <w:sz w:val="21"/>
        </w:rPr>
        <w:t>:</w:t>
      </w:r>
      <w:r>
        <w:rPr>
          <w:rFonts w:ascii="SKJVQB+å®ä½" w:hAnsi="SKJVQB+å®ä½" w:cs="SKJVQB+å®ä½"/>
          <w:color w:val="000000"/>
          <w:spacing w:val="0"/>
          <w:sz w:val="21"/>
        </w:rPr>
        <w:t>北京市海淀区北三</w:t>
      </w:r>
    </w:p>
    <w:p>
      <w:pPr>
        <w:framePr w:w="2969" w:wrap="around" w:vAnchor="margin" w:hAnchor="text" w:x="7482" w:y="89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环西路 </w:t>
      </w:r>
      <w:r>
        <w:rPr>
          <w:rFonts w:ascii="Times New Roman"/>
          <w:color w:val="000000"/>
          <w:spacing w:val="0"/>
          <w:sz w:val="21"/>
        </w:rPr>
        <w:t>99</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层</w:t>
      </w:r>
    </w:p>
    <w:p>
      <w:pPr>
        <w:framePr w:w="2969" w:wrap="around" w:vAnchor="margin" w:hAnchor="text" w:x="7482" w:y="8984"/>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1501</w:t>
      </w:r>
    </w:p>
    <w:p>
      <w:pPr>
        <w:framePr w:w="526" w:wrap="around" w:vAnchor="margin" w:hAnchor="text" w:x="4213" w:y="930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45</w:t>
      </w:r>
    </w:p>
    <w:p>
      <w:pPr>
        <w:framePr w:w="2661" w:wrap="around" w:vAnchor="margin" w:hAnchor="text" w:x="4640"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新时代证券股份有限公司</w:t>
      </w:r>
    </w:p>
    <w:p>
      <w:pPr>
        <w:framePr w:w="2969" w:wrap="around" w:vAnchor="margin" w:hAnchor="text" w:x="7482" w:y="10247"/>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w:t>
      </w:r>
      <w:r>
        <w:rPr>
          <w:rFonts w:ascii="Times New Roman"/>
          <w:color w:val="000000"/>
          <w:spacing w:val="0"/>
          <w:sz w:val="21"/>
        </w:rPr>
        <w:t>:</w:t>
      </w:r>
      <w:r>
        <w:rPr>
          <w:rFonts w:ascii="SKJVQB+å®ä½" w:hAnsi="SKJVQB+å®ä½" w:cs="SKJVQB+å®ä½"/>
          <w:color w:val="000000"/>
          <w:spacing w:val="0"/>
          <w:sz w:val="21"/>
        </w:rPr>
        <w:t>北京市海淀区北三</w:t>
      </w:r>
    </w:p>
    <w:p>
      <w:pPr>
        <w:framePr w:w="2969" w:wrap="around" w:vAnchor="margin" w:hAnchor="text" w:x="7482" w:y="10247"/>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环西路 </w:t>
      </w:r>
      <w:r>
        <w:rPr>
          <w:rFonts w:ascii="Times New Roman"/>
          <w:color w:val="000000"/>
          <w:spacing w:val="0"/>
          <w:sz w:val="21"/>
        </w:rPr>
        <w:t>99</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层</w:t>
      </w:r>
    </w:p>
    <w:p>
      <w:pPr>
        <w:framePr w:w="2969" w:wrap="around" w:vAnchor="margin" w:hAnchor="text" w:x="7482" w:y="10247"/>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1501</w:t>
      </w:r>
    </w:p>
    <w:p>
      <w:pPr>
        <w:framePr w:w="2209" w:wrap="around" w:vAnchor="margin" w:hAnchor="text" w:x="7482"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法定代表人：叶顺德</w:t>
      </w:r>
    </w:p>
    <w:p>
      <w:pPr>
        <w:framePr w:w="2209" w:wrap="around" w:vAnchor="margin" w:hAnchor="text" w:x="7482"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联系人：田芳芳</w:t>
      </w:r>
    </w:p>
    <w:p>
      <w:pPr>
        <w:framePr w:w="2618" w:wrap="around" w:vAnchor="margin" w:hAnchor="text" w:x="7482" w:y="1180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010-83561146</w:t>
      </w:r>
    </w:p>
    <w:p>
      <w:pPr>
        <w:framePr w:w="2618" w:wrap="around" w:vAnchor="margin" w:hAnchor="text" w:x="7482" w:y="1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95399</w:t>
      </w:r>
    </w:p>
    <w:p>
      <w:pPr>
        <w:framePr w:w="3020"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www.xsdzq.cn</w:t>
      </w:r>
    </w:p>
    <w:p>
      <w:pPr>
        <w:framePr w:w="3020" w:wrap="around" w:vAnchor="margin" w:hAnchor="text" w:x="7482" w:y="1243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7</w:t>
      </w:r>
      <w:r>
        <w:rPr>
          <w:rFonts w:ascii="SKJVQB+å®ä½" w:hAnsi="SKJVQB+å®ä½" w:cs="SKJVQB+å®ä½"/>
          <w:color w:val="000000"/>
          <w:spacing w:val="0"/>
          <w:sz w:val="21"/>
        </w:rPr>
        <w:t>号英蓝国际金融中心</w:t>
      </w:r>
    </w:p>
    <w:p>
      <w:pPr>
        <w:framePr w:w="302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r>
        <w:rPr>
          <w:rFonts w:ascii="Times New Roman"/>
          <w:color w:val="000000"/>
          <w:spacing w:val="0"/>
          <w:sz w:val="21"/>
        </w:rPr>
        <w:t>15</w:t>
      </w:r>
      <w:r>
        <w:rPr>
          <w:rFonts w:ascii="SKJVQB+å®ä½" w:hAnsi="SKJVQB+å®ä½" w:cs="SKJVQB+å®ä½"/>
          <w:color w:val="000000"/>
          <w:spacing w:val="0"/>
          <w:sz w:val="21"/>
        </w:rPr>
        <w:t>层</w:t>
      </w:r>
    </w:p>
    <w:p>
      <w:pPr>
        <w:framePr w:w="526" w:wrap="around" w:vAnchor="margin" w:hAnchor="text" w:x="4213" w:y="1275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46</w:t>
      </w:r>
    </w:p>
    <w:p>
      <w:pPr>
        <w:framePr w:w="2418" w:wrap="around" w:vAnchor="margin" w:hAnchor="text" w:x="4640" w:y="1276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瑞银证券有限责任公司</w:t>
      </w:r>
    </w:p>
    <w:p>
      <w:pPr>
        <w:framePr w:w="3020" w:wrap="around" w:vAnchor="margin" w:hAnchor="text" w:x="7482"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7</w:t>
      </w:r>
      <w:r>
        <w:rPr>
          <w:rFonts w:ascii="SKJVQB+å®ä½" w:hAnsi="SKJVQB+å®ä½" w:cs="SKJVQB+å®ä½"/>
          <w:color w:val="000000"/>
          <w:spacing w:val="0"/>
          <w:sz w:val="21"/>
        </w:rPr>
        <w:t>号英蓝国际金融中心</w:t>
      </w:r>
    </w:p>
    <w:p>
      <w:pPr>
        <w:framePr w:w="3020" w:wrap="around" w:vAnchor="margin" w:hAnchor="text" w:x="7482" w:y="136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r>
        <w:rPr>
          <w:rFonts w:ascii="Times New Roman"/>
          <w:color w:val="000000"/>
          <w:spacing w:val="0"/>
          <w:sz w:val="21"/>
        </w:rPr>
        <w:t>15</w:t>
      </w:r>
      <w:r>
        <w:rPr>
          <w:rFonts w:ascii="SKJVQB+å®ä½" w:hAnsi="SKJVQB+å®ä½" w:cs="SKJVQB+å®ä½"/>
          <w:color w:val="000000"/>
          <w:spacing w:val="0"/>
          <w:sz w:val="21"/>
        </w:rPr>
        <w:t>层</w:t>
      </w:r>
    </w:p>
    <w:p>
      <w:pPr>
        <w:framePr w:w="2209"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法定代表人：程宜荪</w:t>
      </w:r>
    </w:p>
    <w:p>
      <w:pPr>
        <w:framePr w:w="2209" w:wrap="around" w:vAnchor="margin" w:hAnchor="text" w:x="7482" w:y="146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联系人：冯爽</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90</w:t>
      </w:r>
    </w:p>
    <w:p>
      <w:pPr>
        <w:spacing w:before="0" w:after="0" w:line="0" w:lineRule="exact"/>
        <w:ind w:left="0" w:right="0"/>
        <w:jc w:val="left"/>
        <w:rPr>
          <w:rFonts w:ascii="Arial"/>
          <w:color w:val="FF0000"/>
          <w:spacing w:val="0"/>
          <w:sz w:val="2"/>
        </w:rPr>
      </w:pPr>
      <w:r>
        <w:pict>
          <v:shape id="_x0000187" o:spid="_x0000_s121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2" o:title=""/>
            <o:lock v:ext="edit" aspectratio="t"/>
          </v:shape>
        </w:pict>
      </w:r>
      <w:r>
        <w:pict>
          <v:shape id="_x0000188" o:spid="_x0000_s1214"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6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19"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010-58328373</w:t>
      </w:r>
    </w:p>
    <w:p>
      <w:pPr>
        <w:framePr w:w="3019"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400-887-8827</w:t>
      </w:r>
    </w:p>
    <w:p>
      <w:pPr>
        <w:framePr w:w="3019"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www.ubssecurities.com</w:t>
      </w:r>
    </w:p>
    <w:p>
      <w:pPr>
        <w:framePr w:w="526" w:wrap="around" w:vAnchor="margin" w:hAnchor="text" w:x="4213" w:y="242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47</w:t>
      </w:r>
    </w:p>
    <w:p>
      <w:pPr>
        <w:framePr w:w="2418" w:wrap="around" w:vAnchor="margin" w:hAnchor="text" w:x="4640"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金元证券股份有限公司</w:t>
      </w:r>
    </w:p>
    <w:p>
      <w:pPr>
        <w:framePr w:w="2960" w:wrap="around" w:vAnchor="margin" w:hAnchor="text" w:x="7482" w:y="242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注册地址：海口市南宝路 </w:t>
      </w:r>
      <w:r>
        <w:rPr>
          <w:rFonts w:ascii="Times New Roman"/>
          <w:color w:val="000000"/>
          <w:spacing w:val="0"/>
          <w:sz w:val="21"/>
        </w:rPr>
        <w:t xml:space="preserve"> 36</w:t>
      </w:r>
    </w:p>
    <w:p>
      <w:pPr>
        <w:framePr w:w="2960" w:wrap="around" w:vAnchor="margin" w:hAnchor="text" w:x="7482" w:y="242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号证券大厦 </w:t>
      </w:r>
      <w:r>
        <w:rPr>
          <w:rFonts w:ascii="Times New Roman"/>
          <w:color w:val="000000"/>
          <w:spacing w:val="0"/>
          <w:sz w:val="21"/>
        </w:rPr>
        <w:t>4</w:t>
      </w:r>
      <w:r>
        <w:rPr>
          <w:rFonts w:ascii="SKJVQB+å®ä½" w:hAnsi="SKJVQB+å®ä½" w:cs="SKJVQB+å®ä½"/>
          <w:color w:val="000000"/>
          <w:spacing w:val="0"/>
          <w:sz w:val="21"/>
        </w:rPr>
        <w:t>楼</w:t>
      </w:r>
    </w:p>
    <w:p>
      <w:pPr>
        <w:framePr w:w="2901"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办公地址：深圳市深南大道</w:t>
      </w:r>
    </w:p>
    <w:p>
      <w:pPr>
        <w:framePr w:w="290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4001</w:t>
      </w:r>
      <w:r>
        <w:rPr>
          <w:rFonts w:ascii="SKJVQB+å®ä½" w:hAnsi="SKJVQB+å®ä½" w:cs="SKJVQB+å®ä½"/>
          <w:color w:val="000000"/>
          <w:spacing w:val="0"/>
          <w:sz w:val="21"/>
        </w:rPr>
        <w:t xml:space="preserve">号时代金融中心  </w:t>
      </w:r>
      <w:r>
        <w:rPr>
          <w:rFonts w:ascii="Times New Roman"/>
          <w:color w:val="000000"/>
          <w:spacing w:val="0"/>
          <w:sz w:val="21"/>
        </w:rPr>
        <w:t>17</w:t>
      </w:r>
      <w:r>
        <w:rPr>
          <w:rFonts w:ascii="SKJVQB+å®ä½" w:hAnsi="SKJVQB+å®ä½" w:cs="SKJVQB+å®ä½"/>
          <w:color w:val="000000"/>
          <w:spacing w:val="0"/>
          <w:sz w:val="21"/>
        </w:rPr>
        <w:t>层</w:t>
      </w:r>
    </w:p>
    <w:p>
      <w:pPr>
        <w:framePr w:w="290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法定代表人：王作义</w:t>
      </w:r>
    </w:p>
    <w:p>
      <w:pPr>
        <w:framePr w:w="290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联系人：刘萍</w:t>
      </w:r>
    </w:p>
    <w:p>
      <w:pPr>
        <w:framePr w:w="2747" w:wrap="around" w:vAnchor="margin" w:hAnchor="text" w:x="7482" w:y="4296"/>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0755-83025693</w:t>
      </w:r>
    </w:p>
    <w:p>
      <w:pPr>
        <w:framePr w:w="2747" w:wrap="around" w:vAnchor="margin" w:hAnchor="text" w:x="7482" w:y="4296"/>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95372</w:t>
      </w:r>
    </w:p>
    <w:p>
      <w:pPr>
        <w:framePr w:w="3021"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www.jyzq.cn</w:t>
      </w:r>
    </w:p>
    <w:p>
      <w:pPr>
        <w:framePr w:w="3021" w:wrap="around" w:vAnchor="margin" w:hAnchor="text" w:x="7482" w:y="492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注册地址：广州市天河区珠江</w:t>
      </w:r>
    </w:p>
    <w:p>
      <w:pPr>
        <w:framePr w:w="3021"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11</w:t>
      </w:r>
      <w:r>
        <w:rPr>
          <w:rFonts w:ascii="SKJVQB+å®ä½" w:hAnsi="SKJVQB+å®ä½" w:cs="SKJVQB+å®ä½"/>
          <w:color w:val="000000"/>
          <w:spacing w:val="0"/>
          <w:sz w:val="21"/>
        </w:rPr>
        <w:t xml:space="preserve">号高德置地广场  </w:t>
      </w:r>
      <w:r>
        <w:rPr>
          <w:rFonts w:ascii="Times New Roman"/>
          <w:color w:val="000000"/>
          <w:spacing w:val="0"/>
          <w:sz w:val="21"/>
        </w:rPr>
        <w:t>F</w:t>
      </w:r>
      <w:r>
        <w:rPr>
          <w:rFonts w:ascii="SKJVQB+å®ä½" w:hAnsi="SKJVQB+å®ä½" w:cs="SKJVQB+å®ä½"/>
          <w:color w:val="000000"/>
          <w:spacing w:val="0"/>
          <w:sz w:val="21"/>
        </w:rPr>
        <w:t>栋</w:t>
      </w:r>
    </w:p>
    <w:p>
      <w:pPr>
        <w:framePr w:w="3021"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18</w:t>
      </w:r>
      <w:r>
        <w:rPr>
          <w:rFonts w:ascii="SKJVQB+å®ä½" w:hAnsi="SKJVQB+å®ä½" w:cs="SKJVQB+å®ä½"/>
          <w:color w:val="000000"/>
          <w:spacing w:val="0"/>
          <w:sz w:val="21"/>
        </w:rPr>
        <w:t>、</w:t>
      </w:r>
      <w:r>
        <w:rPr>
          <w:rFonts w:ascii="Times New Roman"/>
          <w:color w:val="000000"/>
          <w:spacing w:val="0"/>
          <w:sz w:val="21"/>
        </w:rPr>
        <w:t>19</w:t>
      </w:r>
      <w:r>
        <w:rPr>
          <w:rFonts w:ascii="SKJVQB+å®ä½" w:hAnsi="SKJVQB+å®ä½" w:cs="SKJVQB+å®ä½"/>
          <w:color w:val="000000"/>
          <w:spacing w:val="0"/>
          <w:sz w:val="21"/>
        </w:rPr>
        <w:t>层</w:t>
      </w:r>
    </w:p>
    <w:p>
      <w:pPr>
        <w:framePr w:w="526" w:wrap="around" w:vAnchor="margin" w:hAnchor="text" w:x="4213" w:y="524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48</w:t>
      </w:r>
    </w:p>
    <w:p>
      <w:pPr>
        <w:framePr w:w="2418" w:wrap="around" w:vAnchor="margin" w:hAnchor="text" w:x="4640" w:y="524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万联证券股份有限公司</w:t>
      </w:r>
    </w:p>
    <w:p>
      <w:pPr>
        <w:framePr w:w="3021" w:wrap="around" w:vAnchor="margin" w:hAnchor="text" w:x="7482"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办公地址：广州市天河区珠江</w:t>
      </w:r>
    </w:p>
    <w:p>
      <w:pPr>
        <w:framePr w:w="3021"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13</w:t>
      </w:r>
      <w:r>
        <w:rPr>
          <w:rFonts w:ascii="SKJVQB+å®ä½" w:hAnsi="SKJVQB+å®ä½" w:cs="SKJVQB+å®ä½"/>
          <w:color w:val="000000"/>
          <w:spacing w:val="0"/>
          <w:sz w:val="21"/>
        </w:rPr>
        <w:t xml:space="preserve">号高德置地广场  </w:t>
      </w:r>
      <w:r>
        <w:rPr>
          <w:rFonts w:ascii="Times New Roman"/>
          <w:color w:val="000000"/>
          <w:spacing w:val="0"/>
          <w:sz w:val="21"/>
        </w:rPr>
        <w:t>E</w:t>
      </w:r>
      <w:r>
        <w:rPr>
          <w:rFonts w:ascii="SKJVQB+å®ä½" w:hAnsi="SKJVQB+å®ä½" w:cs="SKJVQB+å®ä½"/>
          <w:color w:val="000000"/>
          <w:spacing w:val="0"/>
          <w:sz w:val="21"/>
        </w:rPr>
        <w:t>栋</w:t>
      </w:r>
    </w:p>
    <w:p>
      <w:pPr>
        <w:framePr w:w="3021" w:wrap="around" w:vAnchor="margin" w:hAnchor="text" w:x="7482"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12</w:t>
      </w:r>
      <w:r>
        <w:rPr>
          <w:rFonts w:ascii="SKJVQB+å®ä½" w:hAnsi="SKJVQB+å®ä½" w:cs="SKJVQB+å®ä½"/>
          <w:color w:val="000000"/>
          <w:spacing w:val="0"/>
          <w:sz w:val="21"/>
        </w:rPr>
        <w:t>层</w:t>
      </w:r>
    </w:p>
    <w:p>
      <w:pPr>
        <w:framePr w:w="2209"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法定代表人：罗钦城</w:t>
      </w:r>
    </w:p>
    <w:p>
      <w:pPr>
        <w:framePr w:w="2209" w:wrap="around" w:vAnchor="margin" w:hAnchor="text" w:x="7482" w:y="71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w:t>
      </w:r>
      <w:r>
        <w:rPr>
          <w:rFonts w:ascii="Times New Roman"/>
          <w:color w:val="000000"/>
          <w:spacing w:val="0"/>
          <w:sz w:val="21"/>
        </w:rPr>
        <w:t>:</w:t>
      </w:r>
      <w:r>
        <w:rPr>
          <w:rFonts w:ascii="SKJVQB+å®ä½" w:hAnsi="SKJVQB+å®ä½" w:cs="SKJVQB+å®ä½"/>
          <w:color w:val="000000"/>
          <w:spacing w:val="0"/>
          <w:sz w:val="21"/>
        </w:rPr>
        <w:t>甘蕾</w:t>
      </w:r>
    </w:p>
    <w:p>
      <w:pPr>
        <w:framePr w:w="2626"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020-38286026</w:t>
      </w:r>
    </w:p>
    <w:p>
      <w:pPr>
        <w:framePr w:w="2626"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:95322</w:t>
      </w:r>
    </w:p>
    <w:p>
      <w:pPr>
        <w:framePr w:w="3020"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www.wlzq.cn</w:t>
      </w:r>
    </w:p>
    <w:p>
      <w:pPr>
        <w:framePr w:w="3020" w:wrap="around" w:vAnchor="margin" w:hAnchor="text" w:x="7482" w:y="836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注册地址：成都市东城根上街</w:t>
      </w:r>
    </w:p>
    <w:p>
      <w:pPr>
        <w:framePr w:w="3020"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95</w:t>
      </w:r>
      <w:r>
        <w:rPr>
          <w:rFonts w:ascii="SKJVQB+å®ä½" w:hAnsi="SKJVQB+å®ä½" w:cs="SKJVQB+å®ä½"/>
          <w:color w:val="000000"/>
          <w:spacing w:val="0"/>
          <w:sz w:val="21"/>
        </w:rPr>
        <w:t>号</w:t>
      </w:r>
    </w:p>
    <w:p>
      <w:pPr>
        <w:framePr w:w="526" w:wrap="around" w:vAnchor="margin" w:hAnchor="text" w:x="4213" w:y="868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49</w:t>
      </w:r>
    </w:p>
    <w:p>
      <w:pPr>
        <w:framePr w:w="2418" w:wrap="around" w:vAnchor="margin" w:hAnchor="text" w:x="4640" w:y="86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国金证券股份有限公司</w:t>
      </w:r>
    </w:p>
    <w:p>
      <w:pPr>
        <w:framePr w:w="3020" w:wrap="around" w:vAnchor="margin" w:hAnchor="text" w:x="7482"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办公地址：成都市东城根上街</w:t>
      </w:r>
    </w:p>
    <w:p>
      <w:pPr>
        <w:framePr w:w="3020" w:wrap="around" w:vAnchor="margin" w:hAnchor="text" w:x="7482" w:y="93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95</w:t>
      </w:r>
      <w:r>
        <w:rPr>
          <w:rFonts w:ascii="SKJVQB+å®ä½" w:hAnsi="SKJVQB+å®ä½" w:cs="SKJVQB+å®ä½"/>
          <w:color w:val="000000"/>
          <w:spacing w:val="0"/>
          <w:sz w:val="21"/>
        </w:rPr>
        <w:t>号</w:t>
      </w:r>
    </w:p>
    <w:p>
      <w:pPr>
        <w:framePr w:w="2869" w:wrap="around" w:vAnchor="margin" w:hAnchor="text" w:x="7482"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法定代表人：冉云</w:t>
      </w:r>
    </w:p>
    <w:p>
      <w:pPr>
        <w:framePr w:w="2869" w:wrap="around" w:vAnchor="margin" w:hAnchor="text" w:x="7482" w:y="994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联系人：刘婧漪、贾鹏</w:t>
      </w:r>
    </w:p>
    <w:p>
      <w:pPr>
        <w:framePr w:w="2869" w:wrap="around" w:vAnchor="margin" w:hAnchor="text" w:x="7482" w:y="994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028-86690057</w:t>
      </w:r>
      <w:r>
        <w:rPr>
          <w:rFonts w:ascii="SKJVQB+å®ä½" w:hAnsi="SKJVQB+å®ä½" w:cs="SKJVQB+å®ä½"/>
          <w:color w:val="000000"/>
          <w:spacing w:val="0"/>
          <w:sz w:val="21"/>
        </w:rPr>
        <w:t>、</w:t>
      </w:r>
    </w:p>
    <w:p>
      <w:pPr>
        <w:framePr w:w="2869" w:wrap="around" w:vAnchor="margin" w:hAnchor="text" w:x="7482" w:y="9941"/>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028-86690058</w:t>
      </w:r>
    </w:p>
    <w:p>
      <w:pPr>
        <w:framePr w:w="2178"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028-86690126</w:t>
      </w:r>
    </w:p>
    <w:p>
      <w:pPr>
        <w:framePr w:w="2178"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95310</w:t>
      </w:r>
    </w:p>
    <w:p>
      <w:pPr>
        <w:framePr w:w="3021" w:wrap="around" w:vAnchor="margin" w:hAnchor="text" w:x="7482" w:y="1180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www.gjzq.com.cn</w:t>
      </w:r>
    </w:p>
    <w:p>
      <w:pPr>
        <w:framePr w:w="3021" w:wrap="around" w:vAnchor="margin" w:hAnchor="text" w:x="7482" w:y="1180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注册地址：长沙市芙蓉中路二</w:t>
      </w:r>
    </w:p>
    <w:p>
      <w:pPr>
        <w:framePr w:w="3021" w:wrap="around" w:vAnchor="margin" w:hAnchor="text" w:x="7482" w:y="1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段 </w:t>
      </w:r>
      <w:r>
        <w:rPr>
          <w:rFonts w:ascii="Times New Roman"/>
          <w:color w:val="000000"/>
          <w:spacing w:val="0"/>
          <w:sz w:val="21"/>
        </w:rPr>
        <w:t>80</w:t>
      </w:r>
      <w:r>
        <w:rPr>
          <w:rFonts w:ascii="SKJVQB+å®ä½" w:hAnsi="SKJVQB+å®ä½" w:cs="SKJVQB+å®ä½"/>
          <w:color w:val="000000"/>
          <w:spacing w:val="0"/>
          <w:sz w:val="21"/>
        </w:rPr>
        <w:t xml:space="preserve">号顺天国际财富中心 </w:t>
      </w:r>
      <w:r>
        <w:rPr>
          <w:rFonts w:ascii="Times New Roman"/>
          <w:color w:val="000000"/>
          <w:spacing w:val="0"/>
          <w:sz w:val="21"/>
        </w:rPr>
        <w:t xml:space="preserve"> 26</w:t>
      </w:r>
    </w:p>
    <w:p>
      <w:pPr>
        <w:framePr w:w="3021" w:wrap="around" w:vAnchor="margin" w:hAnchor="text" w:x="7482" w:y="1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526" w:wrap="around" w:vAnchor="margin" w:hAnchor="text" w:x="4213" w:y="1212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50</w:t>
      </w:r>
    </w:p>
    <w:p>
      <w:pPr>
        <w:framePr w:w="2418" w:wrap="around" w:vAnchor="margin" w:hAnchor="text" w:x="4640"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财富证券有限责任公司</w:t>
      </w:r>
    </w:p>
    <w:p>
      <w:pPr>
        <w:framePr w:w="3021" w:wrap="around" w:vAnchor="margin" w:hAnchor="text" w:x="7482" w:y="130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办公地址：长沙市芙蓉中路二</w:t>
      </w:r>
    </w:p>
    <w:p>
      <w:pPr>
        <w:framePr w:w="3021" w:wrap="around" w:vAnchor="margin" w:hAnchor="text" w:x="7482" w:y="130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段 </w:t>
      </w:r>
      <w:r>
        <w:rPr>
          <w:rFonts w:ascii="Times New Roman"/>
          <w:color w:val="000000"/>
          <w:spacing w:val="0"/>
          <w:sz w:val="21"/>
        </w:rPr>
        <w:t>80</w:t>
      </w:r>
      <w:r>
        <w:rPr>
          <w:rFonts w:ascii="SKJVQB+å®ä½" w:hAnsi="SKJVQB+å®ä½" w:cs="SKJVQB+å®ä½"/>
          <w:color w:val="000000"/>
          <w:spacing w:val="0"/>
          <w:sz w:val="21"/>
        </w:rPr>
        <w:t xml:space="preserve">号顺天国际财富中心 </w:t>
      </w:r>
      <w:r>
        <w:rPr>
          <w:rFonts w:ascii="Times New Roman"/>
          <w:color w:val="000000"/>
          <w:spacing w:val="0"/>
          <w:sz w:val="21"/>
        </w:rPr>
        <w:t xml:space="preserve"> 26</w:t>
      </w:r>
    </w:p>
    <w:p>
      <w:pPr>
        <w:framePr w:w="3021"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209"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法定代表人：刘宛晨</w:t>
      </w:r>
    </w:p>
    <w:p>
      <w:pPr>
        <w:framePr w:w="2209"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联系人：郭静</w:t>
      </w:r>
    </w:p>
    <w:p>
      <w:pPr>
        <w:framePr w:w="2747"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0731-84403347</w:t>
      </w:r>
    </w:p>
    <w:p>
      <w:pPr>
        <w:framePr w:w="2747"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客服电话：  </w:t>
      </w:r>
      <w:r>
        <w:rPr>
          <w:rFonts w:ascii="Times New Roman"/>
          <w:color w:val="000000"/>
          <w:spacing w:val="0"/>
          <w:sz w:val="21"/>
        </w:rPr>
        <w:t>95317</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91</w:t>
      </w:r>
    </w:p>
    <w:p>
      <w:pPr>
        <w:spacing w:before="0" w:after="0" w:line="0" w:lineRule="exact"/>
        <w:ind w:left="0" w:right="0"/>
        <w:jc w:val="left"/>
        <w:rPr>
          <w:rFonts w:ascii="Arial"/>
          <w:color w:val="FF0000"/>
          <w:spacing w:val="0"/>
          <w:sz w:val="2"/>
        </w:rPr>
      </w:pPr>
      <w:r>
        <w:pict>
          <v:shape id="_x0000189" o:spid="_x0000_s121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69" o:title=""/>
            <o:lock v:ext="edit" aspectratio="t"/>
          </v:shape>
        </w:pict>
      </w:r>
      <w:r>
        <w:pict>
          <v:shape id="_x0000190" o:spid="_x0000_s1216"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7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067"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:www.cfzq.com</w:t>
      </w:r>
    </w:p>
    <w:p>
      <w:pPr>
        <w:framePr w:w="526" w:wrap="around" w:vAnchor="margin" w:hAnchor="text" w:x="4213"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51</w:t>
      </w:r>
    </w:p>
    <w:p>
      <w:pPr>
        <w:framePr w:w="2418" w:wrap="around" w:vAnchor="margin" w:hAnchor="text" w:x="4640"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华龙证券股份有限公司</w:t>
      </w:r>
    </w:p>
    <w:p>
      <w:pPr>
        <w:framePr w:w="3020" w:wrap="around" w:vAnchor="margin" w:hAnchor="text" w:x="7482"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注册地址：兰州市城关区东岗</w:t>
      </w:r>
    </w:p>
    <w:p>
      <w:pPr>
        <w:framePr w:w="3020" w:wrap="around" w:vAnchor="margin" w:hAnchor="text" w:x="7482" w:y="180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638</w:t>
      </w:r>
      <w:r>
        <w:rPr>
          <w:rFonts w:ascii="SKJVQB+å®ä½" w:hAnsi="SKJVQB+å®ä½" w:cs="SKJVQB+å®ä½"/>
          <w:color w:val="000000"/>
          <w:spacing w:val="0"/>
          <w:sz w:val="21"/>
        </w:rPr>
        <w:t xml:space="preserve">号兰州财富中心  </w:t>
      </w:r>
      <w:r>
        <w:rPr>
          <w:rFonts w:ascii="Times New Roman"/>
          <w:color w:val="000000"/>
          <w:spacing w:val="0"/>
          <w:sz w:val="21"/>
        </w:rPr>
        <w:t xml:space="preserve"> 21</w:t>
      </w:r>
    </w:p>
    <w:p>
      <w:pPr>
        <w:framePr w:w="3020" w:wrap="around" w:vAnchor="margin" w:hAnchor="text" w:x="7482" w:y="18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3020" w:wrap="around" w:vAnchor="margin" w:hAnchor="text" w:x="7482" w:y="274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办公地址：兰州市城关区东岗</w:t>
      </w:r>
    </w:p>
    <w:p>
      <w:pPr>
        <w:framePr w:w="3020" w:wrap="around" w:vAnchor="margin" w:hAnchor="text" w:x="7482" w:y="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 </w:t>
      </w:r>
      <w:r>
        <w:rPr>
          <w:rFonts w:ascii="Times New Roman"/>
          <w:color w:val="000000"/>
          <w:spacing w:val="0"/>
          <w:sz w:val="21"/>
        </w:rPr>
        <w:t>638</w:t>
      </w:r>
      <w:r>
        <w:rPr>
          <w:rFonts w:ascii="SKJVQB+å®ä½" w:hAnsi="SKJVQB+å®ä½" w:cs="SKJVQB+å®ä½"/>
          <w:color w:val="000000"/>
          <w:spacing w:val="0"/>
          <w:sz w:val="21"/>
        </w:rPr>
        <w:t xml:space="preserve">号  </w:t>
      </w:r>
      <w:r>
        <w:rPr>
          <w:rFonts w:ascii="Times New Roman"/>
          <w:color w:val="000000"/>
          <w:spacing w:val="0"/>
          <w:sz w:val="21"/>
        </w:rPr>
        <w:t>19</w:t>
      </w:r>
      <w:r>
        <w:rPr>
          <w:rFonts w:ascii="SKJVQB+å®ä½" w:hAnsi="SKJVQB+å®ä½" w:cs="SKJVQB+å®ä½"/>
          <w:color w:val="000000"/>
          <w:spacing w:val="0"/>
          <w:sz w:val="21"/>
        </w:rPr>
        <w:t>楼</w:t>
      </w:r>
    </w:p>
    <w:p>
      <w:pPr>
        <w:framePr w:w="2209" w:wrap="around" w:vAnchor="margin" w:hAnchor="text" w:x="7482" w:y="33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法定代表人：陈牧原</w:t>
      </w:r>
    </w:p>
    <w:p>
      <w:pPr>
        <w:framePr w:w="2209" w:wrap="around" w:vAnchor="margin" w:hAnchor="text" w:x="7482" w:y="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联系人：范坤</w:t>
      </w:r>
    </w:p>
    <w:p>
      <w:pPr>
        <w:framePr w:w="2178" w:wrap="around" w:vAnchor="margin" w:hAnchor="text" w:x="7482" w:y="398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0931-4890208</w:t>
      </w:r>
    </w:p>
    <w:p>
      <w:pPr>
        <w:framePr w:w="2178" w:wrap="around" w:vAnchor="margin" w:hAnchor="text" w:x="7482" w:y="398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0931-4890628</w:t>
      </w:r>
    </w:p>
    <w:p>
      <w:pPr>
        <w:framePr w:w="2178" w:wrap="around" w:vAnchor="margin" w:hAnchor="text" w:x="7482" w:y="3984"/>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95368</w:t>
      </w:r>
    </w:p>
    <w:p>
      <w:pPr>
        <w:framePr w:w="3020"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www.hlzq.com</w:t>
      </w:r>
    </w:p>
    <w:p>
      <w:pPr>
        <w:framePr w:w="3020" w:wrap="around" w:vAnchor="margin" w:hAnchor="text" w:x="7482" w:y="492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注册地址：深圳市福田区莲花</w:t>
      </w:r>
    </w:p>
    <w:p>
      <w:pPr>
        <w:framePr w:w="3020"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街道福中社区深南大道 </w:t>
      </w:r>
      <w:r>
        <w:rPr>
          <w:rFonts w:ascii="Times New Roman"/>
          <w:color w:val="000000"/>
          <w:spacing w:val="0"/>
          <w:sz w:val="21"/>
        </w:rPr>
        <w:t xml:space="preserve"> 2008</w:t>
      </w:r>
    </w:p>
    <w:p>
      <w:pPr>
        <w:framePr w:w="3020" w:wrap="around" w:vAnchor="margin" w:hAnchor="text" w:x="7482" w:y="492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号中国凤凰大厦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20C-1</w:t>
      </w:r>
    </w:p>
    <w:p>
      <w:pPr>
        <w:framePr w:w="3020" w:wrap="around" w:vAnchor="margin" w:hAnchor="text" w:x="7482" w:y="49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房</w:t>
      </w:r>
    </w:p>
    <w:p>
      <w:pPr>
        <w:framePr w:w="526" w:wrap="around" w:vAnchor="margin" w:hAnchor="text" w:x="4213" w:y="524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52</w:t>
      </w:r>
    </w:p>
    <w:p>
      <w:pPr>
        <w:framePr w:w="2418" w:wrap="around" w:vAnchor="margin" w:hAnchor="text" w:x="4640" w:y="524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华鑫证券有限责任公司</w:t>
      </w:r>
    </w:p>
    <w:p>
      <w:pPr>
        <w:framePr w:w="3020" w:wrap="around" w:vAnchor="margin" w:hAnchor="text" w:x="7482"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办公地址：上海市徐汇区宛平</w:t>
      </w:r>
    </w:p>
    <w:p>
      <w:pPr>
        <w:framePr w:w="3020" w:wrap="around" w:vAnchor="margin" w:hAnchor="text" w:x="7482" w:y="6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w:t>
      </w:r>
      <w:r>
        <w:rPr>
          <w:rFonts w:ascii="SKJVQB+å®ä½" w:hAnsi="SKJVQB+å®ä½" w:cs="SKJVQB+å®ä½"/>
          <w:color w:val="000000"/>
          <w:spacing w:val="0"/>
          <w:sz w:val="21"/>
        </w:rPr>
        <w:t>号</w:t>
      </w:r>
    </w:p>
    <w:p>
      <w:pPr>
        <w:framePr w:w="1998" w:wrap="around" w:vAnchor="margin" w:hAnchor="text" w:x="7482" w:y="71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法定代表人：俞洋</w:t>
      </w:r>
    </w:p>
    <w:p>
      <w:pPr>
        <w:framePr w:w="1789"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联系人：杨莉娟</w:t>
      </w:r>
    </w:p>
    <w:p>
      <w:pPr>
        <w:framePr w:w="3266" w:wrap="around" w:vAnchor="margin" w:hAnchor="text" w:x="7482"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021-54967552</w:t>
      </w:r>
    </w:p>
    <w:p>
      <w:pPr>
        <w:framePr w:w="3266"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021-54967032</w:t>
      </w:r>
    </w:p>
    <w:p>
      <w:pPr>
        <w:framePr w:w="3266"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95323</w:t>
      </w:r>
      <w:r>
        <w:rPr>
          <w:rFonts w:ascii="SKJVQB+å®ä½" w:hAnsi="SKJVQB+å®ä½" w:cs="SKJVQB+å®ä½"/>
          <w:color w:val="000000"/>
          <w:spacing w:val="0"/>
          <w:sz w:val="21"/>
        </w:rPr>
        <w:t>，</w:t>
      </w:r>
      <w:r>
        <w:rPr>
          <w:rFonts w:ascii="Times New Roman"/>
          <w:color w:val="000000"/>
          <w:spacing w:val="0"/>
          <w:sz w:val="21"/>
        </w:rPr>
        <w:t>4001099918</w:t>
      </w:r>
    </w:p>
    <w:p>
      <w:pPr>
        <w:framePr w:w="3266" w:wrap="around" w:vAnchor="margin" w:hAnchor="text" w:x="7482"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www.cfsc.com.cn</w:t>
      </w:r>
    </w:p>
    <w:p>
      <w:pPr>
        <w:framePr w:w="3266" w:wrap="around" w:vAnchor="margin" w:hAnchor="text" w:x="7482" w:y="773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注册地址：沈阳市和平区光荣</w:t>
      </w:r>
    </w:p>
    <w:p>
      <w:pPr>
        <w:framePr w:w="3266" w:wrap="around" w:vAnchor="margin" w:hAnchor="text" w:x="7482"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23</w:t>
      </w:r>
      <w:r>
        <w:rPr>
          <w:rFonts w:ascii="SKJVQB+å®ä½" w:hAnsi="SKJVQB+å®ä½" w:cs="SKJVQB+å®ä½"/>
          <w:color w:val="000000"/>
          <w:spacing w:val="0"/>
          <w:sz w:val="21"/>
        </w:rPr>
        <w:t>甲</w:t>
      </w:r>
    </w:p>
    <w:p>
      <w:pPr>
        <w:framePr w:w="526" w:wrap="around" w:vAnchor="margin" w:hAnchor="text" w:x="4213" w:y="89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53</w:t>
      </w:r>
    </w:p>
    <w:p>
      <w:pPr>
        <w:framePr w:w="2418" w:wrap="around" w:vAnchor="margin" w:hAnchor="text" w:x="4640" w:y="90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中天证券股份有限公司</w:t>
      </w:r>
    </w:p>
    <w:p>
      <w:pPr>
        <w:framePr w:w="3020" w:wrap="around" w:vAnchor="margin" w:hAnchor="text" w:x="7482"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办公地址：沈阳市和平区南五</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马路</w:t>
      </w:r>
      <w:r>
        <w:rPr>
          <w:rFonts w:ascii="Times New Roman"/>
          <w:color w:val="000000"/>
          <w:spacing w:val="0"/>
          <w:sz w:val="21"/>
        </w:rPr>
        <w:t>121</w:t>
      </w:r>
      <w:r>
        <w:rPr>
          <w:rFonts w:ascii="SKJVQB+å®ä½" w:hAnsi="SKJVQB+å®ä½" w:cs="SKJVQB+å®ä½"/>
          <w:color w:val="000000"/>
          <w:spacing w:val="0"/>
          <w:sz w:val="21"/>
        </w:rPr>
        <w:t>号万丽城晶座</w:t>
      </w:r>
      <w:r>
        <w:rPr>
          <w:rFonts w:ascii="Times New Roman"/>
          <w:color w:val="000000"/>
          <w:spacing w:val="0"/>
          <w:sz w:val="21"/>
        </w:rPr>
        <w:t>4</w:t>
      </w:r>
      <w:r>
        <w:rPr>
          <w:rFonts w:ascii="SKJVQB+å®ä½" w:hAnsi="SKJVQB+å®ä½" w:cs="SKJVQB+å®ä½"/>
          <w:color w:val="000000"/>
          <w:spacing w:val="0"/>
          <w:sz w:val="21"/>
        </w:rPr>
        <w:t>楼中</w:t>
      </w:r>
    </w:p>
    <w:p>
      <w:pPr>
        <w:framePr w:w="3020" w:wrap="around" w:vAnchor="margin" w:hAnchor="text" w:x="7482"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天证券经纪事业部</w:t>
      </w:r>
    </w:p>
    <w:p>
      <w:pPr>
        <w:framePr w:w="2209" w:wrap="around" w:vAnchor="margin" w:hAnchor="text" w:x="7482"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法定代表人：马功勋</w:t>
      </w:r>
    </w:p>
    <w:p>
      <w:pPr>
        <w:framePr w:w="2209" w:wrap="around" w:vAnchor="margin" w:hAnchor="text" w:x="7482"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联系人：李泓灏</w:t>
      </w:r>
    </w:p>
    <w:p>
      <w:pPr>
        <w:framePr w:w="3021"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024-23280806</w:t>
      </w:r>
    </w:p>
    <w:p>
      <w:pPr>
        <w:framePr w:w="3021"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024-95346</w:t>
      </w:r>
    </w:p>
    <w:p>
      <w:pPr>
        <w:framePr w:w="3021"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http://www.iztzq.com</w:t>
      </w:r>
    </w:p>
    <w:p>
      <w:pPr>
        <w:framePr w:w="3021" w:wrap="around" w:vAnchor="margin" w:hAnchor="text" w:x="7482" w:y="1118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注册地址：深圳市福田区金田</w:t>
      </w:r>
    </w:p>
    <w:p>
      <w:pPr>
        <w:framePr w:w="3021"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4028</w:t>
      </w:r>
      <w:r>
        <w:rPr>
          <w:rFonts w:ascii="SKJVQB+å®ä½" w:hAnsi="SKJVQB+å®ä½" w:cs="SKJVQB+å®ä½"/>
          <w:color w:val="000000"/>
          <w:spacing w:val="0"/>
          <w:sz w:val="21"/>
        </w:rPr>
        <w:t>号荣超经贸中心办公</w:t>
      </w:r>
    </w:p>
    <w:p>
      <w:pPr>
        <w:framePr w:w="3021" w:wrap="around" w:vAnchor="margin" w:hAnchor="text" w:x="7482" w:y="111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47</w:t>
      </w:r>
      <w:r>
        <w:rPr>
          <w:rFonts w:ascii="SKJVQB+å®ä½" w:hAnsi="SKJVQB+å®ä½" w:cs="SKJVQB+å®ä½"/>
          <w:color w:val="000000"/>
          <w:spacing w:val="0"/>
          <w:sz w:val="21"/>
        </w:rPr>
        <w:t xml:space="preserve">层  </w:t>
      </w:r>
      <w:r>
        <w:rPr>
          <w:rFonts w:ascii="Times New Roman"/>
          <w:color w:val="000000"/>
          <w:spacing w:val="0"/>
          <w:sz w:val="21"/>
        </w:rPr>
        <w:t>01</w:t>
      </w:r>
      <w:r>
        <w:rPr>
          <w:rFonts w:ascii="SKJVQB+å®ä½" w:hAnsi="SKJVQB+å®ä½" w:cs="SKJVQB+å®ä½"/>
          <w:color w:val="000000"/>
          <w:spacing w:val="0"/>
          <w:sz w:val="21"/>
        </w:rPr>
        <w:t>单元</w:t>
      </w:r>
    </w:p>
    <w:p>
      <w:pPr>
        <w:framePr w:w="526" w:wrap="around" w:vAnchor="margin" w:hAnchor="text" w:x="4213" w:y="1212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54</w:t>
      </w:r>
    </w:p>
    <w:p>
      <w:pPr>
        <w:framePr w:w="1998" w:wrap="around" w:vAnchor="margin" w:hAnchor="text" w:x="4640" w:y="1213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五矿证券有限公司</w:t>
      </w:r>
    </w:p>
    <w:p>
      <w:pPr>
        <w:framePr w:w="3020" w:wrap="around" w:vAnchor="margin" w:hAnchor="text" w:x="7482" w:y="130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办公地址：深圳市福田区金田</w:t>
      </w:r>
    </w:p>
    <w:p>
      <w:pPr>
        <w:framePr w:w="3020"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4028</w:t>
      </w:r>
      <w:r>
        <w:rPr>
          <w:rFonts w:ascii="SKJVQB+å®ä½" w:hAnsi="SKJVQB+å®ä½" w:cs="SKJVQB+å®ä½"/>
          <w:color w:val="000000"/>
          <w:spacing w:val="0"/>
          <w:sz w:val="21"/>
        </w:rPr>
        <w:t>号荣超经贸中心办公</w:t>
      </w:r>
    </w:p>
    <w:p>
      <w:pPr>
        <w:framePr w:w="3020" w:wrap="around" w:vAnchor="margin" w:hAnchor="text" w:x="7482" w:y="130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47</w:t>
      </w:r>
      <w:r>
        <w:rPr>
          <w:rFonts w:ascii="SKJVQB+å®ä½" w:hAnsi="SKJVQB+å®ä½" w:cs="SKJVQB+å®ä½"/>
          <w:color w:val="000000"/>
          <w:spacing w:val="0"/>
          <w:sz w:val="21"/>
        </w:rPr>
        <w:t xml:space="preserve">层  </w:t>
      </w:r>
      <w:r>
        <w:rPr>
          <w:rFonts w:ascii="Times New Roman"/>
          <w:color w:val="000000"/>
          <w:spacing w:val="0"/>
          <w:sz w:val="21"/>
        </w:rPr>
        <w:t>01</w:t>
      </w:r>
      <w:r>
        <w:rPr>
          <w:rFonts w:ascii="SKJVQB+å®ä½" w:hAnsi="SKJVQB+å®ä½" w:cs="SKJVQB+å®ä½"/>
          <w:color w:val="000000"/>
          <w:spacing w:val="0"/>
          <w:sz w:val="21"/>
        </w:rPr>
        <w:t>单元</w:t>
      </w:r>
    </w:p>
    <w:p>
      <w:pPr>
        <w:framePr w:w="2209"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法定代表人：赵立功</w:t>
      </w:r>
    </w:p>
    <w:p>
      <w:pPr>
        <w:framePr w:w="2209"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联系人：马国栋</w:t>
      </w:r>
    </w:p>
    <w:p>
      <w:pPr>
        <w:framePr w:w="2284"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0755-82560892</w:t>
      </w:r>
    </w:p>
    <w:p>
      <w:pPr>
        <w:framePr w:w="2284"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0755-82545500</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92</w:t>
      </w:r>
    </w:p>
    <w:p>
      <w:pPr>
        <w:spacing w:before="0" w:after="0" w:line="0" w:lineRule="exact"/>
        <w:ind w:left="0" w:right="0"/>
        <w:jc w:val="left"/>
        <w:rPr>
          <w:rFonts w:ascii="Arial"/>
          <w:color w:val="FF0000"/>
          <w:spacing w:val="0"/>
          <w:sz w:val="2"/>
        </w:rPr>
      </w:pPr>
      <w:r>
        <w:pict>
          <v:shape id="_x0000191" o:spid="_x0000_s121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71" o:title=""/>
            <o:lock v:ext="edit" aspectratio="t"/>
          </v:shape>
        </w:pict>
      </w:r>
      <w:r>
        <w:pict>
          <v:shape id="_x0000192" o:spid="_x0000_s121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7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82"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40018-40028</w:t>
      </w:r>
    </w:p>
    <w:p>
      <w:pPr>
        <w:framePr w:w="2582"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www.wkzq.com.cn</w:t>
      </w:r>
    </w:p>
    <w:p>
      <w:pPr>
        <w:framePr w:w="526" w:wrap="around" w:vAnchor="margin" w:hAnchor="text" w:x="4213" w:y="21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55</w:t>
      </w:r>
    </w:p>
    <w:p>
      <w:pPr>
        <w:framePr w:w="2418" w:wrap="around" w:vAnchor="margin" w:hAnchor="text" w:x="4640"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天相投资顾问有限公司</w:t>
      </w:r>
    </w:p>
    <w:p>
      <w:pPr>
        <w:framePr w:w="3020" w:wrap="around" w:vAnchor="margin" w:hAnchor="text" w:x="7482"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注册地址：北京市西城区金融</w:t>
      </w:r>
    </w:p>
    <w:p>
      <w:pPr>
        <w:framePr w:w="3020" w:wrap="around" w:vAnchor="margin" w:hAnchor="text" w:x="7482" w:y="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19</w:t>
      </w:r>
      <w:r>
        <w:rPr>
          <w:rFonts w:ascii="SKJVQB+å®ä½" w:hAnsi="SKJVQB+å®ä½" w:cs="SKJVQB+å®ä½"/>
          <w:color w:val="000000"/>
          <w:spacing w:val="0"/>
          <w:sz w:val="21"/>
        </w:rPr>
        <w:t xml:space="preserve">号富凯大厦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 xml:space="preserve"> 701</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办公地址：北京市西城区新街</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口外大街 </w:t>
      </w:r>
      <w:r>
        <w:rPr>
          <w:rFonts w:ascii="Times New Roman"/>
          <w:color w:val="000000"/>
          <w:spacing w:val="0"/>
          <w:sz w:val="21"/>
        </w:rPr>
        <w:t>28</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法定代表人：林义相</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联系人：谭磊</w:t>
      </w:r>
    </w:p>
    <w:p>
      <w:pPr>
        <w:framePr w:w="2626" w:wrap="around" w:vAnchor="margin" w:hAnchor="text" w:x="7482" w:y="398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010-66045678</w:t>
      </w:r>
    </w:p>
    <w:p>
      <w:pPr>
        <w:framePr w:w="2626" w:wrap="around" w:vAnchor="margin" w:hAnchor="text" w:x="7482" w:y="398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010-66045518</w:t>
      </w:r>
    </w:p>
    <w:p>
      <w:pPr>
        <w:framePr w:w="2847"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http://www.txsec.com</w:t>
      </w:r>
    </w:p>
    <w:p>
      <w:pPr>
        <w:framePr w:w="2847" w:wrap="around" w:vAnchor="margin" w:hAnchor="text" w:x="7482" w:y="46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公司基金网网址：</w:t>
      </w:r>
    </w:p>
    <w:p>
      <w:pPr>
        <w:framePr w:w="2112" w:wrap="around" w:vAnchor="margin" w:hAnchor="text" w:x="7482" w:y="523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http://jijin.txsec.com/</w:t>
      </w:r>
    </w:p>
    <w:p>
      <w:pPr>
        <w:framePr w:w="526" w:wrap="around" w:vAnchor="margin" w:hAnchor="text" w:x="4213" w:y="555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56</w:t>
      </w:r>
    </w:p>
    <w:p>
      <w:pPr>
        <w:framePr w:w="2418" w:wrap="around" w:vAnchor="margin" w:hAnchor="text" w:x="4746"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粤开证券股份有限公司</w:t>
      </w:r>
    </w:p>
    <w:p>
      <w:pPr>
        <w:framePr w:w="3021" w:wrap="around" w:vAnchor="margin" w:hAnchor="text" w:x="7482" w:y="5561"/>
        <w:widowControl w:val="0"/>
        <w:autoSpaceDE w:val="0"/>
        <w:autoSpaceDN w:val="0"/>
        <w:spacing w:before="0" w:after="0" w:line="211" w:lineRule="exact"/>
        <w:ind w:left="106" w:right="0"/>
        <w:jc w:val="left"/>
        <w:rPr>
          <w:rFonts w:ascii="SKJVQB+å®ä½" w:hAnsi="SKJVQB+å®ä½" w:cs="SKJVQB+å®ä½"/>
          <w:color w:val="000000"/>
          <w:spacing w:val="0"/>
          <w:sz w:val="21"/>
        </w:rPr>
      </w:pPr>
      <w:r>
        <w:rPr>
          <w:rFonts w:ascii="SKJVQB+å®ä½" w:hAnsi="SKJVQB+å®ä½" w:cs="SKJVQB+å®ä½"/>
          <w:color w:val="000000"/>
          <w:spacing w:val="0"/>
          <w:sz w:val="21"/>
        </w:rPr>
        <w:t>注册地址：惠州市江北东江</w:t>
      </w:r>
    </w:p>
    <w:p>
      <w:pPr>
        <w:framePr w:w="3021"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55</w:t>
      </w:r>
      <w:r>
        <w:rPr>
          <w:rFonts w:ascii="SKJVQB+å®ä½" w:hAnsi="SKJVQB+å®ä½" w:cs="SKJVQB+å®ä½"/>
          <w:color w:val="000000"/>
          <w:spacing w:val="0"/>
          <w:sz w:val="21"/>
        </w:rPr>
        <w:t>号广播电视新闻中心</w:t>
      </w:r>
    </w:p>
    <w:p>
      <w:pPr>
        <w:framePr w:w="3021"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西面一层大堂和三、四层</w:t>
      </w:r>
    </w:p>
    <w:p>
      <w:pPr>
        <w:framePr w:w="3021" w:wrap="around" w:vAnchor="margin" w:hAnchor="text" w:x="7482" w:y="5561"/>
        <w:widowControl w:val="0"/>
        <w:autoSpaceDE w:val="0"/>
        <w:autoSpaceDN w:val="0"/>
        <w:spacing w:before="0" w:after="0" w:line="312" w:lineRule="exact"/>
        <w:ind w:left="106"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办公地址：北京市朝阳区红</w:t>
      </w:r>
    </w:p>
    <w:p>
      <w:pPr>
        <w:framePr w:w="3021" w:wrap="around" w:vAnchor="margin" w:hAnchor="text" w:x="7482"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军营南路天畅园 </w:t>
      </w:r>
      <w:r>
        <w:rPr>
          <w:rFonts w:ascii="Times New Roman"/>
          <w:color w:val="000000"/>
          <w:spacing w:val="0"/>
          <w:sz w:val="21"/>
        </w:rPr>
        <w:t>6</w:t>
      </w:r>
      <w:r>
        <w:rPr>
          <w:rFonts w:ascii="SKJVQB+å®ä½" w:hAnsi="SKJVQB+å®ä½" w:cs="SKJVQB+å®ä½"/>
          <w:color w:val="000000"/>
          <w:spacing w:val="0"/>
          <w:sz w:val="21"/>
        </w:rPr>
        <w:t>号楼</w:t>
      </w:r>
    </w:p>
    <w:p>
      <w:pPr>
        <w:framePr w:w="3021" w:wrap="around" w:vAnchor="margin" w:hAnchor="text" w:x="7482" w:y="5561"/>
        <w:widowControl w:val="0"/>
        <w:autoSpaceDE w:val="0"/>
        <w:autoSpaceDN w:val="0"/>
        <w:spacing w:before="0" w:after="0" w:line="312" w:lineRule="exact"/>
        <w:ind w:left="106"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法定代表人：严亦斌</w:t>
      </w:r>
    </w:p>
    <w:p>
      <w:pPr>
        <w:framePr w:w="3021" w:wrap="around" w:vAnchor="margin" w:hAnchor="text" w:x="7482" w:y="5561"/>
        <w:widowControl w:val="0"/>
        <w:autoSpaceDE w:val="0"/>
        <w:autoSpaceDN w:val="0"/>
        <w:spacing w:before="0" w:after="0" w:line="312" w:lineRule="exact"/>
        <w:ind w:left="106" w:right="0"/>
        <w:jc w:val="left"/>
        <w:rPr>
          <w:rFonts w:ascii="SKJVQB+å®ä½" w:hAnsi="SKJVQB+å®ä½" w:cs="SKJVQB+å®ä½"/>
          <w:color w:val="000000"/>
          <w:spacing w:val="0"/>
          <w:sz w:val="21"/>
        </w:rPr>
      </w:pPr>
      <w:r>
        <w:rPr>
          <w:rFonts w:ascii="SKJVQB+å®ä½" w:hAnsi="SKJVQB+å®ä½" w:cs="SKJVQB+å®ä½"/>
          <w:color w:val="000000"/>
          <w:spacing w:val="0"/>
          <w:sz w:val="21"/>
        </w:rPr>
        <w:t>联系人：郭晴</w:t>
      </w:r>
    </w:p>
    <w:p>
      <w:pPr>
        <w:framePr w:w="2623" w:wrap="around" w:vAnchor="margin" w:hAnchor="text" w:x="7588" w:y="77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联系电话：</w:t>
      </w:r>
      <w:r>
        <w:rPr>
          <w:rFonts w:ascii="Times New Roman"/>
          <w:color w:val="000000"/>
          <w:spacing w:val="0"/>
          <w:sz w:val="21"/>
        </w:rPr>
        <w:t>010-64408842</w:t>
      </w:r>
    </w:p>
    <w:p>
      <w:pPr>
        <w:framePr w:w="2623" w:wrap="around" w:vAnchor="margin" w:hAnchor="text" w:x="7588" w:y="77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客户服务电话：</w:t>
      </w:r>
      <w:r>
        <w:rPr>
          <w:rFonts w:ascii="Times New Roman"/>
          <w:color w:val="000000"/>
          <w:spacing w:val="0"/>
          <w:sz w:val="21"/>
        </w:rPr>
        <w:t>95564</w:t>
      </w:r>
    </w:p>
    <w:p>
      <w:pPr>
        <w:framePr w:w="2623" w:wrap="around" w:vAnchor="margin" w:hAnchor="text" w:x="7588" w:y="77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公司网址：</w:t>
      </w:r>
    </w:p>
    <w:p>
      <w:pPr>
        <w:framePr w:w="2133" w:wrap="around" w:vAnchor="margin" w:hAnchor="text" w:x="7482" w:y="867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http://www.ykzq.com</w:t>
      </w:r>
    </w:p>
    <w:p>
      <w:pPr>
        <w:framePr w:w="526" w:wrap="around" w:vAnchor="margin" w:hAnchor="text" w:x="4213" w:y="930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57</w:t>
      </w:r>
    </w:p>
    <w:p>
      <w:pPr>
        <w:framePr w:w="2418" w:wrap="around" w:vAnchor="margin" w:hAnchor="text" w:x="4640"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开源证券股份有限公司</w:t>
      </w:r>
    </w:p>
    <w:p>
      <w:pPr>
        <w:framePr w:w="3020" w:wrap="around" w:vAnchor="margin" w:hAnchor="text" w:x="7482" w:y="93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注册地址：西安市高新区锦业</w:t>
      </w:r>
    </w:p>
    <w:p>
      <w:pPr>
        <w:framePr w:w="3020" w:wrap="around" w:vAnchor="margin" w:hAnchor="text" w:x="7482" w:y="93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号都市之门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3020" w:wrap="around" w:vAnchor="margin" w:hAnchor="text" w:x="7482" w:y="93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办公地址：西安市高新区锦业</w:t>
      </w:r>
    </w:p>
    <w:p>
      <w:pPr>
        <w:framePr w:w="3020" w:wrap="around" w:vAnchor="margin" w:hAnchor="text" w:x="7482" w:y="93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号都市之门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3020" w:wrap="around" w:vAnchor="margin" w:hAnchor="text" w:x="7482" w:y="9318"/>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法定代表人：李刚</w:t>
      </w:r>
    </w:p>
    <w:p>
      <w:pPr>
        <w:framePr w:w="1789"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联系人：张梦薇</w:t>
      </w:r>
    </w:p>
    <w:p>
      <w:pPr>
        <w:framePr w:w="2178" w:wrap="around" w:vAnchor="margin" w:hAnchor="text" w:x="7482" w:y="111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029-88365805</w:t>
      </w:r>
    </w:p>
    <w:p>
      <w:pPr>
        <w:framePr w:w="2178"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029-88365835</w:t>
      </w:r>
    </w:p>
    <w:p>
      <w:pPr>
        <w:framePr w:w="2178" w:wrap="around" w:vAnchor="margin" w:hAnchor="text" w:x="7482" w:y="111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95325</w:t>
      </w:r>
    </w:p>
    <w:p>
      <w:pPr>
        <w:framePr w:w="3020"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www.kysec.cn</w:t>
      </w:r>
    </w:p>
    <w:p>
      <w:pPr>
        <w:framePr w:w="3020" w:wrap="around" w:vAnchor="margin" w:hAnchor="text" w:x="7482" w:y="1211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注册地址：云南省昆明市青年</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389</w:t>
      </w:r>
      <w:r>
        <w:rPr>
          <w:rFonts w:ascii="SKJVQB+å®ä½" w:hAnsi="SKJVQB+å®ä½" w:cs="SKJVQB+å®ä½"/>
          <w:color w:val="000000"/>
          <w:spacing w:val="0"/>
          <w:sz w:val="21"/>
        </w:rPr>
        <w:t xml:space="preserve">号志远大厦  </w:t>
      </w:r>
      <w:r>
        <w:rPr>
          <w:rFonts w:ascii="Times New Roman"/>
          <w:color w:val="000000"/>
          <w:spacing w:val="0"/>
          <w:sz w:val="21"/>
        </w:rPr>
        <w:t>18</w:t>
      </w:r>
      <w:r>
        <w:rPr>
          <w:rFonts w:ascii="SKJVQB+å®ä½" w:hAnsi="SKJVQB+å®ä½" w:cs="SKJVQB+å®ä½"/>
          <w:color w:val="000000"/>
          <w:spacing w:val="0"/>
          <w:sz w:val="21"/>
        </w:rPr>
        <w:t>层</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办公地址：北京市西城区北展</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北街九号华远企业号 </w:t>
      </w:r>
      <w:r>
        <w:rPr>
          <w:rFonts w:ascii="Times New Roman"/>
          <w:color w:val="000000"/>
          <w:spacing w:val="0"/>
          <w:sz w:val="21"/>
        </w:rPr>
        <w:t>D</w:t>
      </w:r>
      <w:r>
        <w:rPr>
          <w:rFonts w:ascii="SKJVQB+å®ä½" w:hAnsi="SKJVQB+å®ä½" w:cs="SKJVQB+å®ä½"/>
          <w:color w:val="000000"/>
          <w:spacing w:val="0"/>
          <w:sz w:val="21"/>
        </w:rPr>
        <w:t>座三</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framePr w:w="526" w:wrap="around" w:vAnchor="margin" w:hAnchor="text" w:x="4213" w:y="124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58</w:t>
      </w:r>
    </w:p>
    <w:p>
      <w:pPr>
        <w:framePr w:w="2661" w:wrap="around" w:vAnchor="margin" w:hAnchor="text" w:x="4640" w:y="124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太平洋证券股份有限公司</w:t>
      </w:r>
    </w:p>
    <w:p>
      <w:pPr>
        <w:framePr w:w="2312" w:wrap="around" w:vAnchor="margin" w:hAnchor="text" w:x="7482"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法定代表人：李长伟</w:t>
      </w:r>
    </w:p>
    <w:p>
      <w:pPr>
        <w:framePr w:w="2312" w:wrap="around" w:vAnchor="margin" w:hAnchor="text" w:x="7482"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联系人：王婧</w:t>
      </w:r>
    </w:p>
    <w:p>
      <w:pPr>
        <w:framePr w:w="2178" w:wrap="around" w:vAnchor="margin" w:hAnchor="text" w:x="7482" w:y="1462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010-88695182</w:t>
      </w:r>
    </w:p>
    <w:p>
      <w:pPr>
        <w:framePr w:w="2178" w:wrap="around" w:vAnchor="margin" w:hAnchor="text" w:x="7482" w:y="1462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010-88321763</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93</w:t>
      </w:r>
    </w:p>
    <w:p>
      <w:pPr>
        <w:spacing w:before="0" w:after="0" w:line="0" w:lineRule="exact"/>
        <w:ind w:left="0" w:right="0"/>
        <w:jc w:val="left"/>
        <w:rPr>
          <w:rFonts w:ascii="Arial"/>
          <w:color w:val="FF0000"/>
          <w:spacing w:val="0"/>
          <w:sz w:val="2"/>
        </w:rPr>
      </w:pPr>
      <w:r>
        <w:pict>
          <v:shape id="_x0000193" o:spid="_x0000_s121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73" o:title=""/>
            <o:lock v:ext="edit" aspectratio="t"/>
          </v:shape>
        </w:pict>
      </w:r>
      <w:r>
        <w:pict>
          <v:shape id="_x0000194" o:spid="_x0000_s122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7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88"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400-665-0999</w:t>
      </w:r>
    </w:p>
    <w:p>
      <w:pPr>
        <w:framePr w:w="2588"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www.tpyzq.com</w:t>
      </w:r>
    </w:p>
    <w:p>
      <w:pPr>
        <w:framePr w:w="526" w:wrap="around" w:vAnchor="margin" w:hAnchor="text" w:x="4213" w:y="21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59</w:t>
      </w:r>
    </w:p>
    <w:p>
      <w:pPr>
        <w:framePr w:w="2418" w:wrap="around" w:vAnchor="margin" w:hAnchor="text" w:x="4640"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宏信证券有限责任公司</w:t>
      </w:r>
    </w:p>
    <w:p>
      <w:pPr>
        <w:framePr w:w="3020" w:wrap="around" w:vAnchor="margin" w:hAnchor="text" w:x="7482" w:y="21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注册地址：四川省成都市锦江</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区人民南路二段 </w:t>
      </w:r>
      <w:r>
        <w:rPr>
          <w:rFonts w:ascii="Times New Roman"/>
          <w:color w:val="000000"/>
          <w:spacing w:val="0"/>
          <w:sz w:val="21"/>
        </w:rPr>
        <w:t>18</w:t>
      </w:r>
      <w:r>
        <w:rPr>
          <w:rFonts w:ascii="SKJVQB+å®ä½" w:hAnsi="SKJVQB+å®ä½" w:cs="SKJVQB+å®ä½"/>
          <w:color w:val="000000"/>
          <w:spacing w:val="0"/>
          <w:sz w:val="21"/>
        </w:rPr>
        <w:t>号川信大</w:t>
      </w:r>
    </w:p>
    <w:p>
      <w:pPr>
        <w:framePr w:w="3020" w:wrap="around" w:vAnchor="margin" w:hAnchor="text" w:x="7482" w:y="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10</w:t>
      </w:r>
      <w:r>
        <w:rPr>
          <w:rFonts w:ascii="SKJVQB+å®ä½" w:hAnsi="SKJVQB+å®ä½" w:cs="SKJVQB+å®ä½"/>
          <w:color w:val="000000"/>
          <w:spacing w:val="0"/>
          <w:sz w:val="21"/>
        </w:rPr>
        <w:t>楼</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办公地址：四川省成都市锦江</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区人民南路二段 </w:t>
      </w:r>
      <w:r>
        <w:rPr>
          <w:rFonts w:ascii="Times New Roman"/>
          <w:color w:val="000000"/>
          <w:spacing w:val="0"/>
          <w:sz w:val="21"/>
        </w:rPr>
        <w:t>18</w:t>
      </w:r>
      <w:r>
        <w:rPr>
          <w:rFonts w:ascii="SKJVQB+å®ä½" w:hAnsi="SKJVQB+å®ä½" w:cs="SKJVQB+å®ä½"/>
          <w:color w:val="000000"/>
          <w:spacing w:val="0"/>
          <w:sz w:val="21"/>
        </w:rPr>
        <w:t>号川信大</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10</w:t>
      </w:r>
      <w:r>
        <w:rPr>
          <w:rFonts w:ascii="SKJVQB+å®ä½" w:hAnsi="SKJVQB+å®ä½" w:cs="SKJVQB+å®ä½"/>
          <w:color w:val="000000"/>
          <w:spacing w:val="0"/>
          <w:sz w:val="21"/>
        </w:rPr>
        <w:t>楼</w:t>
      </w:r>
    </w:p>
    <w:p>
      <w:pPr>
        <w:framePr w:w="2209"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法定代表人：吴玉明</w:t>
      </w:r>
    </w:p>
    <w:p>
      <w:pPr>
        <w:framePr w:w="2209"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联系人：张鋆</w:t>
      </w:r>
    </w:p>
    <w:p>
      <w:pPr>
        <w:framePr w:w="2178" w:wrap="around" w:vAnchor="margin" w:hAnchor="text" w:x="7482" w:y="460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010-64083702</w:t>
      </w:r>
    </w:p>
    <w:p>
      <w:pPr>
        <w:framePr w:w="2178"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028-86199382</w:t>
      </w:r>
    </w:p>
    <w:p>
      <w:pPr>
        <w:framePr w:w="2178" w:wrap="around" w:vAnchor="margin" w:hAnchor="text" w:x="7482" w:y="46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95304</w:t>
      </w:r>
    </w:p>
    <w:p>
      <w:pPr>
        <w:framePr w:w="3020"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www.hxzq.cn</w:t>
      </w:r>
    </w:p>
    <w:p>
      <w:pPr>
        <w:framePr w:w="3020"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注册地址：湖北省武汉市东湖</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新技术开发区关东园路 </w:t>
      </w:r>
      <w:r>
        <w:rPr>
          <w:rFonts w:ascii="Times New Roman"/>
          <w:color w:val="000000"/>
          <w:spacing w:val="0"/>
          <w:sz w:val="21"/>
        </w:rPr>
        <w:t>2</w:t>
      </w:r>
      <w:r>
        <w:rPr>
          <w:rFonts w:ascii="SKJVQB+å®ä½" w:hAnsi="SKJVQB+å®ä½" w:cs="SKJVQB+å®ä½"/>
          <w:color w:val="000000"/>
          <w:spacing w:val="0"/>
          <w:sz w:val="21"/>
        </w:rPr>
        <w:t>号</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高科大厦四楼</w:t>
      </w:r>
    </w:p>
    <w:p>
      <w:pPr>
        <w:framePr w:w="526" w:wrap="around" w:vAnchor="margin" w:hAnchor="text" w:x="4213" w:y="586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60</w:t>
      </w:r>
    </w:p>
    <w:p>
      <w:pPr>
        <w:framePr w:w="2418" w:wrap="around" w:vAnchor="margin" w:hAnchor="text" w:x="4640" w:y="58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天风证券股份有限公司</w:t>
      </w:r>
    </w:p>
    <w:p>
      <w:pPr>
        <w:framePr w:w="3020" w:wrap="around" w:vAnchor="margin" w:hAnchor="text" w:x="7482"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办公地址：湖北省武汉市武</w:t>
      </w:r>
    </w:p>
    <w:p>
      <w:pPr>
        <w:framePr w:w="3020" w:wrap="around" w:vAnchor="margin" w:hAnchor="text" w:x="7482" w:y="680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昌区中南路 </w:t>
      </w:r>
      <w:r>
        <w:rPr>
          <w:rFonts w:ascii="Times New Roman"/>
          <w:color w:val="000000"/>
          <w:spacing w:val="0"/>
          <w:sz w:val="21"/>
        </w:rPr>
        <w:t>99</w:t>
      </w:r>
      <w:r>
        <w:rPr>
          <w:rFonts w:ascii="SKJVQB+å®ä½" w:hAnsi="SKJVQB+å®ä½" w:cs="SKJVQB+å®ä½"/>
          <w:color w:val="000000"/>
          <w:spacing w:val="0"/>
          <w:sz w:val="21"/>
        </w:rPr>
        <w:t xml:space="preserve">号保利广场  </w:t>
      </w:r>
      <w:r>
        <w:rPr>
          <w:rFonts w:ascii="Times New Roman"/>
          <w:color w:val="000000"/>
          <w:spacing w:val="0"/>
          <w:sz w:val="21"/>
        </w:rPr>
        <w:t xml:space="preserve"> A</w:t>
      </w:r>
    </w:p>
    <w:p>
      <w:pPr>
        <w:framePr w:w="3020" w:wrap="around" w:vAnchor="margin" w:hAnchor="text" w:x="7482" w:y="68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座 </w:t>
      </w:r>
      <w:r>
        <w:rPr>
          <w:rFonts w:ascii="Times New Roman"/>
          <w:color w:val="000000"/>
          <w:spacing w:val="0"/>
          <w:sz w:val="21"/>
        </w:rPr>
        <w:t>48</w:t>
      </w:r>
      <w:r>
        <w:rPr>
          <w:rFonts w:ascii="SKJVQB+å®ä½" w:hAnsi="SKJVQB+å®ä½" w:cs="SKJVQB+å®ä½"/>
          <w:color w:val="000000"/>
          <w:spacing w:val="0"/>
          <w:sz w:val="21"/>
        </w:rPr>
        <w:t>楼</w:t>
      </w:r>
    </w:p>
    <w:p>
      <w:pPr>
        <w:framePr w:w="2104"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法定代表人：余磊</w:t>
      </w:r>
    </w:p>
    <w:p>
      <w:pPr>
        <w:framePr w:w="2104"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联系人：程晓英</w:t>
      </w:r>
    </w:p>
    <w:p>
      <w:pPr>
        <w:framePr w:w="2106"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18064091773</w:t>
      </w:r>
    </w:p>
    <w:p>
      <w:pPr>
        <w:framePr w:w="2106"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传真：</w:t>
      </w:r>
    </w:p>
    <w:p>
      <w:pPr>
        <w:framePr w:w="2719" w:wrap="around" w:vAnchor="margin" w:hAnchor="text" w:x="7482" w:y="8987"/>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4008005000</w:t>
      </w:r>
      <w:r>
        <w:rPr>
          <w:rFonts w:ascii="SKJVQB+å®ä½" w:hAnsi="SKJVQB+å®ä½" w:cs="SKJVQB+å®ä½"/>
          <w:color w:val="000000"/>
          <w:spacing w:val="0"/>
          <w:sz w:val="21"/>
        </w:rPr>
        <w:t>或</w:t>
      </w:r>
    </w:p>
    <w:p>
      <w:pPr>
        <w:framePr w:w="2719" w:wrap="around" w:vAnchor="margin" w:hAnchor="text" w:x="7482" w:y="8987"/>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95391</w:t>
      </w:r>
    </w:p>
    <w:p>
      <w:pPr>
        <w:framePr w:w="3020"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www.tfzq.com</w:t>
      </w:r>
    </w:p>
    <w:p>
      <w:pPr>
        <w:framePr w:w="3020" w:wrap="around" w:vAnchor="margin" w:hAnchor="text" w:x="7482" w:y="961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注册地址：北京市西城区德</w:t>
      </w:r>
    </w:p>
    <w:p>
      <w:pPr>
        <w:framePr w:w="3020"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胜门外大街</w:t>
      </w:r>
      <w:r>
        <w:rPr>
          <w:rFonts w:ascii="Times New Roman"/>
          <w:color w:val="000000"/>
          <w:spacing w:val="0"/>
          <w:sz w:val="21"/>
        </w:rPr>
        <w:t>115</w:t>
      </w:r>
      <w:r>
        <w:rPr>
          <w:rFonts w:ascii="SKJVQB+å®ä½" w:hAnsi="SKJVQB+å®ä½" w:cs="SKJVQB+å®ä½"/>
          <w:color w:val="000000"/>
          <w:spacing w:val="0"/>
          <w:sz w:val="21"/>
        </w:rPr>
        <w:t>号德胜尚城</w:t>
      </w:r>
      <w:r>
        <w:rPr>
          <w:rFonts w:ascii="Times New Roman"/>
          <w:color w:val="000000"/>
          <w:spacing w:val="0"/>
          <w:sz w:val="21"/>
        </w:rPr>
        <w:t>E</w:t>
      </w:r>
    </w:p>
    <w:p>
      <w:pPr>
        <w:framePr w:w="3020" w:wrap="around" w:vAnchor="margin" w:hAnchor="text" w:x="7482" w:y="961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座</w:t>
      </w:r>
    </w:p>
    <w:p>
      <w:pPr>
        <w:framePr w:w="526" w:wrap="around" w:vAnchor="margin" w:hAnchor="text" w:x="4213" w:y="993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61</w:t>
      </w:r>
    </w:p>
    <w:p>
      <w:pPr>
        <w:framePr w:w="2418" w:wrap="around" w:vAnchor="margin" w:hAnchor="text" w:x="4640" w:y="994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首创证券有限责任公司</w:t>
      </w:r>
    </w:p>
    <w:p>
      <w:pPr>
        <w:framePr w:w="3020"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办公地址：北京市西城区德</w:t>
      </w:r>
    </w:p>
    <w:p>
      <w:pPr>
        <w:framePr w:w="3020" w:wrap="around" w:vAnchor="margin" w:hAnchor="text" w:x="7482" w:y="1087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胜门外大街</w:t>
      </w:r>
      <w:r>
        <w:rPr>
          <w:rFonts w:ascii="Times New Roman"/>
          <w:color w:val="000000"/>
          <w:spacing w:val="0"/>
          <w:sz w:val="21"/>
        </w:rPr>
        <w:t>115</w:t>
      </w:r>
      <w:r>
        <w:rPr>
          <w:rFonts w:ascii="SKJVQB+å®ä½" w:hAnsi="SKJVQB+å®ä½" w:cs="SKJVQB+å®ä½"/>
          <w:color w:val="000000"/>
          <w:spacing w:val="0"/>
          <w:sz w:val="21"/>
        </w:rPr>
        <w:t>号德胜尚城</w:t>
      </w:r>
      <w:r>
        <w:rPr>
          <w:rFonts w:ascii="Times New Roman"/>
          <w:color w:val="000000"/>
          <w:spacing w:val="0"/>
          <w:sz w:val="21"/>
        </w:rPr>
        <w:t>E</w:t>
      </w:r>
    </w:p>
    <w:p>
      <w:pPr>
        <w:framePr w:w="3020" w:wrap="around" w:vAnchor="margin" w:hAnchor="text" w:x="7482"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座</w:t>
      </w:r>
    </w:p>
    <w:p>
      <w:pPr>
        <w:framePr w:w="2209"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法定代表人：毕劲松</w:t>
      </w:r>
    </w:p>
    <w:p>
      <w:pPr>
        <w:framePr w:w="2209"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联系人：刘宇</w:t>
      </w:r>
    </w:p>
    <w:p>
      <w:pPr>
        <w:framePr w:w="3020"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010-59366070</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010-59366055</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400-620-0620</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www.sczq.com.cn</w:t>
      </w:r>
    </w:p>
    <w:p>
      <w:pPr>
        <w:framePr w:w="3020" w:wrap="around" w:vAnchor="margin" w:hAnchor="text" w:x="7482" w:y="1243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注册地址：深圳市福田区深</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南大道南侧金地中心大厦 </w:t>
      </w:r>
      <w:r>
        <w:rPr>
          <w:rFonts w:ascii="Times New Roman"/>
          <w:color w:val="000000"/>
          <w:spacing w:val="0"/>
          <w:sz w:val="21"/>
        </w:rPr>
        <w:t xml:space="preserve"> 9</w:t>
      </w:r>
    </w:p>
    <w:p>
      <w:pPr>
        <w:framePr w:w="302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526" w:wrap="around" w:vAnchor="margin" w:hAnchor="text" w:x="4213" w:y="1368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62</w:t>
      </w:r>
    </w:p>
    <w:p>
      <w:pPr>
        <w:framePr w:w="2418" w:wrap="around" w:vAnchor="margin" w:hAnchor="text" w:x="4640"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联储证券有限责任公司</w:t>
      </w:r>
    </w:p>
    <w:p>
      <w:pPr>
        <w:framePr w:w="3020"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办公地址：北京市朝阳区安</w:t>
      </w:r>
    </w:p>
    <w:p>
      <w:pPr>
        <w:framePr w:w="3020" w:wrap="around" w:vAnchor="margin" w:hAnchor="text" w:x="7482" w:y="146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定路</w:t>
      </w:r>
      <w:r>
        <w:rPr>
          <w:rFonts w:ascii="Times New Roman"/>
          <w:color w:val="000000"/>
          <w:spacing w:val="0"/>
          <w:sz w:val="21"/>
        </w:rPr>
        <w:t>5</w:t>
      </w:r>
      <w:r>
        <w:rPr>
          <w:rFonts w:ascii="SKJVQB+å®ä½" w:hAnsi="SKJVQB+å®ä½" w:cs="SKJVQB+å®ä½"/>
          <w:color w:val="000000"/>
          <w:spacing w:val="0"/>
          <w:sz w:val="21"/>
        </w:rPr>
        <w:t>号院</w:t>
      </w:r>
      <w:r>
        <w:rPr>
          <w:rFonts w:ascii="Times New Roman"/>
          <w:color w:val="000000"/>
          <w:spacing w:val="0"/>
          <w:sz w:val="21"/>
        </w:rPr>
        <w:t>3</w:t>
      </w:r>
      <w:r>
        <w:rPr>
          <w:rFonts w:ascii="SKJVQB+å®ä½" w:hAnsi="SKJVQB+å®ä½" w:cs="SKJVQB+å®ä½"/>
          <w:color w:val="000000"/>
          <w:spacing w:val="0"/>
          <w:sz w:val="21"/>
        </w:rPr>
        <w:t>号楼中建财富国</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94</w:t>
      </w:r>
    </w:p>
    <w:p>
      <w:pPr>
        <w:spacing w:before="0" w:after="0" w:line="0" w:lineRule="exact"/>
        <w:ind w:left="0" w:right="0"/>
        <w:jc w:val="left"/>
        <w:rPr>
          <w:rFonts w:ascii="Arial"/>
          <w:color w:val="FF0000"/>
          <w:spacing w:val="0"/>
          <w:sz w:val="2"/>
        </w:rPr>
      </w:pPr>
      <w:r>
        <w:pict>
          <v:shape id="_x0000195" o:spid="_x0000_s122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75" o:title=""/>
            <o:lock v:ext="edit" aspectratio="t"/>
          </v:shape>
        </w:pict>
      </w:r>
      <w:r>
        <w:pict>
          <v:shape id="_x0000196" o:spid="_x0000_s1222"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7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472"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际中心 </w:t>
      </w:r>
      <w:r>
        <w:rPr>
          <w:rFonts w:ascii="Times New Roman"/>
          <w:color w:val="000000"/>
          <w:spacing w:val="0"/>
          <w:sz w:val="21"/>
        </w:rPr>
        <w:t>27</w:t>
      </w:r>
      <w:r>
        <w:rPr>
          <w:rFonts w:ascii="SKJVQB+å®ä½" w:hAnsi="SKJVQB+å®ä½" w:cs="SKJVQB+å®ä½"/>
          <w:color w:val="000000"/>
          <w:spacing w:val="0"/>
          <w:sz w:val="21"/>
        </w:rPr>
        <w:t>层</w:t>
      </w:r>
    </w:p>
    <w:p>
      <w:pPr>
        <w:framePr w:w="2312"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法定代表人：吕春卫</w:t>
      </w:r>
    </w:p>
    <w:p>
      <w:pPr>
        <w:framePr w:w="2312"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联系人：丁倩云</w:t>
      </w:r>
    </w:p>
    <w:p>
      <w:pPr>
        <w:framePr w:w="2588" w:wrap="around" w:vAnchor="margin" w:hAnchor="text" w:x="7482" w:y="241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010-86499427</w:t>
      </w:r>
    </w:p>
    <w:p>
      <w:pPr>
        <w:framePr w:w="2588"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010-86499401</w:t>
      </w:r>
    </w:p>
    <w:p>
      <w:pPr>
        <w:framePr w:w="2588"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400-620-6868</w:t>
      </w:r>
    </w:p>
    <w:p>
      <w:pPr>
        <w:framePr w:w="2588"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www.lczq.com</w:t>
      </w:r>
    </w:p>
    <w:p>
      <w:pPr>
        <w:framePr w:w="526" w:wrap="around" w:vAnchor="margin" w:hAnchor="text" w:x="4213"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63</w:t>
      </w:r>
    </w:p>
    <w:p>
      <w:pPr>
        <w:framePr w:w="2418"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川财证券有限责任公司</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注册地址：中国（四川）自</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由贸易试验区成都市高新区</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交子大道 </w:t>
      </w:r>
      <w:r>
        <w:rPr>
          <w:rFonts w:ascii="Times New Roman"/>
          <w:color w:val="000000"/>
          <w:spacing w:val="0"/>
          <w:sz w:val="21"/>
        </w:rPr>
        <w:t>177</w:t>
      </w:r>
      <w:r>
        <w:rPr>
          <w:rFonts w:ascii="SKJVQB+å®ä½" w:hAnsi="SKJVQB+å®ä½" w:cs="SKJVQB+å®ä½"/>
          <w:color w:val="000000"/>
          <w:spacing w:val="0"/>
          <w:sz w:val="21"/>
        </w:rPr>
        <w:t>号中海国际中</w:t>
      </w:r>
    </w:p>
    <w:p>
      <w:pPr>
        <w:framePr w:w="3020" w:wrap="around" w:vAnchor="margin" w:hAnchor="text" w:x="7482" w:y="3679"/>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心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楼</w:t>
      </w:r>
    </w:p>
    <w:p>
      <w:pPr>
        <w:framePr w:w="3020"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办公地址：中国（四川）自由</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贸易试验区成都市高新区交</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子大道 </w:t>
      </w:r>
      <w:r>
        <w:rPr>
          <w:rFonts w:ascii="Times New Roman"/>
          <w:color w:val="000000"/>
          <w:spacing w:val="0"/>
          <w:sz w:val="21"/>
        </w:rPr>
        <w:t>177</w:t>
      </w:r>
      <w:r>
        <w:rPr>
          <w:rFonts w:ascii="SKJVQB+å®ä½" w:hAnsi="SKJVQB+å®ä½" w:cs="SKJVQB+å®ä½"/>
          <w:color w:val="000000"/>
          <w:spacing w:val="0"/>
          <w:sz w:val="21"/>
        </w:rPr>
        <w:t>号中海国际中心</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楼</w:t>
      </w:r>
    </w:p>
    <w:p>
      <w:pPr>
        <w:framePr w:w="2209"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法定代表人：孟建军</w:t>
      </w:r>
    </w:p>
    <w:p>
      <w:pPr>
        <w:framePr w:w="2209" w:wrap="around" w:vAnchor="margin" w:hAnchor="text" w:x="7482" w:y="61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联系人：匡婷</w:t>
      </w:r>
    </w:p>
    <w:p>
      <w:pPr>
        <w:framePr w:w="3144" w:wrap="around" w:vAnchor="margin" w:hAnchor="text" w:x="7482" w:y="679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028-86583053</w:t>
      </w:r>
    </w:p>
    <w:p>
      <w:pPr>
        <w:framePr w:w="3144" w:wrap="around" w:vAnchor="margin" w:hAnchor="text" w:x="7482" w:y="679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028-86583002</w:t>
      </w:r>
    </w:p>
    <w:p>
      <w:pPr>
        <w:framePr w:w="3144" w:wrap="around" w:vAnchor="margin" w:hAnchor="text" w:x="7482" w:y="679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95105118</w:t>
      </w:r>
    </w:p>
    <w:p>
      <w:pPr>
        <w:framePr w:w="3144" w:wrap="around" w:vAnchor="margin" w:hAnchor="text" w:x="7482" w:y="679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www.cczq.com</w:t>
      </w:r>
    </w:p>
    <w:p>
      <w:pPr>
        <w:framePr w:w="3144" w:wrap="around" w:vAnchor="margin" w:hAnchor="text" w:x="7482" w:y="679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w:t>
      </w:r>
    </w:p>
    <w:p>
      <w:pPr>
        <w:framePr w:w="3144" w:wrap="around" w:vAnchor="margin" w:hAnchor="text" w:x="7482" w:y="67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国门外光华路 </w:t>
      </w:r>
      <w:r>
        <w:rPr>
          <w:rFonts w:ascii="Times New Roman"/>
          <w:color w:val="000000"/>
          <w:spacing w:val="0"/>
          <w:sz w:val="21"/>
        </w:rPr>
        <w:t>14</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framePr w:w="3144" w:wrap="around" w:vAnchor="margin" w:hAnchor="text" w:x="7482" w:y="67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w:t>
      </w:r>
      <w:r>
        <w:rPr>
          <w:rFonts w:ascii="SKJVQB+å®ä½" w:hAnsi="SKJVQB+å®ä½" w:cs="SKJVQB+å®ä½"/>
          <w:color w:val="000000"/>
          <w:spacing w:val="0"/>
          <w:sz w:val="21"/>
        </w:rPr>
        <w:t>层、</w:t>
      </w:r>
      <w:r>
        <w:rPr>
          <w:rFonts w:ascii="Times New Roman"/>
          <w:color w:val="000000"/>
          <w:spacing w:val="0"/>
          <w:sz w:val="21"/>
        </w:rPr>
        <w:t>9</w:t>
      </w:r>
      <w:r>
        <w:rPr>
          <w:rFonts w:ascii="SKJVQB+å®ä½" w:hAnsi="SKJVQB+å®ä½" w:cs="SKJVQB+å®ä½"/>
          <w:color w:val="000000"/>
          <w:spacing w:val="0"/>
          <w:sz w:val="21"/>
        </w:rPr>
        <w:t>层、</w:t>
      </w:r>
      <w:r>
        <w:rPr>
          <w:rFonts w:ascii="Times New Roman"/>
          <w:color w:val="000000"/>
          <w:spacing w:val="0"/>
          <w:sz w:val="21"/>
        </w:rPr>
        <w:t>11</w:t>
      </w:r>
      <w:r>
        <w:rPr>
          <w:rFonts w:ascii="SKJVQB+å®ä½" w:hAnsi="SKJVQB+å®ä½" w:cs="SKJVQB+å®ä½"/>
          <w:color w:val="000000"/>
          <w:spacing w:val="0"/>
          <w:sz w:val="21"/>
        </w:rPr>
        <w:t>层、</w:t>
      </w:r>
      <w:r>
        <w:rPr>
          <w:rFonts w:ascii="Times New Roman"/>
          <w:color w:val="000000"/>
          <w:spacing w:val="0"/>
          <w:sz w:val="21"/>
        </w:rPr>
        <w:t>12</w:t>
      </w:r>
      <w:r>
        <w:rPr>
          <w:rFonts w:ascii="SKJVQB+å®ä½" w:hAnsi="SKJVQB+å®ä½" w:cs="SKJVQB+å®ä½"/>
          <w:color w:val="000000"/>
          <w:spacing w:val="0"/>
          <w:sz w:val="21"/>
        </w:rPr>
        <w:t>层</w:t>
      </w:r>
    </w:p>
    <w:p>
      <w:pPr>
        <w:framePr w:w="3144" w:wrap="around" w:vAnchor="margin" w:hAnchor="text" w:x="7482" w:y="67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办公地址：北京市朝阳区麦</w:t>
      </w:r>
    </w:p>
    <w:p>
      <w:pPr>
        <w:framePr w:w="3144" w:wrap="around" w:vAnchor="margin" w:hAnchor="text" w:x="7482" w:y="67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子店西路 </w:t>
      </w:r>
      <w:r>
        <w:rPr>
          <w:rFonts w:ascii="Times New Roman"/>
          <w:color w:val="000000"/>
          <w:spacing w:val="0"/>
          <w:sz w:val="21"/>
        </w:rPr>
        <w:t>3</w:t>
      </w:r>
      <w:r>
        <w:rPr>
          <w:rFonts w:ascii="SKJVQB+å®ä½" w:hAnsi="SKJVQB+å®ä½" w:cs="SKJVQB+å®ä½"/>
          <w:color w:val="000000"/>
          <w:spacing w:val="0"/>
          <w:sz w:val="21"/>
        </w:rPr>
        <w:t>号新恒基国际大</w:t>
      </w:r>
    </w:p>
    <w:p>
      <w:pPr>
        <w:framePr w:w="3144" w:wrap="around" w:vAnchor="margin" w:hAnchor="text" w:x="7482" w:y="67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厦 </w:t>
      </w:r>
      <w:r>
        <w:rPr>
          <w:rFonts w:ascii="Times New Roman"/>
          <w:color w:val="000000"/>
          <w:spacing w:val="0"/>
          <w:sz w:val="21"/>
        </w:rPr>
        <w:t>15</w:t>
      </w:r>
      <w:r>
        <w:rPr>
          <w:rFonts w:ascii="SKJVQB+å®ä½" w:hAnsi="SKJVQB+å®ä½" w:cs="SKJVQB+å®ä½"/>
          <w:color w:val="000000"/>
          <w:spacing w:val="0"/>
          <w:sz w:val="21"/>
        </w:rPr>
        <w:t>层</w:t>
      </w:r>
    </w:p>
    <w:p>
      <w:pPr>
        <w:framePr w:w="526" w:wrap="around" w:vAnchor="margin" w:hAnchor="text" w:x="4213" w:y="804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64</w:t>
      </w:r>
    </w:p>
    <w:p>
      <w:pPr>
        <w:framePr w:w="2418" w:wrap="around" w:vAnchor="margin" w:hAnchor="text" w:x="4640" w:y="805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中国国际期货有限公司</w:t>
      </w:r>
    </w:p>
    <w:p>
      <w:pPr>
        <w:framePr w:w="1998" w:wrap="around" w:vAnchor="margin" w:hAnchor="text" w:x="7482" w:y="99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法定代表人：王兵</w:t>
      </w:r>
    </w:p>
    <w:p>
      <w:pPr>
        <w:framePr w:w="1789" w:wrap="around" w:vAnchor="margin" w:hAnchor="text" w:x="7482" w:y="1024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联系人：许黎婧</w:t>
      </w:r>
    </w:p>
    <w:p>
      <w:pPr>
        <w:framePr w:w="2178" w:wrap="around" w:vAnchor="margin" w:hAnchor="text" w:x="7482" w:y="1054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010-65807848</w:t>
      </w:r>
    </w:p>
    <w:p>
      <w:pPr>
        <w:framePr w:w="2178" w:wrap="around" w:vAnchor="margin" w:hAnchor="text" w:x="7482" w:y="105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010-59539985</w:t>
      </w:r>
    </w:p>
    <w:p>
      <w:pPr>
        <w:framePr w:w="2178" w:wrap="around" w:vAnchor="margin" w:hAnchor="text" w:x="7482" w:y="105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95162</w:t>
      </w:r>
      <w:r>
        <w:rPr>
          <w:rFonts w:ascii="SKJVQB+å®ä½" w:hAnsi="SKJVQB+å®ä½" w:cs="SKJVQB+å®ä½"/>
          <w:color w:val="000000"/>
          <w:spacing w:val="0"/>
          <w:sz w:val="21"/>
        </w:rPr>
        <w:t>、</w:t>
      </w:r>
    </w:p>
    <w:p>
      <w:pPr>
        <w:framePr w:w="1512" w:wrap="around" w:vAnchor="margin" w:hAnchor="text" w:x="7482" w:y="1148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400-8888-160</w:t>
      </w:r>
    </w:p>
    <w:p>
      <w:pPr>
        <w:framePr w:w="3020" w:wrap="around" w:vAnchor="margin" w:hAnchor="text" w:x="7482" w:y="1179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www.cifco.net</w:t>
      </w:r>
    </w:p>
    <w:p>
      <w:pPr>
        <w:framePr w:w="3020" w:wrap="around" w:vAnchor="margin" w:hAnchor="text" w:x="7482" w:y="1179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注册地址：重庆市渝中区中</w:t>
      </w:r>
    </w:p>
    <w:p>
      <w:pPr>
        <w:framePr w:w="3020" w:wrap="around" w:vAnchor="margin" w:hAnchor="text" w:x="7482" w:y="1179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山三路 </w:t>
      </w:r>
      <w:r>
        <w:rPr>
          <w:rFonts w:ascii="Times New Roman"/>
          <w:color w:val="000000"/>
          <w:spacing w:val="0"/>
          <w:sz w:val="21"/>
        </w:rPr>
        <w:t>107</w:t>
      </w:r>
      <w:r>
        <w:rPr>
          <w:rFonts w:ascii="SKJVQB+å®ä½" w:hAnsi="SKJVQB+å®ä½" w:cs="SKJVQB+å®ä½"/>
          <w:color w:val="000000"/>
          <w:spacing w:val="0"/>
          <w:sz w:val="21"/>
        </w:rPr>
        <w:t>号上站大楼平街</w:t>
      </w:r>
    </w:p>
    <w:p>
      <w:pPr>
        <w:framePr w:w="3020" w:wrap="around" w:vAnchor="margin" w:hAnchor="text" w:x="7482" w:y="1179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11-B</w:t>
      </w:r>
      <w:r>
        <w:rPr>
          <w:rFonts w:ascii="SKJVQB+å®ä½" w:hAnsi="SKJVQB+å®ä½" w:cs="SKJVQB+å®ä½"/>
          <w:color w:val="000000"/>
          <w:spacing w:val="0"/>
          <w:sz w:val="21"/>
        </w:rPr>
        <w:t xml:space="preserve">，名义层 </w:t>
      </w:r>
      <w:r>
        <w:rPr>
          <w:rFonts w:ascii="Times New Roman"/>
          <w:color w:val="000000"/>
          <w:spacing w:val="0"/>
          <w:sz w:val="21"/>
        </w:rPr>
        <w:t>11-A</w:t>
      </w:r>
      <w:r>
        <w:rPr>
          <w:rFonts w:ascii="SKJVQB+å®ä½" w:hAnsi="SKJVQB+å®ä½" w:cs="SKJVQB+å®ä½"/>
          <w:color w:val="000000"/>
          <w:spacing w:val="0"/>
          <w:sz w:val="21"/>
        </w:rPr>
        <w:t>，</w:t>
      </w:r>
      <w:r>
        <w:rPr>
          <w:rFonts w:ascii="Times New Roman"/>
          <w:color w:val="000000"/>
          <w:spacing w:val="0"/>
          <w:sz w:val="21"/>
        </w:rPr>
        <w:t>8-B4</w:t>
      </w:r>
      <w:r>
        <w:rPr>
          <w:rFonts w:ascii="SKJVQB+å®ä½" w:hAnsi="SKJVQB+å®ä½" w:cs="SKJVQB+å®ä½"/>
          <w:color w:val="000000"/>
          <w:spacing w:val="0"/>
          <w:sz w:val="21"/>
        </w:rPr>
        <w:t>，</w:t>
      </w:r>
    </w:p>
    <w:p>
      <w:pPr>
        <w:framePr w:w="3020" w:wrap="around" w:vAnchor="margin" w:hAnchor="text" w:x="7482" w:y="11795"/>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9-B</w:t>
      </w:r>
      <w:r>
        <w:rPr>
          <w:rFonts w:ascii="SKJVQB+å®ä½" w:hAnsi="SKJVQB+å®ä½" w:cs="SKJVQB+å®ä½"/>
          <w:color w:val="000000"/>
          <w:spacing w:val="0"/>
          <w:sz w:val="21"/>
        </w:rPr>
        <w:t>、</w:t>
      </w:r>
      <w:r>
        <w:rPr>
          <w:rFonts w:ascii="Times New Roman"/>
          <w:color w:val="000000"/>
          <w:spacing w:val="0"/>
          <w:sz w:val="21"/>
        </w:rPr>
        <w:t>C</w:t>
      </w:r>
    </w:p>
    <w:p>
      <w:pPr>
        <w:framePr w:w="526" w:wrap="around" w:vAnchor="margin" w:hAnchor="text" w:x="4213" w:y="1211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65</w:t>
      </w:r>
    </w:p>
    <w:p>
      <w:pPr>
        <w:framePr w:w="2418" w:wrap="around" w:vAnchor="margin" w:hAnchor="text" w:x="4640"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中信建投期货有限公司</w:t>
      </w:r>
    </w:p>
    <w:p>
      <w:pPr>
        <w:framePr w:w="3020" w:wrap="around" w:vAnchor="margin" w:hAnchor="text" w:x="7482" w:y="1337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办公地址：渝中区中山三路</w:t>
      </w:r>
    </w:p>
    <w:p>
      <w:pPr>
        <w:framePr w:w="3020" w:wrap="around" w:vAnchor="margin" w:hAnchor="text" w:x="7482" w:y="1337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107</w:t>
      </w:r>
      <w:r>
        <w:rPr>
          <w:rFonts w:ascii="SKJVQB+å®ä½" w:hAnsi="SKJVQB+å®ä½" w:cs="SKJVQB+å®ä½"/>
          <w:color w:val="000000"/>
          <w:spacing w:val="0"/>
          <w:sz w:val="21"/>
        </w:rPr>
        <w:t xml:space="preserve">号上站大楼平街  </w:t>
      </w:r>
      <w:r>
        <w:rPr>
          <w:rFonts w:ascii="Times New Roman"/>
          <w:color w:val="000000"/>
          <w:spacing w:val="0"/>
          <w:sz w:val="21"/>
        </w:rPr>
        <w:t>11-B</w:t>
      </w:r>
      <w:r>
        <w:rPr>
          <w:rFonts w:ascii="SKJVQB+å®ä½" w:hAnsi="SKJVQB+å®ä½" w:cs="SKJVQB+å®ä½"/>
          <w:color w:val="000000"/>
          <w:spacing w:val="0"/>
          <w:sz w:val="21"/>
        </w:rPr>
        <w:t>，名</w:t>
      </w:r>
    </w:p>
    <w:p>
      <w:pPr>
        <w:framePr w:w="3020" w:wrap="around" w:vAnchor="margin" w:hAnchor="text" w:x="7482" w:y="1337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义层 </w:t>
      </w:r>
      <w:r>
        <w:rPr>
          <w:rFonts w:ascii="Times New Roman"/>
          <w:color w:val="000000"/>
          <w:spacing w:val="0"/>
          <w:sz w:val="21"/>
        </w:rPr>
        <w:t>11-A</w:t>
      </w:r>
      <w:r>
        <w:rPr>
          <w:rFonts w:ascii="SKJVQB+å®ä½" w:hAnsi="SKJVQB+å®ä½" w:cs="SKJVQB+å®ä½"/>
          <w:color w:val="000000"/>
          <w:spacing w:val="0"/>
          <w:sz w:val="21"/>
        </w:rPr>
        <w:t>，</w:t>
      </w:r>
      <w:r>
        <w:rPr>
          <w:rFonts w:ascii="Times New Roman"/>
          <w:color w:val="000000"/>
          <w:spacing w:val="0"/>
          <w:sz w:val="21"/>
        </w:rPr>
        <w:t>8-B4</w:t>
      </w:r>
      <w:r>
        <w:rPr>
          <w:rFonts w:ascii="SKJVQB+å®ä½" w:hAnsi="SKJVQB+å®ä½" w:cs="SKJVQB+å®ä½"/>
          <w:color w:val="000000"/>
          <w:spacing w:val="0"/>
          <w:sz w:val="21"/>
        </w:rPr>
        <w:t>，</w:t>
      </w:r>
      <w:r>
        <w:rPr>
          <w:rFonts w:ascii="Times New Roman"/>
          <w:color w:val="000000"/>
          <w:spacing w:val="0"/>
          <w:sz w:val="21"/>
        </w:rPr>
        <w:t>9-B</w:t>
      </w:r>
      <w:r>
        <w:rPr>
          <w:rFonts w:ascii="SKJVQB+å®ä½" w:hAnsi="SKJVQB+å®ä½" w:cs="SKJVQB+å®ä½"/>
          <w:color w:val="000000"/>
          <w:spacing w:val="0"/>
          <w:sz w:val="21"/>
        </w:rPr>
        <w:t>、</w:t>
      </w:r>
      <w:r>
        <w:rPr>
          <w:rFonts w:ascii="Times New Roman"/>
          <w:color w:val="000000"/>
          <w:spacing w:val="0"/>
          <w:sz w:val="21"/>
        </w:rPr>
        <w:t>C</w:t>
      </w:r>
    </w:p>
    <w:p>
      <w:pPr>
        <w:framePr w:w="3020" w:wrap="around" w:vAnchor="margin" w:hAnchor="text" w:x="7482" w:y="1337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法定代表人：彭文德</w:t>
      </w:r>
    </w:p>
    <w:p>
      <w:pPr>
        <w:framePr w:w="3020" w:wrap="around" w:vAnchor="margin" w:hAnchor="text" w:x="7482" w:y="1337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联系人：万恋</w:t>
      </w:r>
    </w:p>
    <w:p>
      <w:pPr>
        <w:framePr w:w="2178" w:wrap="around" w:vAnchor="margin" w:hAnchor="text" w:x="7482" w:y="14928"/>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021-68762007</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95</w:t>
      </w:r>
    </w:p>
    <w:p>
      <w:pPr>
        <w:spacing w:before="0" w:after="0" w:line="0" w:lineRule="exact"/>
        <w:ind w:left="0" w:right="0"/>
        <w:jc w:val="left"/>
        <w:rPr>
          <w:rFonts w:ascii="Arial"/>
          <w:color w:val="FF0000"/>
          <w:spacing w:val="0"/>
          <w:sz w:val="2"/>
        </w:rPr>
      </w:pPr>
      <w:r>
        <w:pict>
          <v:shape id="_x0000197" o:spid="_x0000_s122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77" o:title=""/>
            <o:lock v:ext="edit" aspectratio="t"/>
          </v:shape>
        </w:pict>
      </w:r>
      <w:r>
        <w:pict>
          <v:shape id="_x0000198" o:spid="_x0000_s1224"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17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178"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021-68763048</w:t>
      </w:r>
    </w:p>
    <w:p>
      <w:pPr>
        <w:framePr w:w="2588"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400-8877-780</w:t>
      </w:r>
    </w:p>
    <w:p>
      <w:pPr>
        <w:framePr w:w="2588"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www.cfc108.com</w:t>
      </w:r>
    </w:p>
    <w:p>
      <w:pPr>
        <w:framePr w:w="526" w:wrap="around" w:vAnchor="margin" w:hAnchor="text" w:x="4213" w:y="242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66</w:t>
      </w:r>
    </w:p>
    <w:p>
      <w:pPr>
        <w:framePr w:w="1998" w:wrap="around" w:vAnchor="margin" w:hAnchor="text" w:x="4640"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中信期货有限公司</w:t>
      </w:r>
    </w:p>
    <w:p>
      <w:pPr>
        <w:framePr w:w="3144"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注册地址：深圳市福田区中心</w:t>
      </w:r>
    </w:p>
    <w:p>
      <w:pPr>
        <w:framePr w:w="3144"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8</w:t>
      </w:r>
      <w:r>
        <w:rPr>
          <w:rFonts w:ascii="SKJVQB+å®ä½" w:hAnsi="SKJVQB+å®ä½" w:cs="SKJVQB+å®ä½"/>
          <w:color w:val="000000"/>
          <w:spacing w:val="0"/>
          <w:sz w:val="21"/>
        </w:rPr>
        <w:t>号卓越时代广场（二</w:t>
      </w:r>
    </w:p>
    <w:p>
      <w:pPr>
        <w:framePr w:w="3144"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期）北座 </w:t>
      </w:r>
      <w:r>
        <w:rPr>
          <w:rFonts w:ascii="Times New Roman"/>
          <w:color w:val="000000"/>
          <w:spacing w:val="0"/>
          <w:sz w:val="21"/>
        </w:rPr>
        <w:t>13</w:t>
      </w:r>
      <w:r>
        <w:rPr>
          <w:rFonts w:ascii="SKJVQB+å®ä½" w:hAnsi="SKJVQB+å®ä½" w:cs="SKJVQB+å®ä½"/>
          <w:color w:val="000000"/>
          <w:spacing w:val="0"/>
          <w:sz w:val="21"/>
        </w:rPr>
        <w:t xml:space="preserve">层  </w:t>
      </w:r>
      <w:r>
        <w:rPr>
          <w:rFonts w:ascii="Times New Roman"/>
          <w:color w:val="000000"/>
          <w:spacing w:val="0"/>
          <w:sz w:val="21"/>
        </w:rPr>
        <w:t>1301-1305</w:t>
      </w:r>
      <w:r>
        <w:rPr>
          <w:rFonts w:ascii="SKJVQB+å®ä½" w:hAnsi="SKJVQB+å®ä½" w:cs="SKJVQB+å®ä½"/>
          <w:color w:val="000000"/>
          <w:spacing w:val="0"/>
          <w:sz w:val="21"/>
        </w:rPr>
        <w:t>室、</w:t>
      </w:r>
    </w:p>
    <w:p>
      <w:pPr>
        <w:framePr w:w="3144"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14</w:t>
      </w:r>
      <w:r>
        <w:rPr>
          <w:rFonts w:ascii="SKJVQB+å®ä½" w:hAnsi="SKJVQB+å®ä½" w:cs="SKJVQB+å®ä½"/>
          <w:color w:val="000000"/>
          <w:spacing w:val="0"/>
          <w:sz w:val="21"/>
        </w:rPr>
        <w:t>层</w:t>
      </w:r>
    </w:p>
    <w:p>
      <w:pPr>
        <w:framePr w:w="3144"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办公地址：深圳市福田区中心</w:t>
      </w:r>
    </w:p>
    <w:p>
      <w:pPr>
        <w:framePr w:w="3144"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三路 </w:t>
      </w:r>
      <w:r>
        <w:rPr>
          <w:rFonts w:ascii="Times New Roman"/>
          <w:color w:val="000000"/>
          <w:spacing w:val="0"/>
          <w:sz w:val="21"/>
        </w:rPr>
        <w:t>8</w:t>
      </w:r>
      <w:r>
        <w:rPr>
          <w:rFonts w:ascii="SKJVQB+å®ä½" w:hAnsi="SKJVQB+å®ä½" w:cs="SKJVQB+å®ä½"/>
          <w:color w:val="000000"/>
          <w:spacing w:val="0"/>
          <w:sz w:val="21"/>
        </w:rPr>
        <w:t>号卓越时代广场（二</w:t>
      </w:r>
    </w:p>
    <w:p>
      <w:pPr>
        <w:framePr w:w="3144"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期）北座 </w:t>
      </w:r>
      <w:r>
        <w:rPr>
          <w:rFonts w:ascii="Times New Roman"/>
          <w:color w:val="000000"/>
          <w:spacing w:val="0"/>
          <w:sz w:val="21"/>
        </w:rPr>
        <w:t>13</w:t>
      </w:r>
      <w:r>
        <w:rPr>
          <w:rFonts w:ascii="SKJVQB+å®ä½" w:hAnsi="SKJVQB+å®ä½" w:cs="SKJVQB+å®ä½"/>
          <w:color w:val="000000"/>
          <w:spacing w:val="0"/>
          <w:sz w:val="21"/>
        </w:rPr>
        <w:t xml:space="preserve">层  </w:t>
      </w:r>
      <w:r>
        <w:rPr>
          <w:rFonts w:ascii="Times New Roman"/>
          <w:color w:val="000000"/>
          <w:spacing w:val="0"/>
          <w:sz w:val="21"/>
        </w:rPr>
        <w:t>1301-1305</w:t>
      </w:r>
      <w:r>
        <w:rPr>
          <w:rFonts w:ascii="SKJVQB+å®ä½" w:hAnsi="SKJVQB+å®ä½" w:cs="SKJVQB+å®ä½"/>
          <w:color w:val="000000"/>
          <w:spacing w:val="0"/>
          <w:sz w:val="21"/>
        </w:rPr>
        <w:t>室、</w:t>
      </w:r>
    </w:p>
    <w:p>
      <w:pPr>
        <w:framePr w:w="3144" w:wrap="around" w:vAnchor="margin" w:hAnchor="text" w:x="7482" w:y="3679"/>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Times New Roman"/>
          <w:color w:val="000000"/>
          <w:spacing w:val="0"/>
          <w:sz w:val="21"/>
        </w:rPr>
        <w:t>14</w:t>
      </w:r>
      <w:r>
        <w:rPr>
          <w:rFonts w:ascii="SKJVQB+å®ä½" w:hAnsi="SKJVQB+å®ä½" w:cs="SKJVQB+å®ä½"/>
          <w:color w:val="000000"/>
          <w:spacing w:val="0"/>
          <w:sz w:val="21"/>
        </w:rPr>
        <w:t>层</w:t>
      </w:r>
    </w:p>
    <w:p>
      <w:pPr>
        <w:framePr w:w="1998"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法定代表人：张皓</w:t>
      </w:r>
    </w:p>
    <w:p>
      <w:pPr>
        <w:framePr w:w="1789"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联系人：刘宏莹</w:t>
      </w:r>
    </w:p>
    <w:p>
      <w:pPr>
        <w:framePr w:w="3020"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010-60833754</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021-60819988</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400-990-8826</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http://www.citicsf.com</w:t>
      </w:r>
    </w:p>
    <w:p>
      <w:pPr>
        <w:framePr w:w="3020"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注册地址：海南省三亚市迎</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宾路 </w:t>
      </w:r>
      <w:r>
        <w:rPr>
          <w:rFonts w:ascii="Times New Roman"/>
          <w:color w:val="000000"/>
          <w:spacing w:val="0"/>
          <w:sz w:val="21"/>
        </w:rPr>
        <w:t>360-1</w:t>
      </w:r>
      <w:r>
        <w:rPr>
          <w:rFonts w:ascii="SKJVQB+å®ä½" w:hAnsi="SKJVQB+å®ä½" w:cs="SKJVQB+å®ä½"/>
          <w:color w:val="000000"/>
          <w:spacing w:val="0"/>
          <w:sz w:val="21"/>
        </w:rPr>
        <w:t>号三亚阳光金融</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广场 </w:t>
      </w:r>
      <w:r>
        <w:rPr>
          <w:rFonts w:ascii="Times New Roman"/>
          <w:color w:val="000000"/>
          <w:spacing w:val="0"/>
          <w:sz w:val="21"/>
        </w:rPr>
        <w:t>16</w:t>
      </w:r>
      <w:r>
        <w:rPr>
          <w:rFonts w:ascii="SKJVQB+å®ä½" w:hAnsi="SKJVQB+å®ä½" w:cs="SKJVQB+å®ä½"/>
          <w:color w:val="000000"/>
          <w:spacing w:val="0"/>
          <w:sz w:val="21"/>
        </w:rPr>
        <w:t>层</w:t>
      </w:r>
    </w:p>
    <w:p>
      <w:pPr>
        <w:framePr w:w="526" w:wrap="around" w:vAnchor="margin" w:hAnchor="text" w:x="4213"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67</w:t>
      </w:r>
    </w:p>
    <w:p>
      <w:pPr>
        <w:framePr w:w="2901"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阳光人寿保险股份有限公司</w:t>
      </w:r>
    </w:p>
    <w:p>
      <w:pPr>
        <w:framePr w:w="3020"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外大街乙 </w:t>
      </w:r>
      <w:r>
        <w:rPr>
          <w:rFonts w:ascii="Times New Roman"/>
          <w:color w:val="000000"/>
          <w:spacing w:val="0"/>
          <w:sz w:val="21"/>
        </w:rPr>
        <w:t>12</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号楼昆泰国</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际大厦 </w:t>
      </w:r>
      <w:r>
        <w:rPr>
          <w:rFonts w:ascii="Times New Roman"/>
          <w:color w:val="000000"/>
          <w:spacing w:val="0"/>
          <w:sz w:val="21"/>
        </w:rPr>
        <w:t>12</w:t>
      </w:r>
      <w:r>
        <w:rPr>
          <w:rFonts w:ascii="SKJVQB+å®ä½" w:hAnsi="SKJVQB+å®ä½" w:cs="SKJVQB+å®ä½"/>
          <w:color w:val="000000"/>
          <w:spacing w:val="0"/>
          <w:sz w:val="21"/>
        </w:rPr>
        <w:t>层</w:t>
      </w:r>
    </w:p>
    <w:p>
      <w:pPr>
        <w:framePr w:w="2104"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法定代表人：李科</w:t>
      </w:r>
    </w:p>
    <w:p>
      <w:pPr>
        <w:framePr w:w="1684" w:wrap="around" w:vAnchor="margin" w:hAnchor="text" w:x="7482"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联系人：王磊</w:t>
      </w:r>
    </w:p>
    <w:p>
      <w:pPr>
        <w:framePr w:w="2279"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010-59053660</w:t>
      </w:r>
    </w:p>
    <w:p>
      <w:pPr>
        <w:framePr w:w="2279"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传真：  </w:t>
      </w:r>
      <w:r>
        <w:rPr>
          <w:rFonts w:ascii="Times New Roman"/>
          <w:color w:val="000000"/>
          <w:spacing w:val="0"/>
          <w:sz w:val="21"/>
        </w:rPr>
        <w:t>010-59053700</w:t>
      </w:r>
    </w:p>
    <w:p>
      <w:pPr>
        <w:framePr w:w="2279"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95510</w:t>
      </w:r>
    </w:p>
    <w:p>
      <w:pPr>
        <w:framePr w:w="3020"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http://fund.sinosig.com</w:t>
      </w:r>
    </w:p>
    <w:p>
      <w:pPr>
        <w:framePr w:w="3020" w:wrap="around" w:vAnchor="margin" w:hAnchor="text" w:x="7482" w:y="10235"/>
        <w:widowControl w:val="0"/>
        <w:autoSpaceDE w:val="0"/>
        <w:autoSpaceDN w:val="0"/>
        <w:spacing w:before="0" w:after="0" w:line="325"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注册地址：安徽省合肥市芜</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湖路 </w:t>
      </w:r>
      <w:r>
        <w:rPr>
          <w:rFonts w:ascii="Times New Roman"/>
          <w:color w:val="000000"/>
          <w:spacing w:val="0"/>
          <w:sz w:val="21"/>
        </w:rPr>
        <w:t>258</w:t>
      </w:r>
      <w:r>
        <w:rPr>
          <w:rFonts w:ascii="SKJVQB+å®ä½" w:hAnsi="SKJVQB+å®ä½" w:cs="SKJVQB+å®ä½"/>
          <w:color w:val="000000"/>
          <w:spacing w:val="0"/>
          <w:sz w:val="21"/>
        </w:rPr>
        <w:t>号</w:t>
      </w:r>
    </w:p>
    <w:p>
      <w:pPr>
        <w:framePr w:w="526" w:wrap="around" w:vAnchor="margin" w:hAnchor="text" w:x="4213" w:y="105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68</w:t>
      </w:r>
    </w:p>
    <w:p>
      <w:pPr>
        <w:framePr w:w="2418" w:wrap="around" w:vAnchor="margin" w:hAnchor="text" w:x="4640"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徽商期货有限责任公司</w:t>
      </w:r>
    </w:p>
    <w:p>
      <w:pPr>
        <w:framePr w:w="3020" w:wrap="around" w:vAnchor="margin" w:hAnchor="text" w:x="7482"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办公地址：安徽省合肥市芜</w:t>
      </w:r>
    </w:p>
    <w:p>
      <w:pPr>
        <w:framePr w:w="3020" w:wrap="around" w:vAnchor="margin" w:hAnchor="text" w:x="7482"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湖路 </w:t>
      </w:r>
      <w:r>
        <w:rPr>
          <w:rFonts w:ascii="Times New Roman"/>
          <w:color w:val="000000"/>
          <w:spacing w:val="0"/>
          <w:sz w:val="21"/>
        </w:rPr>
        <w:t>258</w:t>
      </w:r>
      <w:r>
        <w:rPr>
          <w:rFonts w:ascii="SKJVQB+å®ä½" w:hAnsi="SKJVQB+å®ä½" w:cs="SKJVQB+å®ä½"/>
          <w:color w:val="000000"/>
          <w:spacing w:val="0"/>
          <w:sz w:val="21"/>
        </w:rPr>
        <w:t>号</w:t>
      </w:r>
    </w:p>
    <w:p>
      <w:pPr>
        <w:framePr w:w="2312"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法定代表人：吴国华</w:t>
      </w:r>
    </w:p>
    <w:p>
      <w:pPr>
        <w:framePr w:w="2312"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联系人：申倩倩</w:t>
      </w:r>
    </w:p>
    <w:p>
      <w:pPr>
        <w:framePr w:w="3020"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0551-62865215</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0551-62865899</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4008-878-707</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www.hsqh.net</w:t>
      </w:r>
    </w:p>
    <w:p>
      <w:pPr>
        <w:framePr w:w="3020" w:wrap="around" w:vAnchor="margin" w:hAnchor="text" w:x="7482" w:y="1243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注册地址：南京市秦淮区中</w:t>
      </w:r>
    </w:p>
    <w:p>
      <w:pPr>
        <w:framePr w:w="302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华路 </w:t>
      </w:r>
      <w:r>
        <w:rPr>
          <w:rFonts w:ascii="Times New Roman"/>
          <w:color w:val="000000"/>
          <w:spacing w:val="0"/>
          <w:sz w:val="21"/>
        </w:rPr>
        <w:t>50</w:t>
      </w:r>
      <w:r>
        <w:rPr>
          <w:rFonts w:ascii="SKJVQB+å®ä½" w:hAnsi="SKJVQB+å®ä½" w:cs="SKJVQB+å®ä½"/>
          <w:color w:val="000000"/>
          <w:spacing w:val="0"/>
          <w:sz w:val="21"/>
        </w:rPr>
        <w:t>号</w:t>
      </w:r>
    </w:p>
    <w:p>
      <w:pPr>
        <w:framePr w:w="526" w:wrap="around" w:vAnchor="margin" w:hAnchor="text" w:x="4213" w:y="1368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69</w:t>
      </w:r>
    </w:p>
    <w:p>
      <w:pPr>
        <w:framePr w:w="2418" w:wrap="around" w:vAnchor="margin" w:hAnchor="text" w:x="4640" w:y="136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弘业期货股份有限公司</w:t>
      </w:r>
    </w:p>
    <w:p>
      <w:pPr>
        <w:framePr w:w="3020" w:wrap="around" w:vAnchor="margin" w:hAnchor="text" w:x="7482"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办公地址：南京市秦淮区中</w:t>
      </w:r>
    </w:p>
    <w:p>
      <w:pPr>
        <w:framePr w:w="3020" w:wrap="around" w:vAnchor="margin" w:hAnchor="text" w:x="7482"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华路 </w:t>
      </w:r>
      <w:r>
        <w:rPr>
          <w:rFonts w:ascii="Times New Roman"/>
          <w:color w:val="000000"/>
          <w:spacing w:val="0"/>
          <w:sz w:val="21"/>
        </w:rPr>
        <w:t>50</w:t>
      </w:r>
      <w:r>
        <w:rPr>
          <w:rFonts w:ascii="SKJVQB+å®ä½" w:hAnsi="SKJVQB+å®ä½" w:cs="SKJVQB+å®ä½"/>
          <w:color w:val="000000"/>
          <w:spacing w:val="0"/>
          <w:sz w:val="21"/>
        </w:rPr>
        <w:t xml:space="preserve">号弘业大厦  </w:t>
      </w:r>
      <w:r>
        <w:rPr>
          <w:rFonts w:ascii="Times New Roman"/>
          <w:color w:val="000000"/>
          <w:spacing w:val="0"/>
          <w:sz w:val="21"/>
        </w:rPr>
        <w:t>2-10</w:t>
      </w:r>
      <w:r>
        <w:rPr>
          <w:rFonts w:ascii="SKJVQB+å®ä½" w:hAnsi="SKJVQB+å®ä½" w:cs="SKJVQB+å®ä½"/>
          <w:color w:val="000000"/>
          <w:spacing w:val="0"/>
          <w:sz w:val="21"/>
        </w:rPr>
        <w:t>楼</w:t>
      </w:r>
    </w:p>
    <w:p>
      <w:pPr>
        <w:framePr w:w="3020" w:wrap="around" w:vAnchor="margin" w:hAnchor="text" w:x="7482"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法定代表人：周剑秋</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96</w:t>
      </w:r>
    </w:p>
    <w:p>
      <w:pPr>
        <w:spacing w:before="0" w:after="0" w:line="0" w:lineRule="exact"/>
        <w:ind w:left="0" w:right="0"/>
        <w:jc w:val="left"/>
        <w:rPr>
          <w:rFonts w:ascii="Arial"/>
          <w:color w:val="FF0000"/>
          <w:spacing w:val="0"/>
          <w:sz w:val="2"/>
        </w:rPr>
      </w:pPr>
      <w:r>
        <w:pict>
          <v:shape id="_x0000199" o:spid="_x0000_s122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88" o:title=""/>
            <o:lock v:ext="edit" aspectratio="t"/>
          </v:shape>
        </w:pict>
      </w:r>
      <w:r>
        <w:pict>
          <v:shape id="_x0000200" o:spid="_x0000_s1226"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7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892"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联系人：张苏怡</w:t>
      </w:r>
    </w:p>
    <w:p>
      <w:pPr>
        <w:framePr w:w="2421"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025-52278981</w:t>
      </w:r>
    </w:p>
    <w:p>
      <w:pPr>
        <w:framePr w:w="2421"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025-52278733</w:t>
      </w:r>
    </w:p>
    <w:p>
      <w:pPr>
        <w:framePr w:w="2421"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4008281288</w:t>
      </w:r>
    </w:p>
    <w:p>
      <w:pPr>
        <w:framePr w:w="2421"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www.ftol.com.cn</w:t>
      </w:r>
    </w:p>
    <w:p>
      <w:pPr>
        <w:framePr w:w="526" w:wrap="around" w:vAnchor="margin" w:hAnchor="text" w:x="4213"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70</w:t>
      </w:r>
    </w:p>
    <w:p>
      <w:pPr>
        <w:framePr w:w="2901"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诺亚正行基金销售有限公司</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注册地址：上海市虹口区飞虹</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360</w:t>
      </w:r>
      <w:r>
        <w:rPr>
          <w:rFonts w:ascii="SKJVQB+å®ä½" w:hAnsi="SKJVQB+å®ä½" w:cs="SKJVQB+å®ä½"/>
          <w:color w:val="000000"/>
          <w:spacing w:val="0"/>
          <w:sz w:val="21"/>
        </w:rPr>
        <w:t xml:space="preserve">弄  </w:t>
      </w:r>
      <w:r>
        <w:rPr>
          <w:rFonts w:ascii="Times New Roman"/>
          <w:color w:val="000000"/>
          <w:spacing w:val="0"/>
          <w:sz w:val="21"/>
        </w:rPr>
        <w:t>9</w:t>
      </w:r>
      <w:r>
        <w:rPr>
          <w:rFonts w:ascii="SKJVQB+å®ä½" w:hAnsi="SKJVQB+å®ä½" w:cs="SKJVQB+å®ä½"/>
          <w:color w:val="000000"/>
          <w:spacing w:val="0"/>
          <w:sz w:val="21"/>
        </w:rPr>
        <w:t xml:space="preserve">号  </w:t>
      </w:r>
      <w:r>
        <w:rPr>
          <w:rFonts w:ascii="Times New Roman"/>
          <w:color w:val="000000"/>
          <w:spacing w:val="0"/>
          <w:sz w:val="21"/>
        </w:rPr>
        <w:t>3724</w:t>
      </w:r>
      <w:r>
        <w:rPr>
          <w:rFonts w:ascii="SKJVQB+å®ä½" w:hAnsi="SKJVQB+å®ä½" w:cs="SKJVQB+å®ä½"/>
          <w:color w:val="000000"/>
          <w:spacing w:val="0"/>
          <w:sz w:val="21"/>
        </w:rPr>
        <w:t>室</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办公地址：上海市杨浦区秦皇</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岛路 </w:t>
      </w:r>
      <w:r>
        <w:rPr>
          <w:rFonts w:ascii="Times New Roman"/>
          <w:color w:val="000000"/>
          <w:spacing w:val="0"/>
          <w:sz w:val="21"/>
        </w:rPr>
        <w:t>32</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栋</w:t>
      </w:r>
    </w:p>
    <w:p>
      <w:pPr>
        <w:framePr w:w="2209"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法定代表人：汪静波</w:t>
      </w:r>
    </w:p>
    <w:p>
      <w:pPr>
        <w:framePr w:w="1578"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联系人：李娟</w:t>
      </w:r>
    </w:p>
    <w:p>
      <w:pPr>
        <w:framePr w:w="2178" w:wrap="around" w:vAnchor="margin" w:hAnchor="text" w:x="7482" w:y="492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021-80359127</w:t>
      </w:r>
    </w:p>
    <w:p>
      <w:pPr>
        <w:framePr w:w="2178" w:wrap="around" w:vAnchor="margin" w:hAnchor="text" w:x="7482" w:y="523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021-38509777</w:t>
      </w:r>
    </w:p>
    <w:p>
      <w:pPr>
        <w:framePr w:w="3021"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400-821-5399</w:t>
      </w:r>
    </w:p>
    <w:p>
      <w:pPr>
        <w:framePr w:w="3021"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www.noah-fund.com</w:t>
      </w:r>
    </w:p>
    <w:p>
      <w:pPr>
        <w:framePr w:w="3021"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注册地址：深圳市罗湖区笋岗</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街道笋西社区梨园路 </w:t>
      </w:r>
      <w:r>
        <w:rPr>
          <w:rFonts w:ascii="Times New Roman"/>
          <w:color w:val="000000"/>
          <w:spacing w:val="0"/>
          <w:sz w:val="21"/>
        </w:rPr>
        <w:t>8</w:t>
      </w:r>
      <w:r>
        <w:rPr>
          <w:rFonts w:ascii="SKJVQB+å®ä½" w:hAnsi="SKJVQB+å®ä½" w:cs="SKJVQB+å®ä½"/>
          <w:color w:val="000000"/>
          <w:spacing w:val="0"/>
          <w:sz w:val="21"/>
        </w:rPr>
        <w:t>号</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HALO</w:t>
      </w:r>
      <w:r>
        <w:rPr>
          <w:rFonts w:ascii="SKJVQB+å®ä½" w:hAnsi="SKJVQB+å®ä½" w:cs="SKJVQB+å®ä½"/>
          <w:color w:val="000000"/>
          <w:spacing w:val="0"/>
          <w:sz w:val="21"/>
        </w:rPr>
        <w:t>广场一期四层</w:t>
      </w:r>
      <w:r>
        <w:rPr>
          <w:rFonts w:ascii="Times New Roman"/>
          <w:color w:val="000000"/>
          <w:spacing w:val="0"/>
          <w:sz w:val="21"/>
        </w:rPr>
        <w:t>12-13</w:t>
      </w:r>
      <w:r>
        <w:rPr>
          <w:rFonts w:ascii="SKJVQB+å®ä½" w:hAnsi="SKJVQB+å®ä½" w:cs="SKJVQB+å®ä½"/>
          <w:color w:val="000000"/>
          <w:spacing w:val="0"/>
          <w:sz w:val="21"/>
        </w:rPr>
        <w:t>室</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办公地址：深圳市罗湖区笋岗</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街道笋西社区梨园路 </w:t>
      </w:r>
      <w:r>
        <w:rPr>
          <w:rFonts w:ascii="Times New Roman"/>
          <w:color w:val="000000"/>
          <w:spacing w:val="0"/>
          <w:sz w:val="21"/>
        </w:rPr>
        <w:t>8</w:t>
      </w:r>
      <w:r>
        <w:rPr>
          <w:rFonts w:ascii="SKJVQB+å®ä½" w:hAnsi="SKJVQB+å®ä½" w:cs="SKJVQB+å®ä½"/>
          <w:color w:val="000000"/>
          <w:spacing w:val="0"/>
          <w:sz w:val="21"/>
        </w:rPr>
        <w:t>号</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HALO</w:t>
      </w:r>
      <w:r>
        <w:rPr>
          <w:rFonts w:ascii="SKJVQB+å®ä½" w:hAnsi="SKJVQB+å®ä½" w:cs="SKJVQB+å®ä½"/>
          <w:color w:val="000000"/>
          <w:spacing w:val="0"/>
          <w:sz w:val="21"/>
        </w:rPr>
        <w:t>广场一期四层</w:t>
      </w:r>
      <w:r>
        <w:rPr>
          <w:rFonts w:ascii="Times New Roman"/>
          <w:color w:val="000000"/>
          <w:spacing w:val="0"/>
          <w:sz w:val="21"/>
        </w:rPr>
        <w:t>12-13</w:t>
      </w:r>
      <w:r>
        <w:rPr>
          <w:rFonts w:ascii="SKJVQB+å®ä½" w:hAnsi="SKJVQB+å®ä½" w:cs="SKJVQB+å®ä½"/>
          <w:color w:val="000000"/>
          <w:spacing w:val="0"/>
          <w:sz w:val="21"/>
        </w:rPr>
        <w:t>室</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法定代表人：薛峰</w:t>
      </w:r>
    </w:p>
    <w:p>
      <w:pPr>
        <w:framePr w:w="526" w:wrap="around" w:vAnchor="margin" w:hAnchor="text" w:x="4213" w:y="61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71</w:t>
      </w:r>
    </w:p>
    <w:p>
      <w:pPr>
        <w:framePr w:w="2901" w:wrap="around" w:vAnchor="margin" w:hAnchor="text" w:x="4640" w:y="61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深圳众禄基金销售股份有限</w:t>
      </w:r>
    </w:p>
    <w:p>
      <w:pPr>
        <w:framePr w:w="2901" w:wrap="around" w:vAnchor="margin" w:hAnchor="text" w:x="4640" w:y="61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1789" w:wrap="around" w:vAnchor="margin" w:hAnchor="text" w:x="7482"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联系人：龚江江</w:t>
      </w:r>
    </w:p>
    <w:p>
      <w:pPr>
        <w:framePr w:w="2588" w:wrap="around" w:vAnchor="margin" w:hAnchor="text" w:x="7482" w:y="86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0755-33227950</w:t>
      </w:r>
    </w:p>
    <w:p>
      <w:pPr>
        <w:framePr w:w="2588" w:wrap="around" w:vAnchor="margin" w:hAnchor="text" w:x="7482" w:y="86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0755-33227951</w:t>
      </w:r>
    </w:p>
    <w:p>
      <w:pPr>
        <w:framePr w:w="2588" w:wrap="around" w:vAnchor="margin" w:hAnchor="text" w:x="7482" w:y="867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4006-788-887</w:t>
      </w:r>
    </w:p>
    <w:p>
      <w:pPr>
        <w:framePr w:w="2588" w:wrap="around" w:vAnchor="margin" w:hAnchor="text" w:x="7482" w:y="86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www.zlfund.cn</w:t>
      </w:r>
      <w:r>
        <w:rPr>
          <w:rFonts w:ascii="SKJVQB+å®ä½" w:hAnsi="SKJVQB+å®ä½" w:cs="SKJVQB+å®ä½"/>
          <w:color w:val="000000"/>
          <w:spacing w:val="0"/>
          <w:sz w:val="21"/>
        </w:rPr>
        <w:t>、</w:t>
      </w:r>
    </w:p>
    <w:p>
      <w:pPr>
        <w:framePr w:w="2588" w:wrap="around" w:vAnchor="margin" w:hAnchor="text" w:x="7482" w:y="8675"/>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www.jjmmw.com</w:t>
      </w:r>
    </w:p>
    <w:p>
      <w:pPr>
        <w:framePr w:w="526" w:wrap="around" w:vAnchor="margin" w:hAnchor="text" w:x="4213" w:y="1024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72</w:t>
      </w:r>
    </w:p>
    <w:p>
      <w:pPr>
        <w:framePr w:w="2901" w:wrap="around" w:vAnchor="margin" w:hAnchor="text" w:x="4640"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上海好买基金销售有限公司</w:t>
      </w:r>
    </w:p>
    <w:p>
      <w:pPr>
        <w:framePr w:w="3020" w:wrap="around" w:vAnchor="margin" w:hAnchor="text" w:x="7482"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注册地址：上海市虹口区欧阳</w:t>
      </w:r>
    </w:p>
    <w:p>
      <w:pPr>
        <w:framePr w:w="3020" w:wrap="around" w:vAnchor="margin" w:hAnchor="text" w:x="7482" w:y="1025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196</w:t>
      </w:r>
      <w:r>
        <w:rPr>
          <w:rFonts w:ascii="SKJVQB+å®ä½" w:hAnsi="SKJVQB+å®ä½" w:cs="SKJVQB+å®ä½"/>
          <w:color w:val="000000"/>
          <w:spacing w:val="0"/>
          <w:sz w:val="21"/>
        </w:rPr>
        <w:t xml:space="preserve">号  </w:t>
      </w:r>
      <w:r>
        <w:rPr>
          <w:rFonts w:ascii="Times New Roman"/>
          <w:color w:val="000000"/>
          <w:spacing w:val="0"/>
          <w:sz w:val="21"/>
        </w:rPr>
        <w:t>26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 xml:space="preserve">楼  </w:t>
      </w:r>
      <w:r>
        <w:rPr>
          <w:rFonts w:ascii="Times New Roman"/>
          <w:color w:val="000000"/>
          <w:spacing w:val="0"/>
          <w:sz w:val="21"/>
        </w:rPr>
        <w:t>41</w:t>
      </w:r>
      <w:r>
        <w:rPr>
          <w:rFonts w:ascii="SKJVQB+å®ä½" w:hAnsi="SKJVQB+å®ä½" w:cs="SKJVQB+å®ä½"/>
          <w:color w:val="000000"/>
          <w:spacing w:val="0"/>
          <w:sz w:val="21"/>
        </w:rPr>
        <w:t>号</w:t>
      </w:r>
    </w:p>
    <w:p>
      <w:pPr>
        <w:framePr w:w="3020" w:wrap="around" w:vAnchor="margin" w:hAnchor="text" w:x="7482" w:y="102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办公地址：上海市浦东新区浦</w:t>
      </w:r>
    </w:p>
    <w:p>
      <w:pPr>
        <w:framePr w:w="3020" w:wrap="around" w:vAnchor="margin" w:hAnchor="text" w:x="7482" w:y="102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东南路 </w:t>
      </w:r>
      <w:r>
        <w:rPr>
          <w:rFonts w:ascii="Times New Roman"/>
          <w:color w:val="000000"/>
          <w:spacing w:val="0"/>
          <w:sz w:val="21"/>
        </w:rPr>
        <w:t>1118</w:t>
      </w:r>
      <w:r>
        <w:rPr>
          <w:rFonts w:ascii="SKJVQB+å®ä½" w:hAnsi="SKJVQB+å®ä½" w:cs="SKJVQB+å®ä½"/>
          <w:color w:val="000000"/>
          <w:spacing w:val="0"/>
          <w:sz w:val="21"/>
        </w:rPr>
        <w:t>号鄂尔多斯国际</w:t>
      </w:r>
    </w:p>
    <w:p>
      <w:pPr>
        <w:framePr w:w="3020" w:wrap="around" w:vAnchor="margin" w:hAnchor="text" w:x="7482" w:y="102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大厦 </w:t>
      </w:r>
      <w:r>
        <w:rPr>
          <w:rFonts w:ascii="Times New Roman"/>
          <w:color w:val="000000"/>
          <w:spacing w:val="0"/>
          <w:sz w:val="21"/>
        </w:rPr>
        <w:t>903</w:t>
      </w:r>
      <w:r>
        <w:rPr>
          <w:rFonts w:ascii="SKJVQB+å®ä½" w:hAnsi="SKJVQB+å®ä½" w:cs="SKJVQB+å®ä½"/>
          <w:color w:val="000000"/>
          <w:spacing w:val="0"/>
          <w:sz w:val="21"/>
        </w:rPr>
        <w:t>～</w:t>
      </w:r>
      <w:r>
        <w:rPr>
          <w:rFonts w:ascii="Times New Roman"/>
          <w:color w:val="000000"/>
          <w:spacing w:val="0"/>
          <w:sz w:val="21"/>
        </w:rPr>
        <w:t>906</w:t>
      </w:r>
      <w:r>
        <w:rPr>
          <w:rFonts w:ascii="SKJVQB+å®ä½" w:hAnsi="SKJVQB+å®ä½" w:cs="SKJVQB+å®ä½"/>
          <w:color w:val="000000"/>
          <w:spacing w:val="0"/>
          <w:sz w:val="21"/>
        </w:rPr>
        <w:t>室；上海市虹</w:t>
      </w:r>
    </w:p>
    <w:p>
      <w:pPr>
        <w:framePr w:w="3020" w:wrap="around" w:vAnchor="margin" w:hAnchor="text" w:x="7482" w:y="102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口区欧阳路 </w:t>
      </w:r>
      <w:r>
        <w:rPr>
          <w:rFonts w:ascii="Times New Roman"/>
          <w:color w:val="000000"/>
          <w:spacing w:val="0"/>
          <w:sz w:val="21"/>
        </w:rPr>
        <w:t>196</w:t>
      </w:r>
      <w:r>
        <w:rPr>
          <w:rFonts w:ascii="SKJVQB+å®ä½" w:hAnsi="SKJVQB+å®ä½" w:cs="SKJVQB+å®ä½"/>
          <w:color w:val="000000"/>
          <w:spacing w:val="0"/>
          <w:sz w:val="21"/>
        </w:rPr>
        <w:t>号（法兰桥创</w:t>
      </w:r>
    </w:p>
    <w:p>
      <w:pPr>
        <w:framePr w:w="3020" w:wrap="around" w:vAnchor="margin" w:hAnchor="text" w:x="7482" w:y="1025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意园）</w:t>
      </w:r>
      <w:r>
        <w:rPr>
          <w:rFonts w:ascii="Times New Roman"/>
          <w:color w:val="000000"/>
          <w:spacing w:val="0"/>
          <w:sz w:val="21"/>
        </w:rPr>
        <w:t>26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楼</w:t>
      </w:r>
    </w:p>
    <w:p>
      <w:pPr>
        <w:framePr w:w="2209"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法定代表人：杨文斌</w:t>
      </w:r>
    </w:p>
    <w:p>
      <w:pPr>
        <w:framePr w:w="1578" w:wrap="around" w:vAnchor="margin" w:hAnchor="text" w:x="7482" w:y="1275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联系人：张茹</w:t>
      </w:r>
    </w:p>
    <w:p>
      <w:pPr>
        <w:framePr w:w="2178" w:wrap="around" w:vAnchor="margin" w:hAnchor="text" w:x="7482" w:y="1305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021-20613999</w:t>
      </w:r>
    </w:p>
    <w:p>
      <w:pPr>
        <w:framePr w:w="2178" w:wrap="around" w:vAnchor="margin" w:hAnchor="text" w:x="7482" w:y="133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021-68596916</w:t>
      </w:r>
    </w:p>
    <w:p>
      <w:pPr>
        <w:framePr w:w="3023" w:wrap="around" w:vAnchor="margin" w:hAnchor="text" w:x="7482" w:y="13680"/>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400-700-9665</w:t>
      </w:r>
    </w:p>
    <w:p>
      <w:pPr>
        <w:framePr w:w="3023"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www.ehowbuy.com</w:t>
      </w:r>
    </w:p>
    <w:p>
      <w:pPr>
        <w:framePr w:w="3023" w:wrap="around" w:vAnchor="margin" w:hAnchor="text" w:x="7482" w:y="13680"/>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注册地址：浙江省杭州市余杭</w:t>
      </w:r>
    </w:p>
    <w:p>
      <w:pPr>
        <w:framePr w:w="3023"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区五常街道文一西路 </w:t>
      </w:r>
      <w:r>
        <w:rPr>
          <w:rFonts w:ascii="Times New Roman"/>
          <w:color w:val="000000"/>
          <w:spacing w:val="0"/>
          <w:sz w:val="21"/>
        </w:rPr>
        <w:t>969</w:t>
      </w:r>
      <w:r>
        <w:rPr>
          <w:rFonts w:ascii="SKJVQB+å®ä½" w:hAnsi="SKJVQB+å®ä½" w:cs="SKJVQB+å®ä½"/>
          <w:color w:val="000000"/>
          <w:spacing w:val="0"/>
          <w:sz w:val="21"/>
        </w:rPr>
        <w:t xml:space="preserve">号 </w:t>
      </w:r>
      <w:r>
        <w:rPr>
          <w:rFonts w:ascii="Times New Roman"/>
          <w:color w:val="000000"/>
          <w:spacing w:val="0"/>
          <w:sz w:val="21"/>
        </w:rPr>
        <w:t xml:space="preserve"> 3</w:t>
      </w:r>
    </w:p>
    <w:p>
      <w:pPr>
        <w:framePr w:w="3023" w:wrap="around" w:vAnchor="margin" w:hAnchor="text" w:x="7482" w:y="1368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幢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599</w:t>
      </w:r>
      <w:r>
        <w:rPr>
          <w:rFonts w:ascii="SKJVQB+å®ä½" w:hAnsi="SKJVQB+å®ä½" w:cs="SKJVQB+å®ä½"/>
          <w:color w:val="000000"/>
          <w:spacing w:val="0"/>
          <w:sz w:val="21"/>
        </w:rPr>
        <w:t>室</w:t>
      </w:r>
    </w:p>
    <w:p>
      <w:pPr>
        <w:framePr w:w="526" w:wrap="around" w:vAnchor="margin" w:hAnchor="text" w:x="4213" w:y="1431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73</w:t>
      </w:r>
    </w:p>
    <w:p>
      <w:pPr>
        <w:framePr w:w="3020" w:wrap="around" w:vAnchor="margin" w:hAnchor="text" w:x="4640"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蚂蚁（杭州）基金销售有限公</w:t>
      </w:r>
    </w:p>
    <w:p>
      <w:pPr>
        <w:framePr w:w="3020" w:wrap="around" w:vAnchor="margin" w:hAnchor="text" w:x="4640"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97</w:t>
      </w:r>
    </w:p>
    <w:p>
      <w:pPr>
        <w:spacing w:before="0" w:after="0" w:line="0" w:lineRule="exact"/>
        <w:ind w:left="0" w:right="0"/>
        <w:jc w:val="left"/>
        <w:rPr>
          <w:rFonts w:ascii="Arial"/>
          <w:color w:val="FF0000"/>
          <w:spacing w:val="0"/>
          <w:sz w:val="2"/>
        </w:rPr>
      </w:pPr>
      <w:r>
        <w:pict>
          <v:shape id="_x0000201" o:spid="_x0000_s122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80" o:title=""/>
            <o:lock v:ext="edit" aspectratio="t"/>
          </v:shape>
        </w:pict>
      </w:r>
      <w:r>
        <w:pict>
          <v:shape id="_x0000202" o:spid="_x0000_s122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8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办公地址：浙江省杭州市西湖</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区万塘路 </w:t>
      </w:r>
      <w:r>
        <w:rPr>
          <w:rFonts w:ascii="Times New Roman"/>
          <w:color w:val="000000"/>
          <w:spacing w:val="0"/>
          <w:sz w:val="21"/>
        </w:rPr>
        <w:t>18</w:t>
      </w:r>
      <w:r>
        <w:rPr>
          <w:rFonts w:ascii="SKJVQB+å®ä½" w:hAnsi="SKJVQB+å®ä½" w:cs="SKJVQB+å®ä½"/>
          <w:color w:val="000000"/>
          <w:spacing w:val="0"/>
          <w:sz w:val="21"/>
        </w:rPr>
        <w:t>号黄龙时代广场</w:t>
      </w:r>
    </w:p>
    <w:p>
      <w:pPr>
        <w:framePr w:w="3020" w:wrap="around" w:vAnchor="margin" w:hAnchor="text" w:x="7482" w:y="1485"/>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 xml:space="preserve"> 6F</w:t>
      </w:r>
    </w:p>
    <w:p>
      <w:pPr>
        <w:framePr w:w="2209"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法定代表人：祖国明</w:t>
      </w:r>
    </w:p>
    <w:p>
      <w:pPr>
        <w:framePr w:w="2209" w:wrap="around" w:vAnchor="margin" w:hAnchor="text" w:x="7482" w:y="24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联系人：韩爱彬</w:t>
      </w:r>
    </w:p>
    <w:p>
      <w:pPr>
        <w:framePr w:w="2871"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4000-766-123</w:t>
      </w:r>
    </w:p>
    <w:p>
      <w:pPr>
        <w:framePr w:w="2871"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公司网址：</w:t>
      </w:r>
      <w:r>
        <w:rPr>
          <w:rFonts w:ascii="Times New Roman"/>
          <w:color w:val="000000"/>
          <w:spacing w:val="0"/>
          <w:sz w:val="21"/>
        </w:rPr>
        <w:t>www.fund123.cn</w:t>
      </w:r>
    </w:p>
    <w:p>
      <w:pPr>
        <w:framePr w:w="526" w:wrap="around" w:vAnchor="margin" w:hAnchor="text" w:x="4213"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74</w:t>
      </w:r>
    </w:p>
    <w:p>
      <w:pPr>
        <w:framePr w:w="2901"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上海长量基金销售有限公司</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注册地址：上海市浦东新区高</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翔路 </w:t>
      </w:r>
      <w:r>
        <w:rPr>
          <w:rFonts w:ascii="Times New Roman"/>
          <w:color w:val="000000"/>
          <w:spacing w:val="0"/>
          <w:sz w:val="21"/>
        </w:rPr>
        <w:t>526</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幢  </w:t>
      </w:r>
      <w:r>
        <w:rPr>
          <w:rFonts w:ascii="Times New Roman"/>
          <w:color w:val="000000"/>
          <w:spacing w:val="0"/>
          <w:sz w:val="21"/>
        </w:rPr>
        <w:t>220</w:t>
      </w:r>
      <w:r>
        <w:rPr>
          <w:rFonts w:ascii="SKJVQB+å®ä½" w:hAnsi="SKJVQB+å®ä½" w:cs="SKJVQB+å®ä½"/>
          <w:color w:val="000000"/>
          <w:spacing w:val="0"/>
          <w:sz w:val="21"/>
        </w:rPr>
        <w:t>室</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办公地址：上海市浦东新区东</w:t>
      </w:r>
    </w:p>
    <w:p>
      <w:pPr>
        <w:framePr w:w="3020" w:wrap="around" w:vAnchor="margin" w:hAnchor="text" w:x="7482" w:y="3679"/>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方路 </w:t>
      </w:r>
      <w:r>
        <w:rPr>
          <w:rFonts w:ascii="Times New Roman"/>
          <w:color w:val="000000"/>
          <w:spacing w:val="0"/>
          <w:sz w:val="21"/>
        </w:rPr>
        <w:t>1267</w:t>
      </w:r>
      <w:r>
        <w:rPr>
          <w:rFonts w:ascii="SKJVQB+å®ä½" w:hAnsi="SKJVQB+å®ä½" w:cs="SKJVQB+å®ä½"/>
          <w:color w:val="000000"/>
          <w:spacing w:val="0"/>
          <w:sz w:val="21"/>
        </w:rPr>
        <w:t xml:space="preserve">号  </w:t>
      </w:r>
      <w:r>
        <w:rPr>
          <w:rFonts w:ascii="Times New Roman"/>
          <w:color w:val="000000"/>
          <w:spacing w:val="0"/>
          <w:sz w:val="21"/>
        </w:rPr>
        <w:t>11</w:t>
      </w:r>
      <w:r>
        <w:rPr>
          <w:rFonts w:ascii="SKJVQB+å®ä½" w:hAnsi="SKJVQB+å®ä½" w:cs="SKJVQB+å®ä½"/>
          <w:color w:val="000000"/>
          <w:spacing w:val="0"/>
          <w:sz w:val="21"/>
        </w:rPr>
        <w:t>层</w:t>
      </w:r>
    </w:p>
    <w:p>
      <w:pPr>
        <w:framePr w:w="2209"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法定代表人：张跃伟</w:t>
      </w:r>
    </w:p>
    <w:p>
      <w:pPr>
        <w:framePr w:w="2209"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联系人：邱燕芳</w:t>
      </w:r>
    </w:p>
    <w:p>
      <w:pPr>
        <w:framePr w:w="3021"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021-20691831</w:t>
      </w:r>
    </w:p>
    <w:p>
      <w:pPr>
        <w:framePr w:w="3021"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021-20691861</w:t>
      </w:r>
    </w:p>
    <w:p>
      <w:pPr>
        <w:framePr w:w="3021"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400-820-2899</w:t>
      </w:r>
    </w:p>
    <w:p>
      <w:pPr>
        <w:framePr w:w="3021"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www.erichfund.com</w:t>
      </w:r>
    </w:p>
    <w:p>
      <w:pPr>
        <w:framePr w:w="3021"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注册地址：上海市徐汇区龙田</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190</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层</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办公地址：上海市徐汇区宛平</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88</w:t>
      </w:r>
      <w:r>
        <w:rPr>
          <w:rFonts w:ascii="SKJVQB+å®ä½" w:hAnsi="SKJVQB+å®ä½" w:cs="SKJVQB+å®ä½"/>
          <w:color w:val="000000"/>
          <w:spacing w:val="0"/>
          <w:sz w:val="21"/>
        </w:rPr>
        <w:t>号金座大楼（东方财</w:t>
      </w:r>
    </w:p>
    <w:p>
      <w:pPr>
        <w:framePr w:w="3021"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富大厦）</w:t>
      </w:r>
    </w:p>
    <w:p>
      <w:pPr>
        <w:framePr w:w="526" w:wrap="around" w:vAnchor="margin" w:hAnchor="text" w:x="4213"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75</w:t>
      </w:r>
    </w:p>
    <w:p>
      <w:pPr>
        <w:framePr w:w="2901"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上海天天基金销售有限公司</w:t>
      </w:r>
    </w:p>
    <w:p>
      <w:pPr>
        <w:framePr w:w="1998" w:wrap="around" w:vAnchor="margin" w:hAnchor="text" w:x="7482"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法定代表人：其实</w:t>
      </w:r>
    </w:p>
    <w:p>
      <w:pPr>
        <w:framePr w:w="1789"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联系人：潘世友</w:t>
      </w:r>
    </w:p>
    <w:p>
      <w:pPr>
        <w:framePr w:w="2178"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021-54509977</w:t>
      </w:r>
    </w:p>
    <w:p>
      <w:pPr>
        <w:framePr w:w="2178"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021-64385308</w:t>
      </w:r>
    </w:p>
    <w:p>
      <w:pPr>
        <w:framePr w:w="2178"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95021 /</w:t>
      </w:r>
    </w:p>
    <w:p>
      <w:pPr>
        <w:framePr w:w="1369" w:wrap="around" w:vAnchor="margin" w:hAnchor="text" w:x="7482" w:y="992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4001818188</w:t>
      </w:r>
    </w:p>
    <w:p>
      <w:pPr>
        <w:framePr w:w="3020"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www.1234567.com.cn</w:t>
      </w:r>
    </w:p>
    <w:p>
      <w:pPr>
        <w:framePr w:w="3020" w:wrap="around" w:vAnchor="margin" w:hAnchor="text" w:x="7482" w:y="10235"/>
        <w:widowControl w:val="0"/>
        <w:autoSpaceDE w:val="0"/>
        <w:autoSpaceDN w:val="0"/>
        <w:spacing w:before="0" w:after="0" w:line="325"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注册地址：北京市顺义区后沙</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峪镇安富街 </w:t>
      </w:r>
      <w:r>
        <w:rPr>
          <w:rFonts w:ascii="Times New Roman"/>
          <w:color w:val="000000"/>
          <w:spacing w:val="0"/>
          <w:sz w:val="21"/>
        </w:rPr>
        <w:t>6</w:t>
      </w:r>
      <w:r>
        <w:rPr>
          <w:rFonts w:ascii="SKJVQB+å®ä½" w:hAnsi="SKJVQB+å®ä½" w:cs="SKJVQB+å®ä½"/>
          <w:color w:val="000000"/>
          <w:spacing w:val="0"/>
          <w:sz w:val="21"/>
        </w:rPr>
        <w:t>号</w:t>
      </w:r>
    </w:p>
    <w:p>
      <w:pPr>
        <w:framePr w:w="526" w:wrap="around" w:vAnchor="margin" w:hAnchor="text" w:x="4213" w:y="105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76</w:t>
      </w:r>
    </w:p>
    <w:p>
      <w:pPr>
        <w:framePr w:w="2901" w:wrap="around" w:vAnchor="margin" w:hAnchor="text" w:x="4640"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北京展恒基金销售股份有限</w:t>
      </w:r>
    </w:p>
    <w:p>
      <w:pPr>
        <w:framePr w:w="2901" w:wrap="around" w:vAnchor="margin" w:hAnchor="text" w:x="4640"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办公地址：北京市朝阳区安苑</w:t>
      </w:r>
    </w:p>
    <w:p>
      <w:pPr>
        <w:framePr w:w="3020" w:wrap="around" w:vAnchor="margin" w:hAnchor="text" w:x="7482"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15-1</w:t>
      </w:r>
      <w:r>
        <w:rPr>
          <w:rFonts w:ascii="SKJVQB+å®ä½" w:hAnsi="SKJVQB+å®ä½" w:cs="SKJVQB+å®ä½"/>
          <w:color w:val="000000"/>
          <w:spacing w:val="0"/>
          <w:sz w:val="21"/>
        </w:rPr>
        <w:t>号邮电新闻大厦西侧</w:t>
      </w:r>
    </w:p>
    <w:p>
      <w:pPr>
        <w:framePr w:w="3020" w:wrap="around" w:vAnchor="margin" w:hAnchor="text" w:x="7482"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6</w:t>
      </w:r>
      <w:r>
        <w:rPr>
          <w:rFonts w:ascii="SKJVQB+å®ä½" w:hAnsi="SKJVQB+å®ä½" w:cs="SKJVQB+å®ä½"/>
          <w:color w:val="000000"/>
          <w:spacing w:val="0"/>
          <w:sz w:val="21"/>
        </w:rPr>
        <w:t>层</w:t>
      </w:r>
    </w:p>
    <w:p>
      <w:pPr>
        <w:framePr w:w="1789" w:wrap="around" w:vAnchor="margin" w:hAnchor="text" w:x="7482"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联系人：武文佳</w:t>
      </w:r>
    </w:p>
    <w:p>
      <w:pPr>
        <w:framePr w:w="3020"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010-59601338</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4008188000</w:t>
      </w:r>
    </w:p>
    <w:p>
      <w:pPr>
        <w:framePr w:w="3020"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www.myfund.com</w:t>
      </w:r>
    </w:p>
    <w:p>
      <w:pPr>
        <w:framePr w:w="3020" w:wrap="around" w:vAnchor="margin" w:hAnchor="text" w:x="7482" w:y="1243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注册地址：浙江省杭州市文二</w:t>
      </w:r>
    </w:p>
    <w:p>
      <w:pPr>
        <w:framePr w:w="302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西路一号元茂大厦 </w:t>
      </w:r>
      <w:r>
        <w:rPr>
          <w:rFonts w:ascii="Times New Roman"/>
          <w:color w:val="000000"/>
          <w:spacing w:val="0"/>
          <w:sz w:val="21"/>
        </w:rPr>
        <w:t>903</w:t>
      </w:r>
      <w:r>
        <w:rPr>
          <w:rFonts w:ascii="SKJVQB+å®ä½" w:hAnsi="SKJVQB+å®ä½" w:cs="SKJVQB+å®ä½"/>
          <w:color w:val="000000"/>
          <w:spacing w:val="0"/>
          <w:sz w:val="21"/>
        </w:rPr>
        <w:t>室</w:t>
      </w:r>
    </w:p>
    <w:p>
      <w:pPr>
        <w:framePr w:w="302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办公地址：杭州市余杭区五常</w:t>
      </w:r>
    </w:p>
    <w:p>
      <w:pPr>
        <w:framePr w:w="302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街道同顺街 </w:t>
      </w:r>
      <w:r>
        <w:rPr>
          <w:rFonts w:ascii="Times New Roman"/>
          <w:color w:val="000000"/>
          <w:spacing w:val="0"/>
          <w:sz w:val="21"/>
        </w:rPr>
        <w:t>18</w:t>
      </w:r>
      <w:r>
        <w:rPr>
          <w:rFonts w:ascii="SKJVQB+å®ä½" w:hAnsi="SKJVQB+å®ä½" w:cs="SKJVQB+å®ä½"/>
          <w:color w:val="000000"/>
          <w:spacing w:val="0"/>
          <w:sz w:val="21"/>
        </w:rPr>
        <w:t xml:space="preserve"> 号同花顺大</w:t>
      </w:r>
    </w:p>
    <w:p>
      <w:pPr>
        <w:framePr w:w="3020"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4</w:t>
      </w:r>
      <w:r>
        <w:rPr>
          <w:rFonts w:ascii="SKJVQB+å®ä½" w:hAnsi="SKJVQB+å®ä½" w:cs="SKJVQB+å®ä½"/>
          <w:color w:val="000000"/>
          <w:spacing w:val="0"/>
          <w:sz w:val="21"/>
        </w:rPr>
        <w:t>层</w:t>
      </w:r>
    </w:p>
    <w:p>
      <w:pPr>
        <w:framePr w:w="526" w:wrap="around" w:vAnchor="margin" w:hAnchor="text" w:x="4213" w:y="1337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77</w:t>
      </w:r>
    </w:p>
    <w:p>
      <w:pPr>
        <w:framePr w:w="2901" w:wrap="around" w:vAnchor="margin" w:hAnchor="text" w:x="4640"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浙江同花顺基金销售有限公</w:t>
      </w:r>
    </w:p>
    <w:p>
      <w:pPr>
        <w:framePr w:w="2901" w:wrap="around" w:vAnchor="margin" w:hAnchor="text" w:x="4640" w:y="133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1998" w:wrap="around" w:vAnchor="margin" w:hAnchor="text" w:x="7482"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法定代表人：吴强</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98</w:t>
      </w:r>
    </w:p>
    <w:p>
      <w:pPr>
        <w:spacing w:before="0" w:after="0" w:line="0" w:lineRule="exact"/>
        <w:ind w:left="0" w:right="0"/>
        <w:jc w:val="left"/>
        <w:rPr>
          <w:rFonts w:ascii="Arial"/>
          <w:color w:val="FF0000"/>
          <w:spacing w:val="0"/>
          <w:sz w:val="2"/>
        </w:rPr>
      </w:pPr>
      <w:r>
        <w:pict>
          <v:shape id="_x0000203" o:spid="_x0000_s122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82" o:title=""/>
            <o:lock v:ext="edit" aspectratio="t"/>
          </v:shape>
        </w:pict>
      </w:r>
      <w:r>
        <w:pict>
          <v:shape id="_x0000204" o:spid="_x0000_s123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8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578"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联系人：吴强</w:t>
      </w:r>
    </w:p>
    <w:p>
      <w:pPr>
        <w:framePr w:w="2588"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0571-88911818</w:t>
      </w:r>
    </w:p>
    <w:p>
      <w:pPr>
        <w:framePr w:w="2588"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0571-86800423</w:t>
      </w:r>
    </w:p>
    <w:p>
      <w:pPr>
        <w:framePr w:w="2588"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4008-773-772</w:t>
      </w:r>
    </w:p>
    <w:p>
      <w:pPr>
        <w:framePr w:w="2588"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www.5ifund.com</w:t>
      </w:r>
    </w:p>
    <w:p>
      <w:pPr>
        <w:framePr w:w="526" w:wrap="around" w:vAnchor="margin" w:hAnchor="text" w:x="4213"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78</w:t>
      </w:r>
    </w:p>
    <w:p>
      <w:pPr>
        <w:framePr w:w="2901"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北京中期时代基金销售有限</w:t>
      </w:r>
    </w:p>
    <w:p>
      <w:pPr>
        <w:framePr w:w="2901" w:wrap="around" w:vAnchor="margin" w:hAnchor="text" w:x="4640"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注册地址：北京市朝阳区建国</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门外光华路 </w:t>
      </w:r>
      <w:r>
        <w:rPr>
          <w:rFonts w:ascii="Times New Roman"/>
          <w:color w:val="000000"/>
          <w:spacing w:val="0"/>
          <w:sz w:val="21"/>
        </w:rPr>
        <w:t>14</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11</w:t>
      </w:r>
      <w:r>
        <w:rPr>
          <w:rFonts w:ascii="SKJVQB+å®ä½" w:hAnsi="SKJVQB+å®ä½" w:cs="SKJVQB+å®ä½"/>
          <w:color w:val="000000"/>
          <w:spacing w:val="0"/>
          <w:sz w:val="21"/>
        </w:rPr>
        <w:t>层</w:t>
      </w:r>
    </w:p>
    <w:p>
      <w:pPr>
        <w:framePr w:w="3020"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1103</w:t>
      </w:r>
      <w:r>
        <w:rPr>
          <w:rFonts w:ascii="SKJVQB+å®ä½" w:hAnsi="SKJVQB+å®ä½" w:cs="SKJVQB+å®ä½"/>
          <w:color w:val="000000"/>
          <w:spacing w:val="0"/>
          <w:sz w:val="21"/>
        </w:rPr>
        <w:t>号</w:t>
      </w:r>
    </w:p>
    <w:p>
      <w:pPr>
        <w:framePr w:w="3020"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办公地址：北京市朝阳区光华</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16</w:t>
      </w:r>
      <w:r>
        <w:rPr>
          <w:rFonts w:ascii="SKJVQB+å®ä½" w:hAnsi="SKJVQB+å®ä½" w:cs="SKJVQB+å®ä½"/>
          <w:color w:val="000000"/>
          <w:spacing w:val="0"/>
          <w:sz w:val="21"/>
        </w:rPr>
        <w:t xml:space="preserve">号中期大厦  </w:t>
      </w:r>
      <w:r>
        <w:rPr>
          <w:rFonts w:ascii="Times New Roman"/>
          <w:color w:val="000000"/>
          <w:spacing w:val="0"/>
          <w:sz w:val="21"/>
        </w:rPr>
        <w:t>2</w:t>
      </w:r>
      <w:r>
        <w:rPr>
          <w:rFonts w:ascii="SKJVQB+å®ä½" w:hAnsi="SKJVQB+å®ä½" w:cs="SKJVQB+å®ä½"/>
          <w:color w:val="000000"/>
          <w:spacing w:val="0"/>
          <w:sz w:val="21"/>
        </w:rPr>
        <w:t>层</w:t>
      </w:r>
    </w:p>
    <w:p>
      <w:pPr>
        <w:framePr w:w="3020" w:wrap="around" w:vAnchor="margin" w:hAnchor="text" w:x="7482" w:y="399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法定代表人：姜新</w:t>
      </w:r>
    </w:p>
    <w:p>
      <w:pPr>
        <w:framePr w:w="1578"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联系人：尹庆</w:t>
      </w:r>
    </w:p>
    <w:p>
      <w:pPr>
        <w:framePr w:w="2626" w:wrap="around" w:vAnchor="margin" w:hAnchor="text" w:x="7482" w:y="523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010-65807865</w:t>
      </w:r>
    </w:p>
    <w:p>
      <w:pPr>
        <w:framePr w:w="2626"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010-65807864</w:t>
      </w:r>
    </w:p>
    <w:p>
      <w:pPr>
        <w:framePr w:w="2626"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010-65807609</w:t>
      </w:r>
    </w:p>
    <w:p>
      <w:pPr>
        <w:framePr w:w="2626" w:wrap="around" w:vAnchor="margin" w:hAnchor="text" w:x="7482" w:y="52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647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http://www.cifcofund.com</w:t>
      </w:r>
    </w:p>
    <w:p>
      <w:pPr>
        <w:framePr w:w="3020" w:wrap="around" w:vAnchor="margin" w:hAnchor="text" w:x="7482" w:y="6478"/>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注册地址：北京市朝阳区望京</w:t>
      </w:r>
    </w:p>
    <w:p>
      <w:pPr>
        <w:framePr w:w="3020" w:wrap="around" w:vAnchor="margin" w:hAnchor="text" w:x="7482" w:y="64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 </w:t>
      </w:r>
      <w:r>
        <w:rPr>
          <w:rFonts w:ascii="Times New Roman"/>
          <w:color w:val="000000"/>
          <w:spacing w:val="0"/>
          <w:sz w:val="21"/>
        </w:rPr>
        <w:t>13</w:t>
      </w:r>
      <w:r>
        <w:rPr>
          <w:rFonts w:ascii="SKJVQB+å®ä½" w:hAnsi="SKJVQB+å®ä½" w:cs="SKJVQB+å®ä½"/>
          <w:color w:val="000000"/>
          <w:spacing w:val="0"/>
          <w:sz w:val="21"/>
        </w:rPr>
        <w:t xml:space="preserve">号楼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9</w:t>
      </w:r>
      <w:r>
        <w:rPr>
          <w:rFonts w:ascii="SKJVQB+å®ä½" w:hAnsi="SKJVQB+å®ä½" w:cs="SKJVQB+å®ä½"/>
          <w:color w:val="000000"/>
          <w:spacing w:val="0"/>
          <w:sz w:val="21"/>
        </w:rPr>
        <w:t>层</w:t>
      </w:r>
    </w:p>
    <w:p>
      <w:pPr>
        <w:framePr w:w="3020" w:wrap="around" w:vAnchor="margin" w:hAnchor="text" w:x="7482" w:y="64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908</w:t>
      </w:r>
      <w:r>
        <w:rPr>
          <w:rFonts w:ascii="SKJVQB+å®ä½" w:hAnsi="SKJVQB+å®ä½" w:cs="SKJVQB+å®ä½"/>
          <w:color w:val="000000"/>
          <w:spacing w:val="0"/>
          <w:sz w:val="21"/>
        </w:rPr>
        <w:t>室</w:t>
      </w:r>
    </w:p>
    <w:p>
      <w:pPr>
        <w:framePr w:w="526" w:wrap="around" w:vAnchor="margin" w:hAnchor="text" w:x="4213"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79</w:t>
      </w:r>
    </w:p>
    <w:p>
      <w:pPr>
        <w:framePr w:w="2418"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浦领基金销售有限公司</w:t>
      </w:r>
    </w:p>
    <w:p>
      <w:pPr>
        <w:framePr w:w="3020"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framePr w:w="3020" w:wrap="around" w:vAnchor="margin" w:hAnchor="text" w:x="7482" w:y="77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浦项中心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04-08</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法定代表人：聂婉君</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联系人：李艳</w:t>
      </w:r>
    </w:p>
    <w:p>
      <w:pPr>
        <w:framePr w:w="3020"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010-59497361</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010-64788016</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400-012-5899</w:t>
      </w:r>
    </w:p>
    <w:p>
      <w:pPr>
        <w:framePr w:w="3020"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www.zscffund.com</w:t>
      </w:r>
    </w:p>
    <w:p>
      <w:pPr>
        <w:framePr w:w="3020" w:wrap="around" w:vAnchor="margin" w:hAnchor="text" w:x="7482" w:y="898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注册地址：北京市朝阳区朝外</w:t>
      </w:r>
    </w:p>
    <w:p>
      <w:pPr>
        <w:framePr w:w="3020" w:wrap="around" w:vAnchor="margin" w:hAnchor="text" w:x="7482" w:y="8987"/>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22</w:t>
      </w:r>
      <w:r>
        <w:rPr>
          <w:rFonts w:ascii="SKJVQB+å®ä½" w:hAnsi="SKJVQB+å®ä½" w:cs="SKJVQB+å®ä½"/>
          <w:color w:val="000000"/>
          <w:spacing w:val="0"/>
          <w:sz w:val="21"/>
        </w:rPr>
        <w:t xml:space="preserve">号泛利大厦  </w:t>
      </w:r>
      <w:r>
        <w:rPr>
          <w:rFonts w:ascii="Times New Roman"/>
          <w:color w:val="000000"/>
          <w:spacing w:val="0"/>
          <w:sz w:val="21"/>
        </w:rPr>
        <w:t>10</w:t>
      </w:r>
      <w:r>
        <w:rPr>
          <w:rFonts w:ascii="SKJVQB+å®ä½" w:hAnsi="SKJVQB+å®ä½" w:cs="SKJVQB+å®ä½"/>
          <w:color w:val="000000"/>
          <w:spacing w:val="0"/>
          <w:sz w:val="21"/>
        </w:rPr>
        <w:t>层</w:t>
      </w:r>
    </w:p>
    <w:p>
      <w:pPr>
        <w:framePr w:w="3020"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办公地址：北京市朝阳区朝外</w:t>
      </w:r>
    </w:p>
    <w:p>
      <w:pPr>
        <w:framePr w:w="3020"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22</w:t>
      </w:r>
      <w:r>
        <w:rPr>
          <w:rFonts w:ascii="SKJVQB+å®ä½" w:hAnsi="SKJVQB+å®ä½" w:cs="SKJVQB+å®ä½"/>
          <w:color w:val="000000"/>
          <w:spacing w:val="0"/>
          <w:sz w:val="21"/>
        </w:rPr>
        <w:t xml:space="preserve">号泛利大厦  </w:t>
      </w:r>
      <w:r>
        <w:rPr>
          <w:rFonts w:ascii="Times New Roman"/>
          <w:color w:val="000000"/>
          <w:spacing w:val="0"/>
          <w:sz w:val="21"/>
        </w:rPr>
        <w:t>10</w:t>
      </w:r>
      <w:r>
        <w:rPr>
          <w:rFonts w:ascii="SKJVQB+å®ä½" w:hAnsi="SKJVQB+å®ä½" w:cs="SKJVQB+å®ä½"/>
          <w:color w:val="000000"/>
          <w:spacing w:val="0"/>
          <w:sz w:val="21"/>
        </w:rPr>
        <w:t>层</w:t>
      </w:r>
    </w:p>
    <w:p>
      <w:pPr>
        <w:framePr w:w="3020"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法定代表人：王莉</w:t>
      </w:r>
    </w:p>
    <w:p>
      <w:pPr>
        <w:framePr w:w="526" w:wrap="around" w:vAnchor="margin" w:hAnchor="text" w:x="4213" w:y="1024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80</w:t>
      </w:r>
    </w:p>
    <w:p>
      <w:pPr>
        <w:framePr w:w="2418" w:wrap="around" w:vAnchor="margin" w:hAnchor="text" w:x="4640" w:y="102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和讯信息科技有限公司</w:t>
      </w:r>
    </w:p>
    <w:p>
      <w:pPr>
        <w:framePr w:w="1789"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联系人：陈慧慧</w:t>
      </w:r>
    </w:p>
    <w:p>
      <w:pPr>
        <w:framePr w:w="3020" w:wrap="around" w:vAnchor="margin" w:hAnchor="text" w:x="7482" w:y="1211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010-85657353</w:t>
      </w:r>
    </w:p>
    <w:p>
      <w:pPr>
        <w:framePr w:w="3020"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010-65884788</w:t>
      </w:r>
    </w:p>
    <w:p>
      <w:pPr>
        <w:framePr w:w="3020"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4009200022</w:t>
      </w:r>
    </w:p>
    <w:p>
      <w:pPr>
        <w:framePr w:w="3020"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licaike.hexun.com</w:t>
      </w:r>
    </w:p>
    <w:p>
      <w:pPr>
        <w:framePr w:w="3020" w:wrap="around" w:vAnchor="margin" w:hAnchor="text" w:x="7482" w:y="1211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注册地址：北京市朝阳区建国</w:t>
      </w:r>
    </w:p>
    <w:p>
      <w:pPr>
        <w:framePr w:w="3020" w:wrap="around" w:vAnchor="margin" w:hAnchor="text" w:x="7482" w:y="1211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 xml:space="preserve">号  </w:t>
      </w:r>
      <w:r>
        <w:rPr>
          <w:rFonts w:ascii="Times New Roman"/>
          <w:color w:val="000000"/>
          <w:spacing w:val="0"/>
          <w:sz w:val="21"/>
        </w:rPr>
        <w:t>9</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 xml:space="preserve">层  </w:t>
      </w:r>
      <w:r>
        <w:rPr>
          <w:rFonts w:ascii="Times New Roman"/>
          <w:color w:val="000000"/>
          <w:spacing w:val="0"/>
          <w:sz w:val="21"/>
        </w:rPr>
        <w:t xml:space="preserve"> 1809</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办公地址：北京市朝阳区建国</w:t>
      </w:r>
    </w:p>
    <w:p>
      <w:pPr>
        <w:framePr w:w="3020" w:wrap="around" w:vAnchor="margin" w:hAnchor="text" w:x="7482" w:y="1211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88</w:t>
      </w:r>
      <w:r>
        <w:rPr>
          <w:rFonts w:ascii="SKJVQB+å®ä½" w:hAnsi="SKJVQB+å®ä½" w:cs="SKJVQB+å®ä½"/>
          <w:color w:val="000000"/>
          <w:spacing w:val="0"/>
          <w:sz w:val="21"/>
        </w:rPr>
        <w:t xml:space="preserve">号  </w:t>
      </w:r>
      <w:r>
        <w:rPr>
          <w:rFonts w:ascii="Times New Roman"/>
          <w:color w:val="000000"/>
          <w:spacing w:val="0"/>
          <w:sz w:val="21"/>
        </w:rPr>
        <w:t>SOHO</w:t>
      </w:r>
      <w:r>
        <w:rPr>
          <w:rFonts w:ascii="SKJVQB+å®ä½" w:hAnsi="SKJVQB+å®ä½" w:cs="SKJVQB+å®ä½"/>
          <w:color w:val="000000"/>
          <w:spacing w:val="0"/>
          <w:sz w:val="21"/>
        </w:rPr>
        <w:t xml:space="preserve">现代城  </w:t>
      </w:r>
      <w:r>
        <w:rPr>
          <w:rFonts w:ascii="Times New Roman"/>
          <w:color w:val="000000"/>
          <w:spacing w:val="0"/>
          <w:sz w:val="21"/>
        </w:rPr>
        <w:t>C</w:t>
      </w:r>
      <w:r>
        <w:rPr>
          <w:rFonts w:ascii="SKJVQB+å®ä½" w:hAnsi="SKJVQB+å®ä½" w:cs="SKJVQB+å®ä½"/>
          <w:color w:val="000000"/>
          <w:spacing w:val="0"/>
          <w:sz w:val="21"/>
        </w:rPr>
        <w:t>座</w:t>
      </w:r>
    </w:p>
    <w:p>
      <w:pPr>
        <w:framePr w:w="3020" w:wrap="around" w:vAnchor="margin" w:hAnchor="text" w:x="7482" w:y="1211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1809</w:t>
      </w:r>
    </w:p>
    <w:p>
      <w:pPr>
        <w:framePr w:w="526" w:wrap="around" w:vAnchor="margin" w:hAnchor="text" w:x="4213" w:y="1337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81</w:t>
      </w:r>
    </w:p>
    <w:p>
      <w:pPr>
        <w:framePr w:w="3020" w:wrap="around" w:vAnchor="margin" w:hAnchor="text" w:x="4640"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宜信普泽（北京）基金销售有</w:t>
      </w:r>
    </w:p>
    <w:p>
      <w:pPr>
        <w:framePr w:w="3020" w:wrap="around" w:vAnchor="margin" w:hAnchor="text" w:x="4640" w:y="1338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framePr w:w="1998" w:wrap="around" w:vAnchor="margin" w:hAnchor="text" w:x="7482"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法定代表人：戎兵</w:t>
      </w:r>
    </w:p>
    <w:p>
      <w:pPr>
        <w:framePr w:w="451" w:wrap="around" w:vAnchor="margin" w:hAnchor="text" w:x="9929"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99</w:t>
      </w:r>
    </w:p>
    <w:p>
      <w:pPr>
        <w:spacing w:before="0" w:after="0" w:line="0" w:lineRule="exact"/>
        <w:ind w:left="0" w:right="0"/>
        <w:jc w:val="left"/>
        <w:rPr>
          <w:rFonts w:ascii="Arial"/>
          <w:color w:val="FF0000"/>
          <w:spacing w:val="0"/>
          <w:sz w:val="2"/>
        </w:rPr>
      </w:pPr>
      <w:r>
        <w:pict>
          <v:shape id="_x0000205" o:spid="_x0000_s123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76" o:title=""/>
            <o:lock v:ext="edit" aspectratio="t"/>
          </v:shape>
        </w:pict>
      </w:r>
      <w:r>
        <w:pict>
          <v:shape id="_x0000206" o:spid="_x0000_s1232"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8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684"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联系人：魏晨</w:t>
      </w:r>
    </w:p>
    <w:p>
      <w:pPr>
        <w:framePr w:w="2710"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010-52413385</w:t>
      </w:r>
    </w:p>
    <w:p>
      <w:pPr>
        <w:framePr w:w="2710"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010-85894285</w:t>
      </w:r>
    </w:p>
    <w:p>
      <w:pPr>
        <w:framePr w:w="2710"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4006099200</w:t>
      </w:r>
    </w:p>
    <w:p>
      <w:pPr>
        <w:framePr w:w="2710"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www.yixinfund.com</w:t>
      </w:r>
    </w:p>
    <w:p>
      <w:pPr>
        <w:framePr w:w="526" w:wrap="around" w:vAnchor="margin" w:hAnchor="text" w:x="4213"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82</w:t>
      </w:r>
    </w:p>
    <w:p>
      <w:pPr>
        <w:framePr w:w="526" w:wrap="around" w:vAnchor="margin" w:hAnchor="text" w:x="4213" w:y="3046"/>
        <w:widowControl w:val="0"/>
        <w:autoSpaceDE w:val="0"/>
        <w:autoSpaceDN w:val="0"/>
        <w:spacing w:before="0" w:after="0" w:line="3754" w:lineRule="exact"/>
        <w:ind w:left="0" w:right="0"/>
        <w:jc w:val="left"/>
        <w:rPr>
          <w:rFonts w:ascii="Times New Roman"/>
          <w:color w:val="000000"/>
          <w:spacing w:val="0"/>
          <w:sz w:val="21"/>
        </w:rPr>
      </w:pPr>
      <w:r>
        <w:rPr>
          <w:rFonts w:ascii="Times New Roman"/>
          <w:color w:val="000000"/>
          <w:spacing w:val="0"/>
          <w:sz w:val="21"/>
        </w:rPr>
        <w:t>83</w:t>
      </w:r>
    </w:p>
    <w:p>
      <w:pPr>
        <w:framePr w:w="526" w:wrap="around" w:vAnchor="margin" w:hAnchor="text" w:x="4213" w:y="3046"/>
        <w:widowControl w:val="0"/>
        <w:autoSpaceDE w:val="0"/>
        <w:autoSpaceDN w:val="0"/>
        <w:spacing w:before="0" w:after="0" w:line="3757" w:lineRule="exact"/>
        <w:ind w:left="0" w:right="0"/>
        <w:jc w:val="left"/>
        <w:rPr>
          <w:rFonts w:ascii="Times New Roman"/>
          <w:color w:val="000000"/>
          <w:spacing w:val="0"/>
          <w:sz w:val="21"/>
        </w:rPr>
      </w:pPr>
      <w:r>
        <w:rPr>
          <w:rFonts w:ascii="Times New Roman"/>
          <w:color w:val="000000"/>
          <w:spacing w:val="0"/>
          <w:sz w:val="21"/>
        </w:rPr>
        <w:t>84</w:t>
      </w:r>
    </w:p>
    <w:p>
      <w:pPr>
        <w:framePr w:w="526" w:wrap="around" w:vAnchor="margin" w:hAnchor="text" w:x="4213" w:y="3046"/>
        <w:widowControl w:val="0"/>
        <w:autoSpaceDE w:val="0"/>
        <w:autoSpaceDN w:val="0"/>
        <w:spacing w:before="0" w:after="0" w:line="3754" w:lineRule="exact"/>
        <w:ind w:left="0" w:right="0"/>
        <w:jc w:val="left"/>
        <w:rPr>
          <w:rFonts w:ascii="Times New Roman"/>
          <w:color w:val="000000"/>
          <w:spacing w:val="0"/>
          <w:sz w:val="21"/>
        </w:rPr>
      </w:pPr>
      <w:r>
        <w:rPr>
          <w:rFonts w:ascii="Times New Roman"/>
          <w:color w:val="000000"/>
          <w:spacing w:val="0"/>
          <w:sz w:val="21"/>
        </w:rPr>
        <w:t>85</w:t>
      </w:r>
    </w:p>
    <w:p>
      <w:pPr>
        <w:framePr w:w="2901"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浙江金观诚基金销售有限公</w:t>
      </w:r>
    </w:p>
    <w:p>
      <w:pPr>
        <w:framePr w:w="2901" w:wrap="around" w:vAnchor="margin" w:hAnchor="text" w:x="4640"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1"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注册地址：杭州市拱墅区登云</w:t>
      </w:r>
    </w:p>
    <w:p>
      <w:pPr>
        <w:framePr w:w="3021" w:wrap="around" w:vAnchor="margin" w:hAnchor="text" w:x="7482" w:y="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45</w:t>
      </w:r>
      <w:r>
        <w:rPr>
          <w:rFonts w:ascii="SKJVQB+å®ä½" w:hAnsi="SKJVQB+å®ä½" w:cs="SKJVQB+å®ä½"/>
          <w:color w:val="000000"/>
          <w:spacing w:val="0"/>
          <w:sz w:val="21"/>
        </w:rPr>
        <w:t>号（锦昌大厦）</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 xml:space="preserve"> 10</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1001</w:t>
      </w:r>
      <w:r>
        <w:rPr>
          <w:rFonts w:ascii="SKJVQB+å®ä½" w:hAnsi="SKJVQB+å®ä½" w:cs="SKJVQB+å®ä½"/>
          <w:color w:val="000000"/>
          <w:spacing w:val="0"/>
          <w:sz w:val="21"/>
        </w:rPr>
        <w:t>室</w:t>
      </w:r>
    </w:p>
    <w:p>
      <w:pPr>
        <w:framePr w:w="3145"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办公地址：杭州市拱墅区登云</w:t>
      </w:r>
    </w:p>
    <w:p>
      <w:pPr>
        <w:framePr w:w="3145"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43</w:t>
      </w:r>
      <w:r>
        <w:rPr>
          <w:rFonts w:ascii="SKJVQB+å®ä½" w:hAnsi="SKJVQB+å®ä½" w:cs="SKJVQB+å®ä½"/>
          <w:color w:val="000000"/>
          <w:spacing w:val="0"/>
          <w:sz w:val="21"/>
        </w:rPr>
        <w:t>号金诚集团（锦昌大厦）</w:t>
      </w:r>
    </w:p>
    <w:p>
      <w:pPr>
        <w:framePr w:w="3145" w:wrap="around" w:vAnchor="margin" w:hAnchor="text" w:x="7482" w:y="399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Times New Roman"/>
          <w:color w:val="000000"/>
          <w:spacing w:val="0"/>
          <w:sz w:val="21"/>
        </w:rPr>
        <w:t>13</w:t>
      </w:r>
      <w:r>
        <w:rPr>
          <w:rFonts w:ascii="SKJVQB+å®ä½" w:hAnsi="SKJVQB+å®ä½" w:cs="SKJVQB+å®ä½"/>
          <w:color w:val="000000"/>
          <w:spacing w:val="0"/>
          <w:sz w:val="21"/>
        </w:rPr>
        <w:t>楼</w:t>
      </w:r>
    </w:p>
    <w:p>
      <w:pPr>
        <w:framePr w:w="1578"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法人：徐黎云</w:t>
      </w:r>
    </w:p>
    <w:p>
      <w:pPr>
        <w:framePr w:w="1789"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联系人：来舒岚</w:t>
      </w:r>
    </w:p>
    <w:p>
      <w:pPr>
        <w:framePr w:w="3130"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0571-88337888</w:t>
      </w:r>
    </w:p>
    <w:p>
      <w:pPr>
        <w:framePr w:w="313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0571-88337666</w:t>
      </w:r>
    </w:p>
    <w:p>
      <w:pPr>
        <w:framePr w:w="313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400-068-0058</w:t>
      </w:r>
    </w:p>
    <w:p>
      <w:pPr>
        <w:framePr w:w="313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www.jincheng-fund.com</w:t>
      </w:r>
    </w:p>
    <w:p>
      <w:pPr>
        <w:framePr w:w="3130"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注册地址：四川省成都市成华</w:t>
      </w:r>
    </w:p>
    <w:p>
      <w:pPr>
        <w:framePr w:w="313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区建设路 </w:t>
      </w:r>
      <w:r>
        <w:rPr>
          <w:rFonts w:ascii="Times New Roman"/>
          <w:color w:val="000000"/>
          <w:spacing w:val="0"/>
          <w:sz w:val="21"/>
        </w:rPr>
        <w:t>9</w:t>
      </w:r>
      <w:r>
        <w:rPr>
          <w:rFonts w:ascii="SKJVQB+å®ä½" w:hAnsi="SKJVQB+å®ä½" w:cs="SKJVQB+å®ä½"/>
          <w:color w:val="000000"/>
          <w:spacing w:val="0"/>
          <w:sz w:val="21"/>
        </w:rPr>
        <w:t xml:space="preserve">号高地中心  </w:t>
      </w:r>
      <w:r>
        <w:rPr>
          <w:rFonts w:ascii="Times New Roman"/>
          <w:color w:val="000000"/>
          <w:spacing w:val="0"/>
          <w:sz w:val="21"/>
        </w:rPr>
        <w:t xml:space="preserve"> 1101</w:t>
      </w:r>
    </w:p>
    <w:p>
      <w:pPr>
        <w:framePr w:w="313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901"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泛华普益基金销售有限公司</w:t>
      </w:r>
    </w:p>
    <w:p>
      <w:pPr>
        <w:framePr w:w="3020"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办公地址：四川省成都市成华</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区锦江区东大街 </w:t>
      </w:r>
      <w:r>
        <w:rPr>
          <w:rFonts w:ascii="Times New Roman"/>
          <w:color w:val="000000"/>
          <w:spacing w:val="0"/>
          <w:sz w:val="21"/>
        </w:rPr>
        <w:t>99</w:t>
      </w:r>
      <w:r>
        <w:rPr>
          <w:rFonts w:ascii="SKJVQB+å®ä½" w:hAnsi="SKJVQB+å®ä½" w:cs="SKJVQB+å®ä½"/>
          <w:color w:val="000000"/>
          <w:spacing w:val="0"/>
          <w:sz w:val="21"/>
        </w:rPr>
        <w:t>号平安金</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融中心 </w:t>
      </w:r>
      <w:r>
        <w:rPr>
          <w:rFonts w:ascii="Times New Roman"/>
          <w:color w:val="000000"/>
          <w:spacing w:val="0"/>
          <w:sz w:val="21"/>
        </w:rPr>
        <w:t>1501</w:t>
      </w:r>
      <w:r>
        <w:rPr>
          <w:rFonts w:ascii="SKJVQB+å®ä½" w:hAnsi="SKJVQB+å®ä½" w:cs="SKJVQB+å®ä½"/>
          <w:color w:val="000000"/>
          <w:spacing w:val="0"/>
          <w:sz w:val="21"/>
        </w:rPr>
        <w:t>室</w:t>
      </w:r>
    </w:p>
    <w:p>
      <w:pPr>
        <w:framePr w:w="2209"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法定代表人：于海锋</w:t>
      </w:r>
    </w:p>
    <w:p>
      <w:pPr>
        <w:framePr w:w="2209"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联系人：陈金红</w:t>
      </w:r>
    </w:p>
    <w:p>
      <w:pPr>
        <w:framePr w:w="3033"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18591999779</w:t>
      </w:r>
    </w:p>
    <w:p>
      <w:pPr>
        <w:framePr w:w="3033"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028-84252474-801</w:t>
      </w:r>
    </w:p>
    <w:p>
      <w:pPr>
        <w:framePr w:w="3033"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400-8588588</w:t>
      </w:r>
    </w:p>
    <w:p>
      <w:pPr>
        <w:framePr w:w="3033"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http://www.puyifund.cn</w:t>
      </w:r>
    </w:p>
    <w:p>
      <w:pPr>
        <w:framePr w:w="3033" w:wrap="around" w:vAnchor="margin" w:hAnchor="text" w:x="7482" w:y="9299"/>
        <w:widowControl w:val="0"/>
        <w:autoSpaceDE w:val="0"/>
        <w:autoSpaceDN w:val="0"/>
        <w:spacing w:before="0" w:after="0" w:line="325"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注册地址：上海市浦东新区世</w:t>
      </w:r>
    </w:p>
    <w:p>
      <w:pPr>
        <w:framePr w:w="3033"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纪大道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46</w:t>
      </w:r>
      <w:r>
        <w:rPr>
          <w:rFonts w:ascii="SKJVQB+å®ä½" w:hAnsi="SKJVQB+å®ä½" w:cs="SKJVQB+å®ä½"/>
          <w:color w:val="000000"/>
          <w:spacing w:val="0"/>
          <w:sz w:val="21"/>
        </w:rPr>
        <w:t xml:space="preserve">楼  </w:t>
      </w:r>
      <w:r>
        <w:rPr>
          <w:rFonts w:ascii="Times New Roman"/>
          <w:color w:val="000000"/>
          <w:spacing w:val="0"/>
          <w:sz w:val="21"/>
        </w:rPr>
        <w:t>06-10</w:t>
      </w:r>
    </w:p>
    <w:p>
      <w:pPr>
        <w:framePr w:w="3033"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framePr w:w="2418" w:wrap="around" w:vAnchor="margin" w:hAnchor="text" w:x="4640"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嘉实财富管理有限公司</w:t>
      </w:r>
    </w:p>
    <w:p>
      <w:pPr>
        <w:framePr w:w="3020" w:wrap="around" w:vAnchor="margin" w:hAnchor="text" w:x="7482" w:y="115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办公地址：上海市浦东新区世</w:t>
      </w:r>
    </w:p>
    <w:p>
      <w:pPr>
        <w:framePr w:w="3020" w:wrap="around" w:vAnchor="margin" w:hAnchor="text" w:x="7482" w:y="1150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纪大道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46</w:t>
      </w:r>
      <w:r>
        <w:rPr>
          <w:rFonts w:ascii="SKJVQB+å®ä½" w:hAnsi="SKJVQB+å®ä½" w:cs="SKJVQB+å®ä½"/>
          <w:color w:val="000000"/>
          <w:spacing w:val="0"/>
          <w:sz w:val="21"/>
        </w:rPr>
        <w:t xml:space="preserve">楼  </w:t>
      </w:r>
      <w:r>
        <w:rPr>
          <w:rFonts w:ascii="Times New Roman"/>
          <w:color w:val="000000"/>
          <w:spacing w:val="0"/>
          <w:sz w:val="21"/>
        </w:rPr>
        <w:t>06-10</w:t>
      </w:r>
    </w:p>
    <w:p>
      <w:pPr>
        <w:framePr w:w="3020" w:wrap="around" w:vAnchor="margin" w:hAnchor="text" w:x="7482" w:y="1150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单元</w:t>
      </w:r>
    </w:p>
    <w:p>
      <w:pPr>
        <w:framePr w:w="2209" w:wrap="around" w:vAnchor="margin" w:hAnchor="text" w:x="7482" w:y="1243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法定代表人：赵学军</w:t>
      </w:r>
    </w:p>
    <w:p>
      <w:pPr>
        <w:framePr w:w="2209" w:wrap="around" w:vAnchor="margin" w:hAnchor="text" w:x="7482" w:y="1243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联系人：景琪</w:t>
      </w:r>
    </w:p>
    <w:p>
      <w:pPr>
        <w:framePr w:w="3020" w:wrap="around" w:vAnchor="margin" w:hAnchor="text" w:x="7482" w:y="1305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021-20289890</w:t>
      </w:r>
    </w:p>
    <w:p>
      <w:pPr>
        <w:framePr w:w="3020"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021-20280110</w:t>
      </w:r>
    </w:p>
    <w:p>
      <w:pPr>
        <w:framePr w:w="3020"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400-021-8850</w:t>
      </w:r>
    </w:p>
    <w:p>
      <w:pPr>
        <w:framePr w:w="3020"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www.harvestwm.cn</w:t>
      </w:r>
    </w:p>
    <w:p>
      <w:pPr>
        <w:framePr w:w="3020" w:wrap="around" w:vAnchor="margin" w:hAnchor="text" w:x="7482" w:y="1305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framePr w:w="3020" w:wrap="around" w:vAnchor="margin" w:hAnchor="text" w:x="7482" w:y="1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街道民田路 </w:t>
      </w:r>
      <w:r>
        <w:rPr>
          <w:rFonts w:ascii="Times New Roman"/>
          <w:color w:val="000000"/>
          <w:spacing w:val="0"/>
          <w:sz w:val="21"/>
        </w:rPr>
        <w:t>178</w:t>
      </w:r>
      <w:r>
        <w:rPr>
          <w:rFonts w:ascii="SKJVQB+å®ä½" w:hAnsi="SKJVQB+å®ä½" w:cs="SKJVQB+å®ä½"/>
          <w:color w:val="000000"/>
          <w:spacing w:val="0"/>
          <w:sz w:val="21"/>
        </w:rPr>
        <w:t>号华融大厦</w:t>
      </w:r>
    </w:p>
    <w:p>
      <w:pPr>
        <w:framePr w:w="3020"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Times New Roman"/>
          <w:color w:val="000000"/>
          <w:spacing w:val="0"/>
          <w:sz w:val="21"/>
        </w:rPr>
        <w:t>27</w:t>
      </w:r>
      <w:r>
        <w:rPr>
          <w:rFonts w:ascii="SKJVQB+å®ä½" w:hAnsi="SKJVQB+å®ä½" w:cs="SKJVQB+å®ä½"/>
          <w:color w:val="000000"/>
          <w:spacing w:val="0"/>
          <w:sz w:val="21"/>
        </w:rPr>
        <w:t xml:space="preserve">层  </w:t>
      </w:r>
      <w:r>
        <w:rPr>
          <w:rFonts w:ascii="Times New Roman"/>
          <w:color w:val="000000"/>
          <w:spacing w:val="0"/>
          <w:sz w:val="21"/>
        </w:rPr>
        <w:t xml:space="preserve"> 2704</w:t>
      </w:r>
    </w:p>
    <w:p>
      <w:pPr>
        <w:framePr w:w="2901" w:wrap="around" w:vAnchor="margin" w:hAnchor="text" w:x="4640"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深圳市新兰德证券投资咨询</w:t>
      </w:r>
    </w:p>
    <w:p>
      <w:pPr>
        <w:framePr w:w="2901" w:wrap="around" w:vAnchor="margin" w:hAnchor="text" w:x="4640"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100</w:t>
      </w:r>
    </w:p>
    <w:p>
      <w:pPr>
        <w:spacing w:before="0" w:after="0" w:line="0" w:lineRule="exact"/>
        <w:ind w:left="0" w:right="0"/>
        <w:jc w:val="left"/>
        <w:rPr>
          <w:rFonts w:ascii="Arial"/>
          <w:color w:val="FF0000"/>
          <w:spacing w:val="0"/>
          <w:sz w:val="2"/>
        </w:rPr>
      </w:pPr>
      <w:r>
        <w:pict>
          <v:shape id="_x0000207" o:spid="_x0000_s123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85" o:title=""/>
            <o:lock v:ext="edit" aspectratio="t"/>
          </v:shape>
        </w:pict>
      </w:r>
      <w:r>
        <w:pict>
          <v:shape id="_x0000208" o:spid="_x0000_s1234"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8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1"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办公地址：北京市西城区宣武</w:t>
      </w:r>
    </w:p>
    <w:p>
      <w:pPr>
        <w:framePr w:w="3021"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门外大街 </w:t>
      </w:r>
      <w:r>
        <w:rPr>
          <w:rFonts w:ascii="Times New Roman"/>
          <w:color w:val="000000"/>
          <w:spacing w:val="0"/>
          <w:sz w:val="21"/>
        </w:rPr>
        <w:t>28</w:t>
      </w:r>
      <w:r>
        <w:rPr>
          <w:rFonts w:ascii="SKJVQB+å®ä½" w:hAnsi="SKJVQB+å®ä½" w:cs="SKJVQB+å®ä½"/>
          <w:color w:val="000000"/>
          <w:spacing w:val="0"/>
          <w:sz w:val="21"/>
        </w:rPr>
        <w:t xml:space="preserve">号富卓大厦  </w:t>
      </w:r>
      <w:r>
        <w:rPr>
          <w:rFonts w:ascii="Times New Roman"/>
          <w:color w:val="000000"/>
          <w:spacing w:val="0"/>
          <w:sz w:val="21"/>
        </w:rPr>
        <w:t>7</w:t>
      </w:r>
      <w:r>
        <w:rPr>
          <w:rFonts w:ascii="SKJVQB+å®ä½" w:hAnsi="SKJVQB+å®ä½" w:cs="SKJVQB+å®ä½"/>
          <w:color w:val="000000"/>
          <w:spacing w:val="0"/>
          <w:sz w:val="21"/>
        </w:rPr>
        <w:t>层</w:t>
      </w:r>
    </w:p>
    <w:p>
      <w:pPr>
        <w:framePr w:w="3021"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法定代表人：洪弘</w:t>
      </w:r>
    </w:p>
    <w:p>
      <w:pPr>
        <w:framePr w:w="1578"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联系人：文雯</w:t>
      </w:r>
    </w:p>
    <w:p>
      <w:pPr>
        <w:framePr w:w="2178"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010-83363101</w:t>
      </w:r>
    </w:p>
    <w:p>
      <w:pPr>
        <w:framePr w:w="2178"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010-83363072</w:t>
      </w:r>
    </w:p>
    <w:p>
      <w:pPr>
        <w:framePr w:w="2580"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400-166-1188</w:t>
      </w:r>
    </w:p>
    <w:p>
      <w:pPr>
        <w:framePr w:w="2580"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https://8.jrj.com.cn</w:t>
      </w:r>
    </w:p>
    <w:p>
      <w:pPr>
        <w:framePr w:w="526" w:wrap="around" w:vAnchor="margin" w:hAnchor="text" w:x="4213" w:y="398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86</w:t>
      </w:r>
    </w:p>
    <w:p>
      <w:pPr>
        <w:framePr w:w="2901" w:wrap="around" w:vAnchor="margin" w:hAnchor="text" w:x="4640"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北京恒天明泽基金销售有限</w:t>
      </w:r>
    </w:p>
    <w:p>
      <w:pPr>
        <w:framePr w:w="2901" w:wrap="around" w:vAnchor="margin" w:hAnchor="text" w:x="4640"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注册地址：北京市经济技术开</w:t>
      </w:r>
    </w:p>
    <w:p>
      <w:pPr>
        <w:framePr w:w="3020" w:wrap="around" w:vAnchor="margin" w:hAnchor="text" w:x="7482" w:y="39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发区宏达北路 </w:t>
      </w:r>
      <w:r>
        <w:rPr>
          <w:rFonts w:ascii="Times New Roman"/>
          <w:color w:val="000000"/>
          <w:spacing w:val="0"/>
          <w:sz w:val="21"/>
        </w:rPr>
        <w:t>10</w:t>
      </w:r>
      <w:r>
        <w:rPr>
          <w:rFonts w:ascii="SKJVQB+å®ä½" w:hAnsi="SKJVQB+å®ä½" w:cs="SKJVQB+å®ä½"/>
          <w:color w:val="000000"/>
          <w:spacing w:val="0"/>
          <w:sz w:val="21"/>
        </w:rPr>
        <w:t xml:space="preserve">号五层 </w:t>
      </w:r>
      <w:r>
        <w:rPr>
          <w:rFonts w:ascii="Times New Roman"/>
          <w:color w:val="000000"/>
          <w:spacing w:val="0"/>
          <w:sz w:val="21"/>
        </w:rPr>
        <w:t xml:space="preserve"> 5122</w:t>
      </w:r>
    </w:p>
    <w:p>
      <w:pPr>
        <w:framePr w:w="3020" w:wrap="around" w:vAnchor="margin" w:hAnchor="text" w:x="7482" w:y="399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3020"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办公地址：北京市朝阳区东三</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环北路甲 </w:t>
      </w:r>
      <w:r>
        <w:rPr>
          <w:rFonts w:ascii="Times New Roman"/>
          <w:color w:val="000000"/>
          <w:spacing w:val="0"/>
          <w:sz w:val="21"/>
        </w:rPr>
        <w:t>19</w:t>
      </w:r>
      <w:r>
        <w:rPr>
          <w:rFonts w:ascii="SKJVQB+å®ä½" w:hAnsi="SKJVQB+å®ä½" w:cs="SKJVQB+å®ä½"/>
          <w:color w:val="000000"/>
          <w:spacing w:val="0"/>
          <w:sz w:val="21"/>
        </w:rPr>
        <w:t xml:space="preserve">号 </w:t>
      </w:r>
      <w:r>
        <w:rPr>
          <w:rFonts w:ascii="Times New Roman"/>
          <w:color w:val="000000"/>
          <w:spacing w:val="0"/>
          <w:sz w:val="21"/>
        </w:rPr>
        <w:t>SOHO</w:t>
      </w:r>
      <w:r>
        <w:rPr>
          <w:rFonts w:ascii="SKJVQB+å®ä½" w:hAnsi="SKJVQB+å®ä½" w:cs="SKJVQB+å®ä½"/>
          <w:color w:val="000000"/>
          <w:spacing w:val="0"/>
          <w:sz w:val="21"/>
        </w:rPr>
        <w:t>嘉盛中</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心 </w:t>
      </w:r>
      <w:r>
        <w:rPr>
          <w:rFonts w:ascii="Times New Roman"/>
          <w:color w:val="000000"/>
          <w:spacing w:val="0"/>
          <w:sz w:val="21"/>
        </w:rPr>
        <w:t>30</w:t>
      </w:r>
      <w:r>
        <w:rPr>
          <w:rFonts w:ascii="SKJVQB+å®ä½" w:hAnsi="SKJVQB+å®ä½" w:cs="SKJVQB+å®ä½"/>
          <w:color w:val="000000"/>
          <w:spacing w:val="0"/>
          <w:sz w:val="21"/>
        </w:rPr>
        <w:t xml:space="preserve">层  </w:t>
      </w:r>
      <w:r>
        <w:rPr>
          <w:rFonts w:ascii="Times New Roman"/>
          <w:color w:val="000000"/>
          <w:spacing w:val="0"/>
          <w:sz w:val="21"/>
        </w:rPr>
        <w:t>3001</w:t>
      </w:r>
      <w:r>
        <w:rPr>
          <w:rFonts w:ascii="SKJVQB+å®ä½" w:hAnsi="SKJVQB+å®ä½" w:cs="SKJVQB+å®ä½"/>
          <w:color w:val="000000"/>
          <w:spacing w:val="0"/>
          <w:sz w:val="21"/>
        </w:rPr>
        <w:t>室</w:t>
      </w:r>
    </w:p>
    <w:p>
      <w:pPr>
        <w:framePr w:w="1998" w:wrap="around" w:vAnchor="margin" w:hAnchor="text" w:x="7482" w:y="58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法定代表人：周斌</w:t>
      </w:r>
    </w:p>
    <w:p>
      <w:pPr>
        <w:framePr w:w="1789"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联系人：侯艳红</w:t>
      </w:r>
    </w:p>
    <w:p>
      <w:pPr>
        <w:framePr w:w="2106"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13910678503</w:t>
      </w:r>
    </w:p>
    <w:p>
      <w:pPr>
        <w:framePr w:w="2178" w:wrap="around" w:vAnchor="margin" w:hAnchor="text" w:x="7482" w:y="679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010-57756199</w:t>
      </w:r>
    </w:p>
    <w:p>
      <w:pPr>
        <w:framePr w:w="3020" w:wrap="around" w:vAnchor="margin" w:hAnchor="text" w:x="7482" w:y="710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4008980618</w:t>
      </w:r>
    </w:p>
    <w:p>
      <w:pPr>
        <w:framePr w:w="3020" w:wrap="around" w:vAnchor="margin" w:hAnchor="text" w:x="7482" w:y="710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www.chtwm.com</w:t>
      </w:r>
    </w:p>
    <w:p>
      <w:pPr>
        <w:framePr w:w="3020" w:wrap="around" w:vAnchor="margin" w:hAnchor="text" w:x="7482" w:y="710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注册地址：北京市海淀区丹棱</w:t>
      </w:r>
    </w:p>
    <w:p>
      <w:pPr>
        <w:framePr w:w="3020" w:wrap="around" w:vAnchor="margin" w:hAnchor="text" w:x="7482" w:y="710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1008-1012</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办公地址：北京市海淀区丹棱</w:t>
      </w:r>
    </w:p>
    <w:p>
      <w:pPr>
        <w:framePr w:w="3020" w:wrap="around" w:vAnchor="margin" w:hAnchor="text" w:x="7482" w:y="710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街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9</w:t>
      </w:r>
      <w:r>
        <w:rPr>
          <w:rFonts w:ascii="SKJVQB+å®ä½" w:hAnsi="SKJVQB+å®ä½" w:cs="SKJVQB+å®ä½"/>
          <w:color w:val="000000"/>
          <w:spacing w:val="0"/>
          <w:sz w:val="21"/>
        </w:rPr>
        <w:t xml:space="preserve">层  </w:t>
      </w:r>
      <w:r>
        <w:rPr>
          <w:rFonts w:ascii="Times New Roman"/>
          <w:color w:val="000000"/>
          <w:spacing w:val="0"/>
          <w:sz w:val="21"/>
        </w:rPr>
        <w:t>1008-1012</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法定代表人：赵荣春</w:t>
      </w:r>
    </w:p>
    <w:p>
      <w:pPr>
        <w:framePr w:w="526" w:wrap="around" w:vAnchor="margin" w:hAnchor="text" w:x="4213" w:y="77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87</w:t>
      </w:r>
    </w:p>
    <w:p>
      <w:pPr>
        <w:framePr w:w="2901"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北京钱景基金销售有限公司</w:t>
      </w:r>
    </w:p>
    <w:p>
      <w:pPr>
        <w:framePr w:w="1578" w:wrap="around" w:vAnchor="margin" w:hAnchor="text" w:x="7482" w:y="93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联系人：李超</w:t>
      </w:r>
    </w:p>
    <w:p>
      <w:pPr>
        <w:framePr w:w="2178"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010-56200948</w:t>
      </w:r>
    </w:p>
    <w:p>
      <w:pPr>
        <w:framePr w:w="2178" w:wrap="around" w:vAnchor="margin" w:hAnchor="text" w:x="7482" w:y="992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010-57569671</w:t>
      </w:r>
    </w:p>
    <w:p>
      <w:pPr>
        <w:framePr w:w="3020"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400-893-6885</w:t>
      </w:r>
    </w:p>
    <w:p>
      <w:pPr>
        <w:framePr w:w="3020" w:wrap="around" w:vAnchor="margin" w:hAnchor="text" w:x="7482" w:y="1023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www.qianjing.com</w:t>
      </w:r>
    </w:p>
    <w:p>
      <w:pPr>
        <w:framePr w:w="3020" w:wrap="around" w:vAnchor="margin" w:hAnchor="text" w:x="7482" w:y="1023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作区前湾一路鲤鱼门街 </w:t>
      </w:r>
      <w:r>
        <w:rPr>
          <w:rFonts w:ascii="Times New Roman"/>
          <w:color w:val="000000"/>
          <w:spacing w:val="0"/>
          <w:sz w:val="21"/>
        </w:rPr>
        <w:t>1</w:t>
      </w:r>
      <w:r>
        <w:rPr>
          <w:rFonts w:ascii="SKJVQB+å®ä½" w:hAnsi="SKJVQB+å®ä½" w:cs="SKJVQB+å®ä½"/>
          <w:color w:val="000000"/>
          <w:spacing w:val="0"/>
          <w:sz w:val="21"/>
        </w:rPr>
        <w:t>号</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前海深港合作区管理局综合</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办公楼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201</w:t>
      </w:r>
      <w:r>
        <w:rPr>
          <w:rFonts w:ascii="SKJVQB+å®ä½" w:hAnsi="SKJVQB+å®ä½" w:cs="SKJVQB+å®ä½"/>
          <w:color w:val="000000"/>
          <w:spacing w:val="0"/>
          <w:sz w:val="21"/>
        </w:rPr>
        <w:t>室</w:t>
      </w:r>
    </w:p>
    <w:p>
      <w:pPr>
        <w:framePr w:w="526" w:wrap="around" w:vAnchor="margin" w:hAnchor="text" w:x="4213" w:y="1086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88</w:t>
      </w:r>
    </w:p>
    <w:p>
      <w:pPr>
        <w:framePr w:w="2901"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深圳宜投基金销售有限公司</w:t>
      </w:r>
    </w:p>
    <w:p>
      <w:pPr>
        <w:framePr w:w="3020" w:wrap="around" w:vAnchor="margin" w:hAnchor="text" w:x="7482"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办公地址：深圳市福田区嘉里</w:t>
      </w:r>
    </w:p>
    <w:p>
      <w:pPr>
        <w:framePr w:w="3020" w:wrap="around" w:vAnchor="margin" w:hAnchor="text" w:x="7482" w:y="1212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建设广场 </w:t>
      </w:r>
      <w:r>
        <w:rPr>
          <w:rFonts w:ascii="Times New Roman"/>
          <w:color w:val="000000"/>
          <w:spacing w:val="0"/>
          <w:sz w:val="21"/>
        </w:rPr>
        <w:t>2</w:t>
      </w:r>
      <w:r>
        <w:rPr>
          <w:rFonts w:ascii="SKJVQB+å®ä½" w:hAnsi="SKJVQB+å®ä½" w:cs="SKJVQB+å®ä½"/>
          <w:color w:val="000000"/>
          <w:spacing w:val="0"/>
          <w:sz w:val="21"/>
        </w:rPr>
        <w:t xml:space="preserve">座  </w:t>
      </w:r>
      <w:r>
        <w:rPr>
          <w:rFonts w:ascii="Times New Roman"/>
          <w:color w:val="000000"/>
          <w:spacing w:val="0"/>
          <w:sz w:val="21"/>
        </w:rPr>
        <w:t>15</w:t>
      </w:r>
      <w:r>
        <w:rPr>
          <w:rFonts w:ascii="SKJVQB+å®ä½" w:hAnsi="SKJVQB+å®ä½" w:cs="SKJVQB+å®ä½"/>
          <w:color w:val="000000"/>
          <w:spacing w:val="0"/>
          <w:sz w:val="21"/>
        </w:rPr>
        <w:t>层</w:t>
      </w:r>
    </w:p>
    <w:p>
      <w:pPr>
        <w:framePr w:w="2209" w:wrap="around" w:vAnchor="margin" w:hAnchor="text" w:x="7482" w:y="1275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法定代表人：雷凤潮</w:t>
      </w:r>
    </w:p>
    <w:p>
      <w:pPr>
        <w:framePr w:w="1789" w:wrap="around" w:vAnchor="margin" w:hAnchor="text" w:x="7482" w:y="1306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联系人：梁菲菲</w:t>
      </w:r>
    </w:p>
    <w:p>
      <w:pPr>
        <w:framePr w:w="3020" w:wrap="around" w:vAnchor="margin" w:hAnchor="text" w:x="7482" w:y="133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0755-33043063</w:t>
      </w:r>
    </w:p>
    <w:p>
      <w:pPr>
        <w:framePr w:w="3020"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4008955811</w:t>
      </w:r>
    </w:p>
    <w:p>
      <w:pPr>
        <w:framePr w:w="3020"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www.yitfund.com</w:t>
      </w:r>
    </w:p>
    <w:p>
      <w:pPr>
        <w:framePr w:w="3020" w:wrap="around" w:vAnchor="margin" w:hAnchor="text" w:x="7482" w:y="1336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注册地址：北京市西城区民</w:t>
      </w:r>
    </w:p>
    <w:p>
      <w:pPr>
        <w:framePr w:w="3020"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丰胡同 </w:t>
      </w:r>
      <w:r>
        <w:rPr>
          <w:rFonts w:ascii="Times New Roman"/>
          <w:color w:val="000000"/>
          <w:spacing w:val="0"/>
          <w:sz w:val="21"/>
        </w:rPr>
        <w:t>31</w:t>
      </w:r>
      <w:r>
        <w:rPr>
          <w:rFonts w:ascii="SKJVQB+å®ä½" w:hAnsi="SKJVQB+å®ä½" w:cs="SKJVQB+å®ä½"/>
          <w:color w:val="000000"/>
          <w:spacing w:val="0"/>
          <w:sz w:val="21"/>
        </w:rPr>
        <w:t xml:space="preserve">号  </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 xml:space="preserve"> 215A</w:t>
      </w:r>
    </w:p>
    <w:p>
      <w:pPr>
        <w:framePr w:w="3020" w:wrap="around" w:vAnchor="margin" w:hAnchor="text" w:x="7482" w:y="1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办公地址：北京市西城区白</w:t>
      </w:r>
    </w:p>
    <w:p>
      <w:pPr>
        <w:framePr w:w="526" w:wrap="around" w:vAnchor="margin" w:hAnchor="text" w:x="4213" w:y="1431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89</w:t>
      </w:r>
    </w:p>
    <w:p>
      <w:pPr>
        <w:framePr w:w="2901" w:wrap="around" w:vAnchor="margin" w:hAnchor="text" w:x="4640"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北京创金启富基金销售有限</w:t>
      </w:r>
    </w:p>
    <w:p>
      <w:pPr>
        <w:framePr w:w="2901" w:wrap="around" w:vAnchor="margin" w:hAnchor="text" w:x="4640"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101</w:t>
      </w:r>
    </w:p>
    <w:p>
      <w:pPr>
        <w:spacing w:before="0" w:after="0" w:line="0" w:lineRule="exact"/>
        <w:ind w:left="0" w:right="0"/>
        <w:jc w:val="left"/>
        <w:rPr>
          <w:rFonts w:ascii="Arial"/>
          <w:color w:val="FF0000"/>
          <w:spacing w:val="0"/>
          <w:sz w:val="2"/>
        </w:rPr>
      </w:pPr>
      <w:r>
        <w:pict>
          <v:shape id="_x0000209" o:spid="_x0000_s123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42" o:title=""/>
            <o:lock v:ext="edit" aspectratio="t"/>
          </v:shape>
        </w:pict>
      </w:r>
      <w:r>
        <w:pict>
          <v:shape id="_x0000210" o:spid="_x0000_s1236"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4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578"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纸坊东街 </w:t>
      </w:r>
      <w:r>
        <w:rPr>
          <w:rFonts w:ascii="Times New Roman"/>
          <w:color w:val="000000"/>
          <w:spacing w:val="0"/>
          <w:sz w:val="21"/>
        </w:rPr>
        <w:t>2</w:t>
      </w:r>
      <w:r>
        <w:rPr>
          <w:rFonts w:ascii="SKJVQB+å®ä½" w:hAnsi="SKJVQB+å®ä½" w:cs="SKJVQB+å®ä½"/>
          <w:color w:val="000000"/>
          <w:spacing w:val="0"/>
          <w:sz w:val="21"/>
        </w:rPr>
        <w:t>号</w:t>
      </w:r>
    </w:p>
    <w:p>
      <w:pPr>
        <w:framePr w:w="2893"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经济日报社综合楼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 xml:space="preserve"> 712</w:t>
      </w:r>
    </w:p>
    <w:p>
      <w:pPr>
        <w:framePr w:w="2893" w:wrap="around" w:vAnchor="margin" w:hAnchor="text" w:x="7482" w:y="17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1998"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法定代表人：梁蓉</w:t>
      </w:r>
    </w:p>
    <w:p>
      <w:pPr>
        <w:framePr w:w="1998" w:wrap="around" w:vAnchor="margin" w:hAnchor="text" w:x="7482" w:y="242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联系人：魏素清</w:t>
      </w:r>
    </w:p>
    <w:p>
      <w:pPr>
        <w:framePr w:w="2709"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010-66154828-8006</w:t>
      </w:r>
    </w:p>
    <w:p>
      <w:pPr>
        <w:framePr w:w="2709"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010-63583991</w:t>
      </w:r>
    </w:p>
    <w:p>
      <w:pPr>
        <w:framePr w:w="2709"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400-6262-818</w:t>
      </w:r>
    </w:p>
    <w:p>
      <w:pPr>
        <w:framePr w:w="2709"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www.5irich.com</w:t>
      </w:r>
    </w:p>
    <w:p>
      <w:pPr>
        <w:framePr w:w="526" w:wrap="around" w:vAnchor="margin" w:hAnchor="text" w:x="4213"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90</w:t>
      </w:r>
    </w:p>
    <w:p>
      <w:pPr>
        <w:framePr w:w="2418"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海银基金销售有限公司</w:t>
      </w:r>
    </w:p>
    <w:p>
      <w:pPr>
        <w:framePr w:w="3021" w:wrap="around" w:vAnchor="margin" w:hAnchor="text" w:x="7482" w:y="4296"/>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w:t>
      </w:r>
      <w:r>
        <w:rPr>
          <w:rFonts w:ascii="Times New Roman"/>
          <w:color w:val="000000"/>
          <w:spacing w:val="0"/>
          <w:sz w:val="21"/>
        </w:rPr>
        <w:t>(</w:t>
      </w:r>
      <w:r>
        <w:rPr>
          <w:rFonts w:ascii="SKJVQB+å®ä½" w:hAnsi="SKJVQB+å®ä½" w:cs="SKJVQB+å®ä½"/>
          <w:color w:val="000000"/>
          <w:spacing w:val="0"/>
          <w:sz w:val="21"/>
        </w:rPr>
        <w:t>上海</w:t>
      </w:r>
      <w:r>
        <w:rPr>
          <w:rFonts w:ascii="Times New Roman"/>
          <w:color w:val="000000"/>
          <w:spacing w:val="0"/>
          <w:sz w:val="21"/>
        </w:rPr>
        <w:t>)</w:t>
      </w:r>
      <w:r>
        <w:rPr>
          <w:rFonts w:ascii="SKJVQB+å®ä½" w:hAnsi="SKJVQB+å®ä½" w:cs="SKJVQB+å®ä½"/>
          <w:color w:val="000000"/>
          <w:spacing w:val="0"/>
          <w:sz w:val="21"/>
        </w:rPr>
        <w:t>自由贸</w:t>
      </w:r>
    </w:p>
    <w:p>
      <w:pPr>
        <w:framePr w:w="3021" w:wrap="around" w:vAnchor="margin" w:hAnchor="text" w:x="7482" w:y="4296"/>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 xml:space="preserve">易试验区银城中路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 xml:space="preserve"> 402</w:t>
      </w:r>
    </w:p>
    <w:p>
      <w:pPr>
        <w:framePr w:w="3021" w:wrap="around" w:vAnchor="margin" w:hAnchor="text" w:x="7482" w:y="42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3020"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办公地址：上海市浦东新区银</w:t>
      </w:r>
    </w:p>
    <w:p>
      <w:pPr>
        <w:framePr w:w="3020" w:wrap="around" w:vAnchor="margin" w:hAnchor="text" w:x="7482"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城中路 </w:t>
      </w:r>
      <w:r>
        <w:rPr>
          <w:rFonts w:ascii="Times New Roman"/>
          <w:color w:val="000000"/>
          <w:spacing w:val="0"/>
          <w:sz w:val="21"/>
        </w:rPr>
        <w:t>8</w:t>
      </w:r>
      <w:r>
        <w:rPr>
          <w:rFonts w:ascii="SKJVQB+å®ä½" w:hAnsi="SKJVQB+å®ä½" w:cs="SKJVQB+å®ä½"/>
          <w:color w:val="000000"/>
          <w:spacing w:val="0"/>
          <w:sz w:val="21"/>
        </w:rPr>
        <w:t xml:space="preserve">号  </w:t>
      </w:r>
      <w:r>
        <w:rPr>
          <w:rFonts w:ascii="Times New Roman"/>
          <w:color w:val="000000"/>
          <w:spacing w:val="0"/>
          <w:sz w:val="21"/>
        </w:rPr>
        <w:t>4</w:t>
      </w:r>
      <w:r>
        <w:rPr>
          <w:rFonts w:ascii="SKJVQB+å®ä½" w:hAnsi="SKJVQB+å®ä½" w:cs="SKJVQB+å®ä½"/>
          <w:color w:val="000000"/>
          <w:spacing w:val="0"/>
          <w:sz w:val="21"/>
        </w:rPr>
        <w:t>楼</w:t>
      </w:r>
    </w:p>
    <w:p>
      <w:pPr>
        <w:framePr w:w="2209" w:wrap="around" w:vAnchor="margin" w:hAnchor="text" w:x="7482" w:y="58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法定代表人：巩巧丽</w:t>
      </w:r>
    </w:p>
    <w:p>
      <w:pPr>
        <w:framePr w:w="2209" w:wrap="around" w:vAnchor="margin" w:hAnchor="text" w:x="7482" w:y="58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联系人：刘晖</w:t>
      </w:r>
    </w:p>
    <w:p>
      <w:pPr>
        <w:framePr w:w="3020"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021-60206991</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021-80133413</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400-808-1016</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www.fundhaiyin.com</w:t>
      </w:r>
    </w:p>
    <w:p>
      <w:pPr>
        <w:framePr w:w="3020" w:wrap="around" w:vAnchor="margin" w:hAnchor="text" w:x="7482" w:y="648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注册地址：北京市密云县兴盛</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8</w:t>
      </w:r>
      <w:r>
        <w:rPr>
          <w:rFonts w:ascii="SKJVQB+å®ä½" w:hAnsi="SKJVQB+å®ä½" w:cs="SKJVQB+å®ä½"/>
          <w:color w:val="000000"/>
          <w:spacing w:val="0"/>
          <w:sz w:val="21"/>
        </w:rPr>
        <w:t xml:space="preserve">号院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106-67</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办公地址：北京市朝阳区盛世</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龙源国食苑 </w:t>
      </w:r>
      <w:r>
        <w:rPr>
          <w:rFonts w:ascii="Times New Roman"/>
          <w:color w:val="000000"/>
          <w:spacing w:val="0"/>
          <w:sz w:val="21"/>
        </w:rPr>
        <w:t>10</w:t>
      </w:r>
      <w:r>
        <w:rPr>
          <w:rFonts w:ascii="SKJVQB+å®ä½" w:hAnsi="SKJVQB+å®ä½" w:cs="SKJVQB+å®ä½"/>
          <w:color w:val="000000"/>
          <w:spacing w:val="0"/>
          <w:sz w:val="21"/>
        </w:rPr>
        <w:t>号楼</w:t>
      </w:r>
    </w:p>
    <w:p>
      <w:pPr>
        <w:framePr w:w="526" w:wrap="around" w:vAnchor="margin" w:hAnchor="text" w:x="4213" w:y="77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91</w:t>
      </w:r>
    </w:p>
    <w:p>
      <w:pPr>
        <w:framePr w:w="2901"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北京植信基金销售有限公司</w:t>
      </w:r>
    </w:p>
    <w:p>
      <w:pPr>
        <w:framePr w:w="2312" w:wrap="around" w:vAnchor="margin" w:hAnchor="text" w:x="7482"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法定代表人：王军辉</w:t>
      </w:r>
    </w:p>
    <w:p>
      <w:pPr>
        <w:framePr w:w="2312" w:wrap="around" w:vAnchor="margin" w:hAnchor="text" w:x="7482" w:y="89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联系人：吴鹏</w:t>
      </w:r>
    </w:p>
    <w:p>
      <w:pPr>
        <w:framePr w:w="2588"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010-56075718</w:t>
      </w:r>
    </w:p>
    <w:p>
      <w:pPr>
        <w:framePr w:w="2588"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010-67767615</w:t>
      </w:r>
    </w:p>
    <w:p>
      <w:pPr>
        <w:framePr w:w="2588"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4006-802-123</w:t>
      </w:r>
    </w:p>
    <w:p>
      <w:pPr>
        <w:framePr w:w="2588" w:wrap="around" w:vAnchor="margin" w:hAnchor="text" w:x="7482" w:y="961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08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http://www.zhixin-inv.com</w:t>
      </w:r>
    </w:p>
    <w:p>
      <w:pPr>
        <w:framePr w:w="3020" w:wrap="around" w:vAnchor="margin" w:hAnchor="text" w:x="7482" w:y="10857"/>
        <w:widowControl w:val="0"/>
        <w:autoSpaceDE w:val="0"/>
        <w:autoSpaceDN w:val="0"/>
        <w:spacing w:before="0" w:after="0" w:line="326"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注册地址：上海浦东杨高南</w:t>
      </w:r>
    </w:p>
    <w:p>
      <w:pPr>
        <w:framePr w:w="3020" w:wrap="around" w:vAnchor="margin" w:hAnchor="text" w:x="7482" w:y="10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428</w:t>
      </w: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10-11</w:t>
      </w:r>
      <w:r>
        <w:rPr>
          <w:rFonts w:ascii="SKJVQB+å®ä½" w:hAnsi="SKJVQB+å®ä½" w:cs="SKJVQB+å®ä½"/>
          <w:color w:val="000000"/>
          <w:spacing w:val="0"/>
          <w:sz w:val="21"/>
        </w:rPr>
        <w:t>层</w:t>
      </w:r>
    </w:p>
    <w:p>
      <w:pPr>
        <w:framePr w:w="3020" w:wrap="around" w:vAnchor="margin" w:hAnchor="text" w:x="7482" w:y="10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办公地址：上海浦东杨高南路</w:t>
      </w:r>
    </w:p>
    <w:p>
      <w:pPr>
        <w:framePr w:w="3020" w:wrap="around" w:vAnchor="margin" w:hAnchor="text" w:x="7482" w:y="10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428</w:t>
      </w:r>
      <w:r>
        <w:rPr>
          <w:rFonts w:ascii="SKJVQB+å®ä½" w:hAnsi="SKJVQB+å®ä½" w:cs="SKJVQB+å®ä½"/>
          <w:color w:val="000000"/>
          <w:spacing w:val="0"/>
          <w:sz w:val="21"/>
        </w:rPr>
        <w:t xml:space="preserve">路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10-11</w:t>
      </w:r>
      <w:r>
        <w:rPr>
          <w:rFonts w:ascii="SKJVQB+å®ä½" w:hAnsi="SKJVQB+å®ä½" w:cs="SKJVQB+å®ä½"/>
          <w:color w:val="000000"/>
          <w:spacing w:val="0"/>
          <w:sz w:val="21"/>
        </w:rPr>
        <w:t>层</w:t>
      </w:r>
    </w:p>
    <w:p>
      <w:pPr>
        <w:framePr w:w="3020" w:wrap="around" w:vAnchor="margin" w:hAnchor="text" w:x="7482" w:y="10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法定代表人：申健</w:t>
      </w:r>
    </w:p>
    <w:p>
      <w:pPr>
        <w:framePr w:w="526" w:wrap="around" w:vAnchor="margin" w:hAnchor="text" w:x="4213" w:y="1118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92</w:t>
      </w:r>
    </w:p>
    <w:p>
      <w:pPr>
        <w:framePr w:w="2901" w:wrap="around" w:vAnchor="margin" w:hAnchor="text" w:x="4640"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上海大智慧基金销售有限公</w:t>
      </w:r>
    </w:p>
    <w:p>
      <w:pPr>
        <w:framePr w:w="2901" w:wrap="around" w:vAnchor="margin" w:hAnchor="text" w:x="4640" w:y="1119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1578" w:wrap="around" w:vAnchor="margin" w:hAnchor="text" w:x="7482" w:y="1275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联系人：张蜓</w:t>
      </w:r>
    </w:p>
    <w:p>
      <w:pPr>
        <w:framePr w:w="3228" w:wrap="around" w:vAnchor="margin" w:hAnchor="text" w:x="7482" w:y="13055"/>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021-20219988</w:t>
      </w:r>
      <w:r>
        <w:rPr>
          <w:rFonts w:ascii="SKJVQB+å®ä½" w:hAnsi="SKJVQB+å®ä½" w:cs="SKJVQB+å®ä½"/>
          <w:color w:val="000000"/>
          <w:spacing w:val="0"/>
          <w:sz w:val="21"/>
        </w:rPr>
        <w:t>（</w:t>
      </w:r>
      <w:r>
        <w:rPr>
          <w:rFonts w:ascii="Times New Roman"/>
          <w:color w:val="000000"/>
          <w:spacing w:val="0"/>
          <w:sz w:val="21"/>
        </w:rPr>
        <w:t>35374</w:t>
      </w:r>
      <w:r>
        <w:rPr>
          <w:rFonts w:ascii="SKJVQB+å®ä½" w:hAnsi="SKJVQB+å®ä½" w:cs="SKJVQB+å®ä½"/>
          <w:color w:val="000000"/>
          <w:spacing w:val="0"/>
          <w:sz w:val="21"/>
        </w:rPr>
        <w:t>）</w:t>
      </w:r>
    </w:p>
    <w:p>
      <w:pPr>
        <w:framePr w:w="3228"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021-20219923</w:t>
      </w:r>
    </w:p>
    <w:p>
      <w:pPr>
        <w:framePr w:w="3228"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021-20292031</w:t>
      </w:r>
    </w:p>
    <w:p>
      <w:pPr>
        <w:framePr w:w="3228"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http://www.wg.com.cn</w:t>
      </w:r>
    </w:p>
    <w:p>
      <w:pPr>
        <w:framePr w:w="3228" w:wrap="around" w:vAnchor="margin" w:hAnchor="text" w:x="7482" w:y="1305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228" w:wrap="around" w:vAnchor="margin" w:hAnchor="text" w:x="7482" w:y="1305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贸易试验区富特北路 </w:t>
      </w:r>
      <w:r>
        <w:rPr>
          <w:rFonts w:ascii="Times New Roman"/>
          <w:color w:val="000000"/>
          <w:spacing w:val="0"/>
          <w:sz w:val="21"/>
        </w:rPr>
        <w:t>277</w:t>
      </w:r>
      <w:r>
        <w:rPr>
          <w:rFonts w:ascii="SKJVQB+å®ä½" w:hAnsi="SKJVQB+å®ä½" w:cs="SKJVQB+å®ä½"/>
          <w:color w:val="000000"/>
          <w:spacing w:val="0"/>
          <w:sz w:val="21"/>
        </w:rPr>
        <w:t xml:space="preserve">号 </w:t>
      </w:r>
      <w:r>
        <w:rPr>
          <w:rFonts w:ascii="Times New Roman"/>
          <w:color w:val="000000"/>
          <w:spacing w:val="0"/>
          <w:sz w:val="21"/>
        </w:rPr>
        <w:t xml:space="preserve"> 3</w:t>
      </w:r>
    </w:p>
    <w:p>
      <w:pPr>
        <w:framePr w:w="3228" w:wrap="around" w:vAnchor="margin" w:hAnchor="text" w:x="7482" w:y="1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310</w:t>
      </w:r>
      <w:r>
        <w:rPr>
          <w:rFonts w:ascii="SKJVQB+å®ä½" w:hAnsi="SKJVQB+å®ä½" w:cs="SKJVQB+å®ä½"/>
          <w:color w:val="000000"/>
          <w:spacing w:val="0"/>
          <w:sz w:val="21"/>
        </w:rPr>
        <w:t>室</w:t>
      </w:r>
    </w:p>
    <w:p>
      <w:pPr>
        <w:framePr w:w="526" w:wrap="around" w:vAnchor="margin" w:hAnchor="text" w:x="4213" w:y="1431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93</w:t>
      </w:r>
    </w:p>
    <w:p>
      <w:pPr>
        <w:framePr w:w="2901" w:wrap="around" w:vAnchor="margin" w:hAnchor="text" w:x="4640"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上海联泰基金销售有限公司</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102</w:t>
      </w:r>
    </w:p>
    <w:p>
      <w:pPr>
        <w:spacing w:before="0" w:after="0" w:line="0" w:lineRule="exact"/>
        <w:ind w:left="0" w:right="0"/>
        <w:jc w:val="left"/>
        <w:rPr>
          <w:rFonts w:ascii="Arial"/>
          <w:color w:val="FF0000"/>
          <w:spacing w:val="0"/>
          <w:sz w:val="2"/>
        </w:rPr>
      </w:pPr>
      <w:r>
        <w:pict>
          <v:shape id="_x0000211" o:spid="_x0000_s123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87" o:title=""/>
            <o:lock v:ext="edit" aspectratio="t"/>
          </v:shape>
        </w:pict>
      </w:r>
      <w:r>
        <w:pict>
          <v:shape id="_x0000212" o:spid="_x0000_s123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8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办公地址：上海市长宁区福泉</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北路 </w:t>
      </w:r>
      <w:r>
        <w:rPr>
          <w:rFonts w:ascii="Times New Roman"/>
          <w:color w:val="000000"/>
          <w:spacing w:val="0"/>
          <w:sz w:val="21"/>
        </w:rPr>
        <w:t>518</w:t>
      </w:r>
      <w:r>
        <w:rPr>
          <w:rFonts w:ascii="SKJVQB+å®ä½" w:hAnsi="SKJVQB+å®ä½" w:cs="SKJVQB+å®ä½"/>
          <w:color w:val="000000"/>
          <w:spacing w:val="0"/>
          <w:sz w:val="21"/>
        </w:rPr>
        <w:t xml:space="preserve">号  </w:t>
      </w:r>
      <w:r>
        <w:rPr>
          <w:rFonts w:ascii="Times New Roman"/>
          <w:color w:val="000000"/>
          <w:spacing w:val="0"/>
          <w:sz w:val="21"/>
        </w:rPr>
        <w:t>8</w:t>
      </w:r>
      <w:r>
        <w:rPr>
          <w:rFonts w:ascii="SKJVQB+å®ä½" w:hAnsi="SKJVQB+å®ä½" w:cs="SKJVQB+å®ä½"/>
          <w:color w:val="000000"/>
          <w:spacing w:val="0"/>
          <w:sz w:val="21"/>
        </w:rPr>
        <w:t xml:space="preserve">座  </w:t>
      </w:r>
      <w:r>
        <w:rPr>
          <w:rFonts w:ascii="Times New Roman"/>
          <w:color w:val="000000"/>
          <w:spacing w:val="0"/>
          <w:sz w:val="21"/>
        </w:rPr>
        <w:t>3</w:t>
      </w:r>
      <w:r>
        <w:rPr>
          <w:rFonts w:ascii="SKJVQB+å®ä½" w:hAnsi="SKJVQB+å®ä½" w:cs="SKJVQB+å®ä½"/>
          <w:color w:val="000000"/>
          <w:spacing w:val="0"/>
          <w:sz w:val="21"/>
        </w:rPr>
        <w:t>层</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法定代表人：尹彬彬</w:t>
      </w:r>
    </w:p>
    <w:p>
      <w:pPr>
        <w:framePr w:w="3020"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联系人：陈东</w:t>
      </w:r>
    </w:p>
    <w:p>
      <w:pPr>
        <w:framePr w:w="2588"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021-52822063</w:t>
      </w:r>
    </w:p>
    <w:p>
      <w:pPr>
        <w:framePr w:w="2588"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021-52975270</w:t>
      </w:r>
    </w:p>
    <w:p>
      <w:pPr>
        <w:framePr w:w="2588"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400-166-6788</w:t>
      </w:r>
    </w:p>
    <w:p>
      <w:pPr>
        <w:framePr w:w="2588" w:wrap="around" w:vAnchor="margin" w:hAnchor="text" w:x="7482" w:y="27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469" w:wrap="around" w:vAnchor="margin" w:hAnchor="text" w:x="7482" w:y="397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http://www.66liantai.com</w:t>
      </w:r>
    </w:p>
    <w:p>
      <w:pPr>
        <w:framePr w:w="526" w:wrap="around" w:vAnchor="margin" w:hAnchor="text" w:x="4213"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94</w:t>
      </w:r>
    </w:p>
    <w:p>
      <w:pPr>
        <w:framePr w:w="2901"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上海利得基金销售有限公司</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注册地址：上海市宝山区蕴川</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5475</w:t>
      </w:r>
      <w:r>
        <w:rPr>
          <w:rFonts w:ascii="SKJVQB+å®ä½" w:hAnsi="SKJVQB+å®ä½" w:cs="SKJVQB+å®ä½"/>
          <w:color w:val="000000"/>
          <w:spacing w:val="0"/>
          <w:sz w:val="21"/>
        </w:rPr>
        <w:t xml:space="preserve">号  </w:t>
      </w:r>
      <w:r>
        <w:rPr>
          <w:rFonts w:ascii="Times New Roman"/>
          <w:color w:val="000000"/>
          <w:spacing w:val="0"/>
          <w:sz w:val="21"/>
        </w:rPr>
        <w:t>1033</w:t>
      </w:r>
      <w:r>
        <w:rPr>
          <w:rFonts w:ascii="SKJVQB+å®ä½" w:hAnsi="SKJVQB+å®ä½" w:cs="SKJVQB+å®ä½"/>
          <w:color w:val="000000"/>
          <w:spacing w:val="0"/>
          <w:sz w:val="21"/>
        </w:rPr>
        <w:t>室</w:t>
      </w:r>
    </w:p>
    <w:p>
      <w:pPr>
        <w:framePr w:w="3020"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办公地址：上海市虹口区东大</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名路 </w:t>
      </w:r>
      <w:r>
        <w:rPr>
          <w:rFonts w:ascii="Times New Roman"/>
          <w:color w:val="000000"/>
          <w:spacing w:val="0"/>
          <w:sz w:val="21"/>
        </w:rPr>
        <w:t>1098</w:t>
      </w:r>
      <w:r>
        <w:rPr>
          <w:rFonts w:ascii="SKJVQB+å®ä½" w:hAnsi="SKJVQB+å®ä½" w:cs="SKJVQB+å®ä½"/>
          <w:color w:val="000000"/>
          <w:spacing w:val="0"/>
          <w:sz w:val="21"/>
        </w:rPr>
        <w:t>号浦江国际金融广</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场 </w:t>
      </w:r>
      <w:r>
        <w:rPr>
          <w:rFonts w:ascii="Times New Roman"/>
          <w:color w:val="000000"/>
          <w:spacing w:val="0"/>
          <w:sz w:val="21"/>
        </w:rPr>
        <w:t>18</w:t>
      </w:r>
      <w:r>
        <w:rPr>
          <w:rFonts w:ascii="SKJVQB+å®ä½" w:hAnsi="SKJVQB+å®ä½" w:cs="SKJVQB+å®ä½"/>
          <w:color w:val="000000"/>
          <w:spacing w:val="0"/>
          <w:sz w:val="21"/>
        </w:rPr>
        <w:t>层</w:t>
      </w:r>
    </w:p>
    <w:p>
      <w:pPr>
        <w:framePr w:w="2209" w:wrap="around" w:vAnchor="margin" w:hAnchor="text" w:x="7482" w:y="58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法定代表人：李兴春</w:t>
      </w:r>
    </w:p>
    <w:p>
      <w:pPr>
        <w:framePr w:w="2209" w:wrap="around" w:vAnchor="margin" w:hAnchor="text" w:x="7482" w:y="58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联系人：陈孜明</w:t>
      </w:r>
    </w:p>
    <w:p>
      <w:pPr>
        <w:framePr w:w="2106"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18516109631</w:t>
      </w:r>
    </w:p>
    <w:p>
      <w:pPr>
        <w:framePr w:w="2171" w:wrap="around" w:vAnchor="margin" w:hAnchor="text" w:x="7482" w:y="679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021-61101630</w:t>
      </w:r>
    </w:p>
    <w:p>
      <w:pPr>
        <w:framePr w:w="1894" w:wrap="around" w:vAnchor="margin" w:hAnchor="text" w:x="7482" w:y="710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95733</w:t>
      </w:r>
    </w:p>
    <w:p>
      <w:pPr>
        <w:framePr w:w="3020" w:wrap="around" w:vAnchor="margin" w:hAnchor="text" w:x="7482" w:y="741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www.leadfund.com.cn</w:t>
      </w:r>
    </w:p>
    <w:p>
      <w:pPr>
        <w:framePr w:w="3020" w:wrap="around" w:vAnchor="margin" w:hAnchor="text" w:x="7482" w:y="741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注册地址：上海市黄浦区中山</w:t>
      </w:r>
    </w:p>
    <w:p>
      <w:pPr>
        <w:framePr w:w="3020" w:wrap="around" w:vAnchor="margin" w:hAnchor="text" w:x="7482" w:y="741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100</w:t>
      </w:r>
      <w:r>
        <w:rPr>
          <w:rFonts w:ascii="SKJVQB+å®ä½" w:hAnsi="SKJVQB+å®ä½" w:cs="SKJVQB+å®ä½"/>
          <w:color w:val="000000"/>
          <w:spacing w:val="0"/>
          <w:sz w:val="21"/>
        </w:rPr>
        <w:t xml:space="preserve">号  </w:t>
      </w:r>
      <w:r>
        <w:rPr>
          <w:rFonts w:ascii="Times New Roman"/>
          <w:color w:val="000000"/>
          <w:spacing w:val="0"/>
          <w:sz w:val="21"/>
        </w:rPr>
        <w:t>19</w:t>
      </w:r>
      <w:r>
        <w:rPr>
          <w:rFonts w:ascii="SKJVQB+å®ä½" w:hAnsi="SKJVQB+å®ä½" w:cs="SKJVQB+å®ä½"/>
          <w:color w:val="000000"/>
          <w:spacing w:val="0"/>
          <w:sz w:val="21"/>
        </w:rPr>
        <w:t>层</w:t>
      </w:r>
    </w:p>
    <w:p>
      <w:pPr>
        <w:framePr w:w="526" w:wrap="around" w:vAnchor="margin" w:hAnchor="text" w:x="4213" w:y="77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95</w:t>
      </w:r>
    </w:p>
    <w:p>
      <w:pPr>
        <w:framePr w:w="526" w:wrap="around" w:vAnchor="margin" w:hAnchor="text" w:x="4213" w:y="7736"/>
        <w:widowControl w:val="0"/>
        <w:autoSpaceDE w:val="0"/>
        <w:autoSpaceDN w:val="0"/>
        <w:spacing w:before="0" w:after="0" w:line="3133" w:lineRule="exact"/>
        <w:ind w:left="0" w:right="0"/>
        <w:jc w:val="left"/>
        <w:rPr>
          <w:rFonts w:ascii="Times New Roman"/>
          <w:color w:val="000000"/>
          <w:spacing w:val="0"/>
          <w:sz w:val="21"/>
        </w:rPr>
      </w:pPr>
      <w:r>
        <w:rPr>
          <w:rFonts w:ascii="Times New Roman"/>
          <w:color w:val="000000"/>
          <w:spacing w:val="0"/>
          <w:sz w:val="21"/>
        </w:rPr>
        <w:t>96</w:t>
      </w:r>
    </w:p>
    <w:p>
      <w:pPr>
        <w:framePr w:w="526" w:wrap="around" w:vAnchor="margin" w:hAnchor="text" w:x="4213" w:y="7736"/>
        <w:widowControl w:val="0"/>
        <w:autoSpaceDE w:val="0"/>
        <w:autoSpaceDN w:val="0"/>
        <w:spacing w:before="0" w:after="0" w:line="3130" w:lineRule="exact"/>
        <w:ind w:left="0" w:right="0"/>
        <w:jc w:val="left"/>
        <w:rPr>
          <w:rFonts w:ascii="Times New Roman"/>
          <w:color w:val="000000"/>
          <w:spacing w:val="0"/>
          <w:sz w:val="21"/>
        </w:rPr>
      </w:pPr>
      <w:r>
        <w:rPr>
          <w:rFonts w:ascii="Times New Roman"/>
          <w:color w:val="000000"/>
          <w:spacing w:val="0"/>
          <w:sz w:val="21"/>
        </w:rPr>
        <w:t>97</w:t>
      </w:r>
    </w:p>
    <w:p>
      <w:pPr>
        <w:framePr w:w="2418"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汇付基金销售有限公司</w:t>
      </w:r>
    </w:p>
    <w:p>
      <w:pPr>
        <w:framePr w:w="2838" w:wrap="around" w:vAnchor="margin" w:hAnchor="text" w:x="7482" w:y="836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上海市黄浦区中山南路 </w:t>
      </w:r>
      <w:r>
        <w:rPr>
          <w:rFonts w:ascii="Times New Roman"/>
          <w:color w:val="000000"/>
          <w:spacing w:val="0"/>
          <w:sz w:val="21"/>
        </w:rPr>
        <w:t xml:space="preserve"> 100</w:t>
      </w:r>
    </w:p>
    <w:p>
      <w:pPr>
        <w:framePr w:w="2838"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号金外滩国际广场 </w:t>
      </w:r>
      <w:r>
        <w:rPr>
          <w:rFonts w:ascii="Times New Roman"/>
          <w:color w:val="000000"/>
          <w:spacing w:val="0"/>
          <w:sz w:val="21"/>
        </w:rPr>
        <w:t>19</w:t>
      </w:r>
      <w:r>
        <w:rPr>
          <w:rFonts w:ascii="SKJVQB+å®ä½" w:hAnsi="SKJVQB+å®ä½" w:cs="SKJVQB+å®ä½"/>
          <w:color w:val="000000"/>
          <w:spacing w:val="0"/>
          <w:sz w:val="21"/>
        </w:rPr>
        <w:t>楼</w:t>
      </w:r>
    </w:p>
    <w:p>
      <w:pPr>
        <w:framePr w:w="2838" w:wrap="around" w:vAnchor="margin" w:hAnchor="text" w:x="7482" w:y="836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法定代表人：金佶</w:t>
      </w:r>
    </w:p>
    <w:p>
      <w:pPr>
        <w:framePr w:w="1892" w:wrap="around" w:vAnchor="margin" w:hAnchor="text" w:x="7482" w:y="93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联系人：陈云卉</w:t>
      </w:r>
    </w:p>
    <w:p>
      <w:pPr>
        <w:framePr w:w="2178"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021-33323999</w:t>
      </w:r>
    </w:p>
    <w:p>
      <w:pPr>
        <w:framePr w:w="2178" w:wrap="around" w:vAnchor="margin" w:hAnchor="text" w:x="7482" w:y="992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021-33323837</w:t>
      </w:r>
    </w:p>
    <w:p>
      <w:pPr>
        <w:framePr w:w="3020"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400-821-3999</w:t>
      </w:r>
    </w:p>
    <w:p>
      <w:pPr>
        <w:framePr w:w="3020" w:wrap="around" w:vAnchor="margin" w:hAnchor="text" w:x="7482" w:y="1023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www.hotjijin.com/</w:t>
      </w:r>
    </w:p>
    <w:p>
      <w:pPr>
        <w:framePr w:w="3020" w:wrap="around" w:vAnchor="margin" w:hAnchor="text" w:x="7482" w:y="10235"/>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注册地址：厦门市思明区鹭</w:t>
      </w:r>
    </w:p>
    <w:p>
      <w:pPr>
        <w:framePr w:w="302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江道 </w:t>
      </w:r>
      <w:r>
        <w:rPr>
          <w:rFonts w:ascii="Times New Roman"/>
          <w:color w:val="000000"/>
          <w:spacing w:val="0"/>
          <w:sz w:val="21"/>
        </w:rPr>
        <w:t>2</w:t>
      </w:r>
      <w:r>
        <w:rPr>
          <w:rFonts w:ascii="SKJVQB+å®ä½" w:hAnsi="SKJVQB+å®ä½" w:cs="SKJVQB+å®ä½"/>
          <w:color w:val="000000"/>
          <w:spacing w:val="0"/>
          <w:sz w:val="21"/>
        </w:rPr>
        <w:t xml:space="preserve">号第一广场  </w:t>
      </w:r>
      <w:r>
        <w:rPr>
          <w:rFonts w:ascii="Times New Roman"/>
          <w:color w:val="000000"/>
          <w:spacing w:val="0"/>
          <w:sz w:val="21"/>
        </w:rPr>
        <w:t>1501-1504</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办公地址：厦门市思明区鹭</w:t>
      </w:r>
    </w:p>
    <w:p>
      <w:pPr>
        <w:framePr w:w="3020" w:wrap="around" w:vAnchor="margin" w:hAnchor="text" w:x="7482" w:y="1023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江道 </w:t>
      </w:r>
      <w:r>
        <w:rPr>
          <w:rFonts w:ascii="Times New Roman"/>
          <w:color w:val="000000"/>
          <w:spacing w:val="0"/>
          <w:sz w:val="21"/>
        </w:rPr>
        <w:t>2</w:t>
      </w:r>
      <w:r>
        <w:rPr>
          <w:rFonts w:ascii="SKJVQB+å®ä½" w:hAnsi="SKJVQB+å®ä½" w:cs="SKJVQB+å®ä½"/>
          <w:color w:val="000000"/>
          <w:spacing w:val="0"/>
          <w:sz w:val="21"/>
        </w:rPr>
        <w:t xml:space="preserve">号第一广场  </w:t>
      </w:r>
      <w:r>
        <w:rPr>
          <w:rFonts w:ascii="Times New Roman"/>
          <w:color w:val="000000"/>
          <w:spacing w:val="0"/>
          <w:sz w:val="21"/>
        </w:rPr>
        <w:t>1501-1504</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法定代表人：陈洪生</w:t>
      </w:r>
    </w:p>
    <w:p>
      <w:pPr>
        <w:framePr w:w="3020" w:wrap="around" w:vAnchor="margin" w:hAnchor="text" w:x="7482" w:y="1023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联系人：梁云波</w:t>
      </w:r>
    </w:p>
    <w:p>
      <w:pPr>
        <w:framePr w:w="2901"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厦门市鑫鼎盛控股有限公司</w:t>
      </w:r>
    </w:p>
    <w:p>
      <w:pPr>
        <w:framePr w:w="2178" w:wrap="around" w:vAnchor="margin" w:hAnchor="text" w:x="7482" w:y="1274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0592-3122757</w:t>
      </w:r>
    </w:p>
    <w:p>
      <w:pPr>
        <w:framePr w:w="2178" w:wrap="around" w:vAnchor="margin" w:hAnchor="text" w:x="7482" w:y="1305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0592-3122701</w:t>
      </w:r>
    </w:p>
    <w:p>
      <w:pPr>
        <w:framePr w:w="3021" w:wrap="around" w:vAnchor="margin" w:hAnchor="text" w:x="7482" w:y="133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400-918-0808</w:t>
      </w:r>
    </w:p>
    <w:p>
      <w:pPr>
        <w:framePr w:w="3021"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www.xds.com.cn</w:t>
      </w:r>
    </w:p>
    <w:p>
      <w:pPr>
        <w:framePr w:w="3021" w:wrap="around" w:vAnchor="margin" w:hAnchor="text" w:x="7482" w:y="1336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注册地址：上海市浦东新区陆</w:t>
      </w:r>
    </w:p>
    <w:p>
      <w:pPr>
        <w:framePr w:w="3021" w:wrap="around" w:vAnchor="margin" w:hAnchor="text" w:x="7482" w:y="1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1333</w:t>
      </w:r>
      <w:r>
        <w:rPr>
          <w:rFonts w:ascii="SKJVQB+å®ä½" w:hAnsi="SKJVQB+å®ä½" w:cs="SKJVQB+å®ä½"/>
          <w:color w:val="000000"/>
          <w:spacing w:val="0"/>
          <w:sz w:val="21"/>
        </w:rPr>
        <w:t xml:space="preserve">号  </w:t>
      </w:r>
      <w:r>
        <w:rPr>
          <w:rFonts w:ascii="Times New Roman"/>
          <w:color w:val="000000"/>
          <w:spacing w:val="0"/>
          <w:sz w:val="21"/>
        </w:rPr>
        <w:t>14</w:t>
      </w:r>
      <w:r>
        <w:rPr>
          <w:rFonts w:ascii="SKJVQB+å®ä½" w:hAnsi="SKJVQB+å®ä½" w:cs="SKJVQB+å®ä½"/>
          <w:color w:val="000000"/>
          <w:spacing w:val="0"/>
          <w:sz w:val="21"/>
        </w:rPr>
        <w:t xml:space="preserve">楼  </w:t>
      </w:r>
      <w:r>
        <w:rPr>
          <w:rFonts w:ascii="Times New Roman"/>
          <w:color w:val="000000"/>
          <w:spacing w:val="0"/>
          <w:sz w:val="21"/>
        </w:rPr>
        <w:t>09</w:t>
      </w:r>
      <w:r>
        <w:rPr>
          <w:rFonts w:ascii="SKJVQB+å®ä½" w:hAnsi="SKJVQB+å®ä½" w:cs="SKJVQB+å®ä½"/>
          <w:color w:val="000000"/>
          <w:spacing w:val="0"/>
          <w:sz w:val="21"/>
        </w:rPr>
        <w:t>单</w:t>
      </w:r>
    </w:p>
    <w:p>
      <w:pPr>
        <w:framePr w:w="3021" w:wrap="around" w:vAnchor="margin" w:hAnchor="text" w:x="7482" w:y="1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元</w:t>
      </w:r>
    </w:p>
    <w:p>
      <w:pPr>
        <w:framePr w:w="2901" w:wrap="around" w:vAnchor="margin" w:hAnchor="text" w:x="4640"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上海陆金所基金销售有限公</w:t>
      </w:r>
    </w:p>
    <w:p>
      <w:pPr>
        <w:framePr w:w="2901" w:wrap="around" w:vAnchor="margin" w:hAnchor="text" w:x="4640" w:y="1400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0" w:wrap="around" w:vAnchor="margin" w:hAnchor="text" w:x="7482"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办公地址：上海市浦东新区陆</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103</w:t>
      </w:r>
    </w:p>
    <w:p>
      <w:pPr>
        <w:spacing w:before="0" w:after="0" w:line="0" w:lineRule="exact"/>
        <w:ind w:left="0" w:right="0"/>
        <w:jc w:val="left"/>
        <w:rPr>
          <w:rFonts w:ascii="Arial"/>
          <w:color w:val="FF0000"/>
          <w:spacing w:val="0"/>
          <w:sz w:val="2"/>
        </w:rPr>
      </w:pPr>
      <w:r>
        <w:pict>
          <v:shape id="_x0000213" o:spid="_x0000_s123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89" o:title=""/>
            <o:lock v:ext="edit" aspectratio="t"/>
          </v:shape>
        </w:pict>
      </w:r>
      <w:r>
        <w:pict>
          <v:shape id="_x0000214" o:spid="_x0000_s1240"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9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418" w:wrap="around" w:vAnchor="margin" w:hAnchor="text" w:x="7482" w:y="1479"/>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家嘴环路 </w:t>
      </w:r>
      <w:r>
        <w:rPr>
          <w:rFonts w:ascii="Times New Roman"/>
          <w:color w:val="000000"/>
          <w:spacing w:val="0"/>
          <w:sz w:val="21"/>
        </w:rPr>
        <w:t>1333</w:t>
      </w:r>
      <w:r>
        <w:rPr>
          <w:rFonts w:ascii="SKJVQB+å®ä½" w:hAnsi="SKJVQB+å®ä½" w:cs="SKJVQB+å®ä½"/>
          <w:color w:val="000000"/>
          <w:spacing w:val="0"/>
          <w:sz w:val="21"/>
        </w:rPr>
        <w:t xml:space="preserve">号  </w:t>
      </w:r>
      <w:r>
        <w:rPr>
          <w:rFonts w:ascii="Times New Roman"/>
          <w:color w:val="000000"/>
          <w:spacing w:val="0"/>
          <w:sz w:val="21"/>
        </w:rPr>
        <w:t>14</w:t>
      </w:r>
      <w:r>
        <w:rPr>
          <w:rFonts w:ascii="SKJVQB+å®ä½" w:hAnsi="SKJVQB+å®ä½" w:cs="SKJVQB+å®ä½"/>
          <w:color w:val="000000"/>
          <w:spacing w:val="0"/>
          <w:sz w:val="21"/>
        </w:rPr>
        <w:t>楼</w:t>
      </w:r>
    </w:p>
    <w:p>
      <w:pPr>
        <w:framePr w:w="2418"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法定代表人：王之光</w:t>
      </w:r>
    </w:p>
    <w:p>
      <w:pPr>
        <w:framePr w:w="2418"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联系人：宁博宇</w:t>
      </w:r>
    </w:p>
    <w:p>
      <w:pPr>
        <w:framePr w:w="2497" w:wrap="around" w:vAnchor="margin" w:hAnchor="text" w:x="7482" w:y="241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021-20665952</w:t>
      </w:r>
    </w:p>
    <w:p>
      <w:pPr>
        <w:framePr w:w="2497"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021-22066653</w:t>
      </w:r>
    </w:p>
    <w:p>
      <w:pPr>
        <w:framePr w:w="2497"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4008219031</w:t>
      </w:r>
    </w:p>
    <w:p>
      <w:pPr>
        <w:framePr w:w="2497" w:wrap="around" w:vAnchor="margin" w:hAnchor="text" w:x="7482" w:y="241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www.lufunds.com</w:t>
      </w:r>
    </w:p>
    <w:p>
      <w:pPr>
        <w:framePr w:w="526" w:wrap="around" w:vAnchor="margin" w:hAnchor="text" w:x="4213" w:y="367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98</w:t>
      </w:r>
    </w:p>
    <w:p>
      <w:pPr>
        <w:framePr w:w="2901" w:wrap="around" w:vAnchor="margin" w:hAnchor="text" w:x="4640"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北京加和基金销售有限公司</w:t>
      </w:r>
    </w:p>
    <w:p>
      <w:pPr>
        <w:framePr w:w="3020" w:wrap="around" w:vAnchor="margin" w:hAnchor="text" w:x="7482" w:y="367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注册地址：北京市西城区车</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公庄大街 </w:t>
      </w:r>
      <w:r>
        <w:rPr>
          <w:rFonts w:ascii="Times New Roman"/>
          <w:color w:val="000000"/>
          <w:spacing w:val="0"/>
          <w:sz w:val="21"/>
        </w:rPr>
        <w:t>4</w:t>
      </w:r>
      <w:r>
        <w:rPr>
          <w:rFonts w:ascii="SKJVQB+å®ä½" w:hAnsi="SKJVQB+å®ä½" w:cs="SKJVQB+å®ä½"/>
          <w:color w:val="000000"/>
          <w:spacing w:val="0"/>
          <w:sz w:val="21"/>
        </w:rPr>
        <w:t xml:space="preserve">号  </w:t>
      </w:r>
      <w:r>
        <w:rPr>
          <w:rFonts w:ascii="Times New Roman"/>
          <w:color w:val="000000"/>
          <w:spacing w:val="0"/>
          <w:sz w:val="21"/>
        </w:rPr>
        <w:t>5</w:t>
      </w:r>
      <w:r>
        <w:rPr>
          <w:rFonts w:ascii="SKJVQB+å®ä½" w:hAnsi="SKJVQB+å®ä½" w:cs="SKJVQB+å®ä½"/>
          <w:color w:val="000000"/>
          <w:spacing w:val="0"/>
          <w:sz w:val="21"/>
        </w:rPr>
        <w:t xml:space="preserve">号楼  </w:t>
      </w:r>
      <w:r>
        <w:rPr>
          <w:rFonts w:ascii="Times New Roman"/>
          <w:color w:val="000000"/>
          <w:spacing w:val="0"/>
          <w:sz w:val="21"/>
        </w:rPr>
        <w:t>1</w:t>
      </w:r>
      <w:r>
        <w:rPr>
          <w:rFonts w:ascii="SKJVQB+å®ä½" w:hAnsi="SKJVQB+å®ä½" w:cs="SKJVQB+å®ä½"/>
          <w:color w:val="000000"/>
          <w:spacing w:val="0"/>
          <w:sz w:val="21"/>
        </w:rPr>
        <w:t>层</w:t>
      </w:r>
    </w:p>
    <w:p>
      <w:pPr>
        <w:framePr w:w="3020" w:wrap="around" w:vAnchor="margin" w:hAnchor="text" w:x="7482" w:y="36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w:t>
      </w:r>
    </w:p>
    <w:p>
      <w:pPr>
        <w:framePr w:w="3020" w:wrap="around" w:vAnchor="margin" w:hAnchor="text" w:x="7482" w:y="3679"/>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 xml:space="preserve">融街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703</w:t>
      </w:r>
    </w:p>
    <w:p>
      <w:pPr>
        <w:framePr w:w="2312"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法定代表人：徐福贺</w:t>
      </w:r>
    </w:p>
    <w:p>
      <w:pPr>
        <w:framePr w:w="2312"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联系人：张巍</w:t>
      </w:r>
    </w:p>
    <w:p>
      <w:pPr>
        <w:framePr w:w="2226"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010-5086 6176</w:t>
      </w:r>
    </w:p>
    <w:p>
      <w:pPr>
        <w:framePr w:w="2226" w:wrap="around" w:vAnchor="margin" w:hAnchor="text" w:x="7482" w:y="585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010-5086 6173</w:t>
      </w:r>
    </w:p>
    <w:p>
      <w:pPr>
        <w:framePr w:w="3020"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400-600-0030</w:t>
      </w:r>
    </w:p>
    <w:p>
      <w:pPr>
        <w:framePr w:w="3020"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www.bzfunds.com</w:t>
      </w:r>
    </w:p>
    <w:p>
      <w:pPr>
        <w:framePr w:w="3020" w:wrap="around" w:vAnchor="margin" w:hAnchor="text" w:x="7482" w:y="616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注册地址：北京市朝阳区东三</w:t>
      </w:r>
    </w:p>
    <w:p>
      <w:pPr>
        <w:framePr w:w="3020"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 </w:t>
      </w:r>
      <w:r>
        <w:rPr>
          <w:rFonts w:ascii="Times New Roman"/>
          <w:color w:val="000000"/>
          <w:spacing w:val="0"/>
          <w:sz w:val="21"/>
        </w:rPr>
        <w:t>17</w:t>
      </w:r>
      <w:r>
        <w:rPr>
          <w:rFonts w:ascii="SKJVQB+å®ä½" w:hAnsi="SKJVQB+å®ä½" w:cs="SKJVQB+å®ä½"/>
          <w:color w:val="000000"/>
          <w:spacing w:val="0"/>
          <w:sz w:val="21"/>
        </w:rPr>
        <w:t xml:space="preserve">号  </w:t>
      </w:r>
      <w:r>
        <w:rPr>
          <w:rFonts w:ascii="Times New Roman"/>
          <w:color w:val="000000"/>
          <w:spacing w:val="0"/>
          <w:sz w:val="21"/>
        </w:rPr>
        <w:t>10</w:t>
      </w:r>
      <w:r>
        <w:rPr>
          <w:rFonts w:ascii="SKJVQB+å®ä½" w:hAnsi="SKJVQB+å®ä½" w:cs="SKJVQB+å®ä½"/>
          <w:color w:val="000000"/>
          <w:spacing w:val="0"/>
          <w:sz w:val="21"/>
        </w:rPr>
        <w:t xml:space="preserve">层  </w:t>
      </w:r>
      <w:r>
        <w:rPr>
          <w:rFonts w:ascii="Times New Roman"/>
          <w:color w:val="000000"/>
          <w:spacing w:val="0"/>
          <w:sz w:val="21"/>
        </w:rPr>
        <w:t>1015</w:t>
      </w:r>
      <w:r>
        <w:rPr>
          <w:rFonts w:ascii="SKJVQB+å®ä½" w:hAnsi="SKJVQB+å®ä½" w:cs="SKJVQB+å®ä½"/>
          <w:color w:val="000000"/>
          <w:spacing w:val="0"/>
          <w:sz w:val="21"/>
        </w:rPr>
        <w:t>室</w:t>
      </w:r>
    </w:p>
    <w:p>
      <w:pPr>
        <w:framePr w:w="3020"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办公地址：北京市朝阳区东三</w:t>
      </w:r>
    </w:p>
    <w:p>
      <w:pPr>
        <w:framePr w:w="3020"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环北路 </w:t>
      </w:r>
      <w:r>
        <w:rPr>
          <w:rFonts w:ascii="Times New Roman"/>
          <w:color w:val="000000"/>
          <w:spacing w:val="0"/>
          <w:sz w:val="21"/>
        </w:rPr>
        <w:t>17</w:t>
      </w:r>
      <w:r>
        <w:rPr>
          <w:rFonts w:ascii="SKJVQB+å®ä½" w:hAnsi="SKJVQB+å®ä½" w:cs="SKJVQB+å®ä½"/>
          <w:color w:val="000000"/>
          <w:spacing w:val="0"/>
          <w:sz w:val="21"/>
        </w:rPr>
        <w:t xml:space="preserve">号  </w:t>
      </w:r>
      <w:r>
        <w:rPr>
          <w:rFonts w:ascii="Times New Roman"/>
          <w:color w:val="000000"/>
          <w:spacing w:val="0"/>
          <w:sz w:val="21"/>
        </w:rPr>
        <w:t>10</w:t>
      </w:r>
      <w:r>
        <w:rPr>
          <w:rFonts w:ascii="SKJVQB+å®ä½" w:hAnsi="SKJVQB+å®ä½" w:cs="SKJVQB+å®ä½"/>
          <w:color w:val="000000"/>
          <w:spacing w:val="0"/>
          <w:sz w:val="21"/>
        </w:rPr>
        <w:t xml:space="preserve">层  </w:t>
      </w:r>
      <w:r>
        <w:rPr>
          <w:rFonts w:ascii="Times New Roman"/>
          <w:color w:val="000000"/>
          <w:spacing w:val="0"/>
          <w:sz w:val="21"/>
        </w:rPr>
        <w:t>1015</w:t>
      </w:r>
      <w:r>
        <w:rPr>
          <w:rFonts w:ascii="SKJVQB+å®ä½" w:hAnsi="SKJVQB+å®ä½" w:cs="SKJVQB+å®ä½"/>
          <w:color w:val="000000"/>
          <w:spacing w:val="0"/>
          <w:sz w:val="21"/>
        </w:rPr>
        <w:t>室</w:t>
      </w:r>
    </w:p>
    <w:p>
      <w:pPr>
        <w:framePr w:w="3020" w:wrap="around" w:vAnchor="margin" w:hAnchor="text" w:x="7482" w:y="61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法定代表人：何静</w:t>
      </w:r>
    </w:p>
    <w:p>
      <w:pPr>
        <w:framePr w:w="526" w:wrap="around" w:vAnchor="margin" w:hAnchor="text" w:x="4213"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99</w:t>
      </w:r>
    </w:p>
    <w:p>
      <w:pPr>
        <w:framePr w:w="2901"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北京虹点基金销售有限公司</w:t>
      </w:r>
    </w:p>
    <w:p>
      <w:pPr>
        <w:framePr w:w="1789" w:wrap="around" w:vAnchor="margin" w:hAnchor="text" w:x="7482"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联系人：陈铭洲</w:t>
      </w:r>
    </w:p>
    <w:p>
      <w:pPr>
        <w:framePr w:w="2279" w:wrap="around" w:vAnchor="margin" w:hAnchor="text" w:x="7482" w:y="86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010-65951887</w:t>
      </w:r>
    </w:p>
    <w:p>
      <w:pPr>
        <w:framePr w:w="3112" w:wrap="around" w:vAnchor="margin" w:hAnchor="text" w:x="7482" w:y="89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400-618-0707</w:t>
      </w:r>
    </w:p>
    <w:p>
      <w:pPr>
        <w:framePr w:w="3112" w:wrap="around" w:vAnchor="margin" w:hAnchor="text" w:x="7482" w:y="898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www.hongdianfund.com</w:t>
      </w:r>
    </w:p>
    <w:p>
      <w:pPr>
        <w:framePr w:w="3112" w:wrap="around" w:vAnchor="margin" w:hAnchor="text" w:x="7482" w:y="898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注册地址：北京市海淀区东北</w:t>
      </w:r>
    </w:p>
    <w:p>
      <w:pPr>
        <w:framePr w:w="3112"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旺西路中关村软件园二期</w:t>
      </w:r>
      <w:r>
        <w:rPr>
          <w:rFonts w:ascii="Times New Roman"/>
          <w:color w:val="000000"/>
          <w:spacing w:val="0"/>
          <w:sz w:val="21"/>
        </w:rPr>
        <w:t>(</w:t>
      </w:r>
      <w:r>
        <w:rPr>
          <w:rFonts w:ascii="SKJVQB+å®ä½" w:hAnsi="SKJVQB+å®ä½" w:cs="SKJVQB+å®ä½"/>
          <w:color w:val="000000"/>
          <w:spacing w:val="0"/>
          <w:sz w:val="21"/>
        </w:rPr>
        <w:t>西</w:t>
      </w:r>
    </w:p>
    <w:p>
      <w:pPr>
        <w:framePr w:w="3112" w:wrap="around" w:vAnchor="margin" w:hAnchor="text" w:x="7482" w:y="89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扩</w:t>
      </w:r>
      <w:r>
        <w:rPr>
          <w:rFonts w:ascii="Times New Roman"/>
          <w:color w:val="000000"/>
          <w:spacing w:val="0"/>
          <w:sz w:val="21"/>
        </w:rPr>
        <w:t>)N-1</w:t>
      </w:r>
      <w:r>
        <w:rPr>
          <w:rFonts w:ascii="SKJVQB+å®ä½" w:hAnsi="SKJVQB+å®ä½" w:cs="SKJVQB+å®ä½"/>
          <w:color w:val="000000"/>
          <w:spacing w:val="0"/>
          <w:sz w:val="21"/>
        </w:rPr>
        <w:t>、</w:t>
      </w:r>
      <w:r>
        <w:rPr>
          <w:rFonts w:ascii="Times New Roman"/>
          <w:color w:val="000000"/>
          <w:spacing w:val="0"/>
          <w:sz w:val="21"/>
        </w:rPr>
        <w:t>N-2</w:t>
      </w:r>
      <w:r>
        <w:rPr>
          <w:rFonts w:ascii="SKJVQB+å®ä½" w:hAnsi="SKJVQB+å®ä½" w:cs="SKJVQB+å®ä½"/>
          <w:color w:val="000000"/>
          <w:spacing w:val="0"/>
          <w:sz w:val="21"/>
        </w:rPr>
        <w:t>地块新浪总部科</w:t>
      </w:r>
    </w:p>
    <w:p>
      <w:pPr>
        <w:framePr w:w="3112" w:wrap="around" w:vAnchor="margin" w:hAnchor="text" w:x="7482" w:y="8987"/>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研楼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518</w:t>
      </w:r>
      <w:r>
        <w:rPr>
          <w:rFonts w:ascii="SKJVQB+å®ä½" w:hAnsi="SKJVQB+å®ä½" w:cs="SKJVQB+å®ä½"/>
          <w:color w:val="000000"/>
          <w:spacing w:val="0"/>
          <w:sz w:val="21"/>
        </w:rPr>
        <w:t>室</w:t>
      </w:r>
    </w:p>
    <w:p>
      <w:pPr>
        <w:framePr w:w="632" w:wrap="around" w:vAnchor="margin" w:hAnchor="text" w:x="4110" w:y="962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100</w:t>
      </w:r>
    </w:p>
    <w:p>
      <w:pPr>
        <w:framePr w:w="2901" w:wrap="around" w:vAnchor="margin" w:hAnchor="text" w:x="4640" w:y="96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北京新浪仓石基金销售有限</w:t>
      </w:r>
    </w:p>
    <w:p>
      <w:pPr>
        <w:framePr w:w="2901" w:wrap="around" w:vAnchor="margin" w:hAnchor="text" w:x="4640" w:y="96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办公地址：北京市海淀区西北</w:t>
      </w:r>
    </w:p>
    <w:p>
      <w:pPr>
        <w:framePr w:w="3020" w:wrap="around" w:vAnchor="margin" w:hAnchor="text" w:x="7482"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旺东路 </w:t>
      </w:r>
      <w:r>
        <w:rPr>
          <w:rFonts w:ascii="Times New Roman"/>
          <w:color w:val="000000"/>
          <w:spacing w:val="0"/>
          <w:sz w:val="21"/>
        </w:rPr>
        <w:t>10</w:t>
      </w:r>
      <w:r>
        <w:rPr>
          <w:rFonts w:ascii="SKJVQB+å®ä½" w:hAnsi="SKJVQB+å®ä½" w:cs="SKJVQB+å®ä½"/>
          <w:color w:val="000000"/>
          <w:spacing w:val="0"/>
          <w:sz w:val="21"/>
        </w:rPr>
        <w:t xml:space="preserve">号院东区  </w:t>
      </w:r>
      <w:r>
        <w:rPr>
          <w:rFonts w:ascii="Times New Roman"/>
          <w:color w:val="000000"/>
          <w:spacing w:val="0"/>
          <w:sz w:val="21"/>
        </w:rPr>
        <w:t>3</w:t>
      </w:r>
      <w:r>
        <w:rPr>
          <w:rFonts w:ascii="SKJVQB+å®ä½" w:hAnsi="SKJVQB+å®ä½" w:cs="SKJVQB+å®ä½"/>
          <w:color w:val="000000"/>
          <w:spacing w:val="0"/>
          <w:sz w:val="21"/>
        </w:rPr>
        <w:t>号楼为</w:t>
      </w:r>
    </w:p>
    <w:p>
      <w:pPr>
        <w:framePr w:w="3020" w:wrap="around" w:vAnchor="margin" w:hAnchor="text" w:x="7482"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明大厦 </w:t>
      </w:r>
      <w:r>
        <w:rPr>
          <w:rFonts w:ascii="Times New Roman"/>
          <w:color w:val="000000"/>
          <w:spacing w:val="0"/>
          <w:sz w:val="21"/>
        </w:rPr>
        <w:t>C</w:t>
      </w:r>
      <w:r>
        <w:rPr>
          <w:rFonts w:ascii="SKJVQB+å®ä½" w:hAnsi="SKJVQB+å®ä½" w:cs="SKJVQB+å®ä½"/>
          <w:color w:val="000000"/>
          <w:spacing w:val="0"/>
          <w:sz w:val="21"/>
        </w:rPr>
        <w:t>座</w:t>
      </w:r>
    </w:p>
    <w:p>
      <w:pPr>
        <w:framePr w:w="2312"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法定代表人：赵芯蕊</w:t>
      </w:r>
    </w:p>
    <w:p>
      <w:pPr>
        <w:framePr w:w="2312"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联系人：赵芯蕊</w:t>
      </w:r>
    </w:p>
    <w:p>
      <w:pPr>
        <w:framePr w:w="2178"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010-62675768</w:t>
      </w:r>
    </w:p>
    <w:p>
      <w:pPr>
        <w:framePr w:w="3020" w:wrap="around" w:vAnchor="margin" w:hAnchor="text" w:x="7482" w:y="1274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010-62675369</w:t>
      </w:r>
    </w:p>
    <w:p>
      <w:pPr>
        <w:framePr w:w="3020"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http://www.xincai.com</w:t>
      </w:r>
    </w:p>
    <w:p>
      <w:pPr>
        <w:framePr w:w="3020" w:wrap="around" w:vAnchor="margin" w:hAnchor="text" w:x="7482" w:y="1274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注册地址：珠海市横琴新区</w:t>
      </w:r>
    </w:p>
    <w:p>
      <w:pPr>
        <w:framePr w:w="3020" w:wrap="around" w:vAnchor="margin" w:hAnchor="text" w:x="7482" w:y="1274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宝华路 </w:t>
      </w:r>
      <w:r>
        <w:rPr>
          <w:rFonts w:ascii="Times New Roman"/>
          <w:color w:val="000000"/>
          <w:spacing w:val="0"/>
          <w:sz w:val="21"/>
        </w:rPr>
        <w:t>6</w:t>
      </w:r>
      <w:r>
        <w:rPr>
          <w:rFonts w:ascii="SKJVQB+å®ä½" w:hAnsi="SKJVQB+å®ä½" w:cs="SKJVQB+å®ä½"/>
          <w:color w:val="000000"/>
          <w:spacing w:val="0"/>
          <w:sz w:val="21"/>
        </w:rPr>
        <w:t xml:space="preserve">号  </w:t>
      </w:r>
      <w:r>
        <w:rPr>
          <w:rFonts w:ascii="Times New Roman"/>
          <w:color w:val="000000"/>
          <w:spacing w:val="0"/>
          <w:sz w:val="21"/>
        </w:rPr>
        <w:t>105</w:t>
      </w:r>
      <w:r>
        <w:rPr>
          <w:rFonts w:ascii="SKJVQB+å®ä½" w:hAnsi="SKJVQB+å®ä½" w:cs="SKJVQB+å®ä½"/>
          <w:color w:val="000000"/>
          <w:spacing w:val="0"/>
          <w:sz w:val="21"/>
        </w:rPr>
        <w:t>室</w:t>
      </w:r>
      <w:r>
        <w:rPr>
          <w:rFonts w:ascii="Times New Roman"/>
          <w:color w:val="000000"/>
          <w:spacing w:val="0"/>
          <w:sz w:val="21"/>
        </w:rPr>
        <w:t>-3491</w:t>
      </w:r>
    </w:p>
    <w:p>
      <w:pPr>
        <w:framePr w:w="3020"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办公地址：广州市海珠区琶洲</w:t>
      </w:r>
    </w:p>
    <w:p>
      <w:pPr>
        <w:framePr w:w="3020"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大道东 </w:t>
      </w:r>
      <w:r>
        <w:rPr>
          <w:rFonts w:ascii="Times New Roman"/>
          <w:color w:val="000000"/>
          <w:spacing w:val="0"/>
          <w:sz w:val="21"/>
        </w:rPr>
        <w:t>1</w:t>
      </w:r>
      <w:r>
        <w:rPr>
          <w:rFonts w:ascii="SKJVQB+å®ä½" w:hAnsi="SKJVQB+å®ä½" w:cs="SKJVQB+å®ä½"/>
          <w:color w:val="000000"/>
          <w:spacing w:val="0"/>
          <w:sz w:val="21"/>
        </w:rPr>
        <w:t>号保利国际广场南</w:t>
      </w:r>
    </w:p>
    <w:p>
      <w:pPr>
        <w:framePr w:w="3020"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塔 </w:t>
      </w:r>
      <w:r>
        <w:rPr>
          <w:rFonts w:ascii="Times New Roman"/>
          <w:color w:val="000000"/>
          <w:spacing w:val="0"/>
          <w:sz w:val="21"/>
        </w:rPr>
        <w:t>12</w:t>
      </w:r>
      <w:r>
        <w:rPr>
          <w:rFonts w:ascii="SKJVQB+å®ä½" w:hAnsi="SKJVQB+å®ä½" w:cs="SKJVQB+å®ä½"/>
          <w:color w:val="000000"/>
          <w:spacing w:val="0"/>
          <w:sz w:val="21"/>
        </w:rPr>
        <w:t xml:space="preserve">楼   </w:t>
      </w:r>
      <w:r>
        <w:rPr>
          <w:rFonts w:ascii="Times New Roman"/>
          <w:color w:val="000000"/>
          <w:spacing w:val="0"/>
          <w:sz w:val="21"/>
        </w:rPr>
        <w:t>1201-1203</w:t>
      </w:r>
      <w:r>
        <w:rPr>
          <w:rFonts w:ascii="SKJVQB+å®ä½" w:hAnsi="SKJVQB+å®ä½" w:cs="SKJVQB+å®ä½"/>
          <w:color w:val="000000"/>
          <w:spacing w:val="0"/>
          <w:sz w:val="21"/>
        </w:rPr>
        <w:t>室</w:t>
      </w:r>
    </w:p>
    <w:p>
      <w:pPr>
        <w:framePr w:w="3020" w:wrap="around" w:vAnchor="margin" w:hAnchor="text" w:x="7482" w:y="1274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法定代表人：肖雯</w:t>
      </w:r>
    </w:p>
    <w:p>
      <w:pPr>
        <w:framePr w:w="632" w:wrap="around" w:vAnchor="margin" w:hAnchor="text" w:x="4110" w:y="1337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101</w:t>
      </w:r>
    </w:p>
    <w:p>
      <w:pPr>
        <w:framePr w:w="2901" w:wrap="around" w:vAnchor="margin" w:hAnchor="text" w:x="4640" w:y="1338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珠海盈米基金销售有限公司</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104</w:t>
      </w:r>
    </w:p>
    <w:p>
      <w:pPr>
        <w:spacing w:before="0" w:after="0" w:line="0" w:lineRule="exact"/>
        <w:ind w:left="0" w:right="0"/>
        <w:jc w:val="left"/>
        <w:rPr>
          <w:rFonts w:ascii="Arial"/>
          <w:color w:val="FF0000"/>
          <w:spacing w:val="0"/>
          <w:sz w:val="2"/>
        </w:rPr>
      </w:pPr>
      <w:r>
        <w:pict>
          <v:shape id="_x0000215" o:spid="_x0000_s124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91" o:title=""/>
            <o:lock v:ext="edit" aspectratio="t"/>
          </v:shape>
        </w:pict>
      </w:r>
      <w:r>
        <w:pict>
          <v:shape id="_x0000216" o:spid="_x0000_s1242"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9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78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联系人：邱湘湘</w:t>
      </w:r>
    </w:p>
    <w:p>
      <w:pPr>
        <w:framePr w:w="2626" w:wrap="around" w:vAnchor="margin" w:hAnchor="text" w:x="7482" w:y="179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020-89629099</w:t>
      </w:r>
    </w:p>
    <w:p>
      <w:pPr>
        <w:framePr w:w="2626"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020-89629011</w:t>
      </w:r>
    </w:p>
    <w:p>
      <w:pPr>
        <w:framePr w:w="2626"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020-89629066</w:t>
      </w:r>
    </w:p>
    <w:p>
      <w:pPr>
        <w:framePr w:w="2626" w:wrap="around" w:vAnchor="margin" w:hAnchor="text" w:x="7482" w:y="179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www.yingmi.cn</w:t>
      </w:r>
    </w:p>
    <w:p>
      <w:pPr>
        <w:framePr w:w="632" w:wrap="around" w:vAnchor="margin" w:hAnchor="text" w:x="4110" w:y="304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102</w:t>
      </w:r>
    </w:p>
    <w:p>
      <w:pPr>
        <w:framePr w:w="2901" w:wrap="around" w:vAnchor="margin" w:hAnchor="text" w:x="4640"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深圳富济基金销售有限公司</w:t>
      </w:r>
    </w:p>
    <w:p>
      <w:pPr>
        <w:framePr w:w="3021" w:wrap="around" w:vAnchor="margin" w:hAnchor="text" w:x="7482" w:y="305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注册地址：深圳市福田区福田</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街道岗厦社区金田路 </w:t>
      </w:r>
      <w:r>
        <w:rPr>
          <w:rFonts w:ascii="Times New Roman"/>
          <w:color w:val="000000"/>
          <w:spacing w:val="0"/>
          <w:sz w:val="21"/>
        </w:rPr>
        <w:t>3088</w:t>
      </w:r>
      <w:r>
        <w:rPr>
          <w:rFonts w:ascii="SKJVQB+å®ä½" w:hAnsi="SKJVQB+å®ä½" w:cs="SKJVQB+å®ä½"/>
          <w:color w:val="000000"/>
          <w:spacing w:val="0"/>
          <w:sz w:val="21"/>
        </w:rPr>
        <w:t>号</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中洲大厦 </w:t>
      </w:r>
      <w:r>
        <w:rPr>
          <w:rFonts w:ascii="Times New Roman"/>
          <w:color w:val="000000"/>
          <w:spacing w:val="0"/>
          <w:sz w:val="21"/>
        </w:rPr>
        <w:t>3203A</w:t>
      </w:r>
      <w:r>
        <w:rPr>
          <w:rFonts w:ascii="SKJVQB+å®ä½" w:hAnsi="SKJVQB+å®ä½" w:cs="SKJVQB+å®ä½"/>
          <w:color w:val="000000"/>
          <w:spacing w:val="0"/>
          <w:sz w:val="21"/>
        </w:rPr>
        <w:t>单元</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办公地址：深圳市福田区福田</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街道岗厦社区金田路 </w:t>
      </w:r>
      <w:r>
        <w:rPr>
          <w:rFonts w:ascii="Times New Roman"/>
          <w:color w:val="000000"/>
          <w:spacing w:val="0"/>
          <w:sz w:val="21"/>
        </w:rPr>
        <w:t>3088</w:t>
      </w:r>
      <w:r>
        <w:rPr>
          <w:rFonts w:ascii="SKJVQB+å®ä½" w:hAnsi="SKJVQB+å®ä½" w:cs="SKJVQB+å®ä½"/>
          <w:color w:val="000000"/>
          <w:spacing w:val="0"/>
          <w:sz w:val="21"/>
        </w:rPr>
        <w:t>号</w:t>
      </w:r>
    </w:p>
    <w:p>
      <w:pPr>
        <w:framePr w:w="3021" w:wrap="around" w:vAnchor="margin" w:hAnchor="text" w:x="7482" w:y="3055"/>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中洲大厦 </w:t>
      </w:r>
      <w:r>
        <w:rPr>
          <w:rFonts w:ascii="Times New Roman"/>
          <w:color w:val="000000"/>
          <w:spacing w:val="0"/>
          <w:sz w:val="21"/>
        </w:rPr>
        <w:t>3203A</w:t>
      </w:r>
      <w:r>
        <w:rPr>
          <w:rFonts w:ascii="SKJVQB+å®ä½" w:hAnsi="SKJVQB+å®ä½" w:cs="SKJVQB+å®ä½"/>
          <w:color w:val="000000"/>
          <w:spacing w:val="0"/>
          <w:sz w:val="21"/>
        </w:rPr>
        <w:t>单元</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法定代表人：刘鹏宇</w:t>
      </w:r>
    </w:p>
    <w:p>
      <w:pPr>
        <w:framePr w:w="3021" w:wrap="around" w:vAnchor="margin" w:hAnchor="text" w:x="7482" w:y="305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联系人：刘勇</w:t>
      </w:r>
    </w:p>
    <w:p>
      <w:pPr>
        <w:framePr w:w="3020" w:wrap="around" w:vAnchor="margin" w:hAnchor="text" w:x="7482" w:y="554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0755-83999907-8814</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0755-83999926</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0755-83999907</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www.fujifund.cn</w:t>
      </w:r>
    </w:p>
    <w:p>
      <w:pPr>
        <w:framePr w:w="3020" w:wrap="around" w:vAnchor="margin" w:hAnchor="text" w:x="7482" w:y="55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注册地址：北京市延庆县延</w:t>
      </w:r>
    </w:p>
    <w:p>
      <w:pPr>
        <w:framePr w:w="3020" w:wrap="around" w:vAnchor="margin" w:hAnchor="text" w:x="7482" w:y="55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庆经济开发区百泉街 </w:t>
      </w:r>
      <w:r>
        <w:rPr>
          <w:rFonts w:ascii="Times New Roman"/>
          <w:color w:val="000000"/>
          <w:spacing w:val="0"/>
          <w:sz w:val="21"/>
        </w:rPr>
        <w:t>10</w:t>
      </w:r>
      <w:r>
        <w:rPr>
          <w:rFonts w:ascii="SKJVQB+å®ä½" w:hAnsi="SKJVQB+å®ä½" w:cs="SKJVQB+å®ä½"/>
          <w:color w:val="000000"/>
          <w:spacing w:val="0"/>
          <w:sz w:val="21"/>
        </w:rPr>
        <w:t xml:space="preserve">号  </w:t>
      </w:r>
      <w:r>
        <w:rPr>
          <w:rFonts w:ascii="Times New Roman"/>
          <w:color w:val="000000"/>
          <w:spacing w:val="0"/>
          <w:sz w:val="21"/>
        </w:rPr>
        <w:t xml:space="preserve"> 2</w:t>
      </w:r>
    </w:p>
    <w:p>
      <w:pPr>
        <w:framePr w:w="3020" w:wrap="around" w:vAnchor="margin" w:hAnchor="text" w:x="7482" w:y="55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栋 </w:t>
      </w:r>
      <w:r>
        <w:rPr>
          <w:rFonts w:ascii="Times New Roman"/>
          <w:color w:val="000000"/>
          <w:spacing w:val="0"/>
          <w:sz w:val="21"/>
        </w:rPr>
        <w:t>236</w:t>
      </w:r>
      <w:r>
        <w:rPr>
          <w:rFonts w:ascii="SKJVQB+å®ä½" w:hAnsi="SKJVQB+å®ä½" w:cs="SKJVQB+å®ä½"/>
          <w:color w:val="000000"/>
          <w:spacing w:val="0"/>
          <w:sz w:val="21"/>
        </w:rPr>
        <w:t>室</w:t>
      </w:r>
    </w:p>
    <w:p>
      <w:pPr>
        <w:framePr w:w="632" w:wrap="around" w:vAnchor="margin" w:hAnchor="text" w:x="4110" w:y="680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103</w:t>
      </w:r>
    </w:p>
    <w:p>
      <w:pPr>
        <w:framePr w:w="2901" w:wrap="around" w:vAnchor="margin" w:hAnchor="text" w:x="4640" w:y="68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北京唐鼎耀华基金销售有限</w:t>
      </w:r>
    </w:p>
    <w:p>
      <w:pPr>
        <w:framePr w:w="2901" w:wrap="around" w:vAnchor="margin" w:hAnchor="text" w:x="4640" w:y="68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办公地址：北京市朝阳区建</w:t>
      </w:r>
    </w:p>
    <w:p>
      <w:pPr>
        <w:framePr w:w="3020" w:wrap="around" w:vAnchor="margin" w:hAnchor="text" w:x="7482" w:y="7745"/>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国门外大街 </w:t>
      </w:r>
      <w:r>
        <w:rPr>
          <w:rFonts w:ascii="Times New Roman"/>
          <w:color w:val="000000"/>
          <w:spacing w:val="0"/>
          <w:sz w:val="21"/>
        </w:rPr>
        <w:t>19</w:t>
      </w:r>
      <w:r>
        <w:rPr>
          <w:rFonts w:ascii="SKJVQB+å®ä½" w:hAnsi="SKJVQB+å®ä½" w:cs="SKJVQB+å®ä½"/>
          <w:color w:val="000000"/>
          <w:spacing w:val="0"/>
          <w:sz w:val="21"/>
        </w:rPr>
        <w:t xml:space="preserve">号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 xml:space="preserve"> 1505</w:t>
      </w:r>
    </w:p>
    <w:p>
      <w:pPr>
        <w:framePr w:w="3020"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209" w:wrap="around" w:vAnchor="margin" w:hAnchor="text" w:x="7482" w:y="868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法定代表人：张冠宇</w:t>
      </w:r>
    </w:p>
    <w:p>
      <w:pPr>
        <w:framePr w:w="2209" w:wrap="around" w:vAnchor="margin" w:hAnchor="text" w:x="7482" w:y="86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联系人：孙书慧</w:t>
      </w:r>
    </w:p>
    <w:p>
      <w:pPr>
        <w:framePr w:w="2588" w:wrap="around" w:vAnchor="margin" w:hAnchor="text" w:x="7482" w:y="929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010-85932884</w:t>
      </w:r>
    </w:p>
    <w:p>
      <w:pPr>
        <w:framePr w:w="2588" w:wrap="around" w:vAnchor="margin" w:hAnchor="text" w:x="7482" w:y="929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400-819-9868</w:t>
      </w:r>
    </w:p>
    <w:p>
      <w:pPr>
        <w:framePr w:w="2588" w:wrap="around" w:vAnchor="margin" w:hAnchor="text" w:x="7482" w:y="929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023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https://www.tdyhfund.com</w:t>
      </w:r>
    </w:p>
    <w:p>
      <w:pPr>
        <w:framePr w:w="3020" w:wrap="around" w:vAnchor="margin" w:hAnchor="text" w:x="7482" w:y="10232"/>
        <w:widowControl w:val="0"/>
        <w:autoSpaceDE w:val="0"/>
        <w:autoSpaceDN w:val="0"/>
        <w:spacing w:before="0" w:after="0" w:line="327"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注册地址：上海市黄浦区西藏</w:t>
      </w:r>
    </w:p>
    <w:p>
      <w:pPr>
        <w:framePr w:w="3020" w:wrap="around" w:vAnchor="margin" w:hAnchor="text" w:x="7482" w:y="102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南路 </w:t>
      </w:r>
      <w:r>
        <w:rPr>
          <w:rFonts w:ascii="Times New Roman"/>
          <w:color w:val="000000"/>
          <w:spacing w:val="0"/>
          <w:sz w:val="21"/>
        </w:rPr>
        <w:t>765</w:t>
      </w:r>
      <w:r>
        <w:rPr>
          <w:rFonts w:ascii="SKJVQB+å®ä½" w:hAnsi="SKJVQB+å®ä½" w:cs="SKJVQB+å®ä½"/>
          <w:color w:val="000000"/>
          <w:spacing w:val="0"/>
          <w:sz w:val="21"/>
        </w:rPr>
        <w:t xml:space="preserve">号  </w:t>
      </w:r>
      <w:r>
        <w:rPr>
          <w:rFonts w:ascii="Times New Roman"/>
          <w:color w:val="000000"/>
          <w:spacing w:val="0"/>
          <w:sz w:val="21"/>
        </w:rPr>
        <w:t>602-115</w:t>
      </w:r>
      <w:r>
        <w:rPr>
          <w:rFonts w:ascii="SKJVQB+å®ä½" w:hAnsi="SKJVQB+å®ä½" w:cs="SKJVQB+å®ä½"/>
          <w:color w:val="000000"/>
          <w:spacing w:val="0"/>
          <w:sz w:val="21"/>
        </w:rPr>
        <w:t>室</w:t>
      </w:r>
    </w:p>
    <w:p>
      <w:pPr>
        <w:framePr w:w="3020" w:wrap="around" w:vAnchor="margin" w:hAnchor="text" w:x="7482" w:y="102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办公地址：上海市黄浦区延安</w:t>
      </w:r>
    </w:p>
    <w:p>
      <w:pPr>
        <w:framePr w:w="3020" w:wrap="around" w:vAnchor="margin" w:hAnchor="text" w:x="7482" w:y="102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东路 </w:t>
      </w:r>
      <w:r>
        <w:rPr>
          <w:rFonts w:ascii="Times New Roman"/>
          <w:color w:val="000000"/>
          <w:spacing w:val="0"/>
          <w:sz w:val="21"/>
        </w:rPr>
        <w:t>1</w:t>
      </w:r>
      <w:r>
        <w:rPr>
          <w:rFonts w:ascii="SKJVQB+å®ä½" w:hAnsi="SKJVQB+å®ä½" w:cs="SKJVQB+å®ä½"/>
          <w:color w:val="000000"/>
          <w:spacing w:val="0"/>
          <w:sz w:val="21"/>
        </w:rPr>
        <w:t xml:space="preserve">号凯石大厦  </w:t>
      </w:r>
      <w:r>
        <w:rPr>
          <w:rFonts w:ascii="Times New Roman"/>
          <w:color w:val="000000"/>
          <w:spacing w:val="0"/>
          <w:sz w:val="21"/>
        </w:rPr>
        <w:t>4</w:t>
      </w:r>
      <w:r>
        <w:rPr>
          <w:rFonts w:ascii="SKJVQB+å®ä½" w:hAnsi="SKJVQB+å®ä½" w:cs="SKJVQB+å®ä½"/>
          <w:color w:val="000000"/>
          <w:spacing w:val="0"/>
          <w:sz w:val="21"/>
        </w:rPr>
        <w:t>楼</w:t>
      </w:r>
    </w:p>
    <w:p>
      <w:pPr>
        <w:framePr w:w="3020" w:wrap="around" w:vAnchor="margin" w:hAnchor="text" w:x="7482" w:y="102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法定代表人：陈继武</w:t>
      </w:r>
    </w:p>
    <w:p>
      <w:pPr>
        <w:framePr w:w="3020" w:wrap="around" w:vAnchor="margin" w:hAnchor="text" w:x="7482" w:y="102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联系人：高皓辉</w:t>
      </w:r>
    </w:p>
    <w:p>
      <w:pPr>
        <w:framePr w:w="632" w:wrap="around" w:vAnchor="margin" w:hAnchor="text" w:x="4110" w:y="105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104</w:t>
      </w:r>
    </w:p>
    <w:p>
      <w:pPr>
        <w:framePr w:w="2901" w:wrap="around" w:vAnchor="margin" w:hAnchor="text" w:x="4640" w:y="105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上海凯石财富基金销售有限</w:t>
      </w:r>
    </w:p>
    <w:p>
      <w:pPr>
        <w:framePr w:w="2901" w:wrap="around" w:vAnchor="margin" w:hAnchor="text" w:x="4640" w:y="1056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2588" w:wrap="around" w:vAnchor="margin" w:hAnchor="text" w:x="7482" w:y="124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021-63333389-230</w:t>
      </w:r>
    </w:p>
    <w:p>
      <w:pPr>
        <w:framePr w:w="2588"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021-63333390</w:t>
      </w:r>
    </w:p>
    <w:p>
      <w:pPr>
        <w:framePr w:w="2588" w:wrap="around" w:vAnchor="margin" w:hAnchor="text" w:x="7482" w:y="1243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4006-433-389</w:t>
      </w:r>
    </w:p>
    <w:p>
      <w:pPr>
        <w:framePr w:w="2588" w:wrap="around" w:vAnchor="margin" w:hAnchor="text" w:x="7482" w:y="1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367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www.vstonewealth.com</w:t>
      </w:r>
    </w:p>
    <w:p>
      <w:pPr>
        <w:framePr w:w="3020" w:wrap="around" w:vAnchor="margin" w:hAnchor="text" w:x="7482" w:y="1367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注册地址：南京市建邺区江东</w:t>
      </w:r>
    </w:p>
    <w:p>
      <w:pPr>
        <w:framePr w:w="3020" w:wrap="around" w:vAnchor="margin" w:hAnchor="text" w:x="7482" w:y="1367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中路 </w:t>
      </w:r>
      <w:r>
        <w:rPr>
          <w:rFonts w:ascii="Times New Roman"/>
          <w:color w:val="000000"/>
          <w:spacing w:val="0"/>
          <w:sz w:val="21"/>
        </w:rPr>
        <w:t>222</w:t>
      </w:r>
      <w:r>
        <w:rPr>
          <w:rFonts w:ascii="SKJVQB+å®ä½" w:hAnsi="SKJVQB+å®ä½" w:cs="SKJVQB+å®ä½"/>
          <w:color w:val="000000"/>
          <w:spacing w:val="0"/>
          <w:sz w:val="21"/>
        </w:rPr>
        <w:t>号南京奥体中心现</w:t>
      </w:r>
    </w:p>
    <w:p>
      <w:pPr>
        <w:framePr w:w="3020" w:wrap="around" w:vAnchor="margin" w:hAnchor="text" w:x="7482" w:y="1367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代五项馆 </w:t>
      </w:r>
      <w:r>
        <w:rPr>
          <w:rFonts w:ascii="Times New Roman"/>
          <w:color w:val="000000"/>
          <w:spacing w:val="0"/>
          <w:sz w:val="21"/>
        </w:rPr>
        <w:t>2105</w:t>
      </w:r>
      <w:r>
        <w:rPr>
          <w:rFonts w:ascii="SKJVQB+å®ä½" w:hAnsi="SKJVQB+å®ä½" w:cs="SKJVQB+å®ä½"/>
          <w:color w:val="000000"/>
          <w:spacing w:val="0"/>
          <w:sz w:val="21"/>
        </w:rPr>
        <w:t>室</w:t>
      </w:r>
    </w:p>
    <w:p>
      <w:pPr>
        <w:framePr w:w="632" w:wrap="around" w:vAnchor="margin" w:hAnchor="text" w:x="4110" w:y="1399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105</w:t>
      </w:r>
    </w:p>
    <w:p>
      <w:pPr>
        <w:framePr w:w="2901" w:wrap="around" w:vAnchor="margin" w:hAnchor="text" w:x="4640" w:y="1400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大泰金石基金销售有限公司</w:t>
      </w:r>
    </w:p>
    <w:p>
      <w:pPr>
        <w:framePr w:w="3020" w:wrap="around" w:vAnchor="margin" w:hAnchor="text" w:x="7482"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办公地址：上海市浦东新区峨</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105</w:t>
      </w:r>
    </w:p>
    <w:p>
      <w:pPr>
        <w:spacing w:before="0" w:after="0" w:line="0" w:lineRule="exact"/>
        <w:ind w:left="0" w:right="0"/>
        <w:jc w:val="left"/>
        <w:rPr>
          <w:rFonts w:ascii="Arial"/>
          <w:color w:val="FF0000"/>
          <w:spacing w:val="0"/>
          <w:sz w:val="2"/>
        </w:rPr>
      </w:pPr>
      <w:r>
        <w:pict>
          <v:shape id="_x0000217" o:spid="_x0000_s124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93" o:title=""/>
            <o:lock v:ext="edit" aspectratio="t"/>
          </v:shape>
        </w:pict>
      </w:r>
      <w:r>
        <w:pict>
          <v:shape id="_x0000218" o:spid="_x0000_s1244"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9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960"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山路 </w:t>
      </w:r>
      <w:r>
        <w:rPr>
          <w:rFonts w:ascii="Times New Roman"/>
          <w:color w:val="000000"/>
          <w:spacing w:val="0"/>
          <w:sz w:val="21"/>
        </w:rPr>
        <w:t>505</w:t>
      </w:r>
      <w:r>
        <w:rPr>
          <w:rFonts w:ascii="SKJVQB+å®ä½" w:hAnsi="SKJVQB+å®ä½" w:cs="SKJVQB+å®ä½"/>
          <w:color w:val="000000"/>
          <w:spacing w:val="0"/>
          <w:sz w:val="21"/>
        </w:rPr>
        <w:t xml:space="preserve">号东方纯一大厦  </w:t>
      </w:r>
      <w:r>
        <w:rPr>
          <w:rFonts w:ascii="Times New Roman"/>
          <w:color w:val="000000"/>
          <w:spacing w:val="0"/>
          <w:sz w:val="21"/>
        </w:rPr>
        <w:t xml:space="preserve"> 15</w:t>
      </w:r>
    </w:p>
    <w:p>
      <w:pPr>
        <w:framePr w:w="296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209" w:wrap="around" w:vAnchor="margin" w:hAnchor="text" w:x="7482" w:y="210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法定代表人：袁顾明</w:t>
      </w:r>
    </w:p>
    <w:p>
      <w:pPr>
        <w:framePr w:w="2209" w:wrap="around" w:vAnchor="margin" w:hAnchor="text" w:x="7482" w:y="210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联系人：孟召社</w:t>
      </w:r>
    </w:p>
    <w:p>
      <w:pPr>
        <w:framePr w:w="2178"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15621569619</w:t>
      </w:r>
    </w:p>
    <w:p>
      <w:pPr>
        <w:framePr w:w="2178" w:wrap="around" w:vAnchor="margin" w:hAnchor="text" w:x="7482" w:y="272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021-20324199</w:t>
      </w:r>
    </w:p>
    <w:p>
      <w:pPr>
        <w:framePr w:w="2178" w:wrap="around" w:vAnchor="margin" w:hAnchor="text" w:x="7482" w:y="272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客服电话：</w:t>
      </w:r>
    </w:p>
    <w:p>
      <w:pPr>
        <w:framePr w:w="2857" w:wrap="around" w:vAnchor="margin" w:hAnchor="text" w:x="7482" w:y="366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400-928-2266/021-22267995</w:t>
      </w:r>
    </w:p>
    <w:p>
      <w:pPr>
        <w:framePr w:w="2857" w:wrap="around" w:vAnchor="margin" w:hAnchor="text" w:x="7482" w:y="3660"/>
        <w:widowControl w:val="0"/>
        <w:autoSpaceDE w:val="0"/>
        <w:autoSpaceDN w:val="0"/>
        <w:spacing w:before="0" w:after="0" w:line="31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www.dtfunds.com</w:t>
      </w:r>
    </w:p>
    <w:p>
      <w:pPr>
        <w:framePr w:w="632" w:wrap="around" w:vAnchor="margin" w:hAnchor="text" w:x="4110"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106</w:t>
      </w:r>
    </w:p>
    <w:p>
      <w:pPr>
        <w:framePr w:w="3020"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济安财富（北京）基金销售有</w:t>
      </w:r>
    </w:p>
    <w:p>
      <w:pPr>
        <w:framePr w:w="3020" w:wrap="around" w:vAnchor="margin" w:hAnchor="text" w:x="4640"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framePr w:w="3021"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注册地址：北京市朝阳区太</w:t>
      </w:r>
    </w:p>
    <w:p>
      <w:pPr>
        <w:framePr w:w="3021"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阳宫中路 </w:t>
      </w:r>
      <w:r>
        <w:rPr>
          <w:rFonts w:ascii="Times New Roman"/>
          <w:color w:val="000000"/>
          <w:spacing w:val="0"/>
          <w:sz w:val="21"/>
        </w:rPr>
        <w:t>16</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3</w:t>
      </w:r>
      <w:r>
        <w:rPr>
          <w:rFonts w:ascii="SKJVQB+å®ä½" w:hAnsi="SKJVQB+å®ä½" w:cs="SKJVQB+å®ä½"/>
          <w:color w:val="000000"/>
          <w:spacing w:val="0"/>
          <w:sz w:val="21"/>
        </w:rPr>
        <w:t>层</w:t>
      </w:r>
    </w:p>
    <w:p>
      <w:pPr>
        <w:framePr w:w="3021" w:wrap="around" w:vAnchor="margin" w:hAnchor="text" w:x="7482" w:y="4303"/>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307</w:t>
      </w:r>
    </w:p>
    <w:p>
      <w:pPr>
        <w:framePr w:w="3021" w:wrap="around" w:vAnchor="margin" w:hAnchor="text" w:x="7482" w:y="523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办公地址：北京市朝阳区太</w:t>
      </w:r>
    </w:p>
    <w:p>
      <w:pPr>
        <w:framePr w:w="3021" w:wrap="around" w:vAnchor="margin" w:hAnchor="text" w:x="7482" w:y="52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阳宫中路 </w:t>
      </w:r>
      <w:r>
        <w:rPr>
          <w:rFonts w:ascii="Times New Roman"/>
          <w:color w:val="000000"/>
          <w:spacing w:val="0"/>
          <w:sz w:val="21"/>
        </w:rPr>
        <w:t>16</w:t>
      </w:r>
      <w:r>
        <w:rPr>
          <w:rFonts w:ascii="SKJVQB+å®ä½" w:hAnsi="SKJVQB+å®ä½" w:cs="SKJVQB+å®ä½"/>
          <w:color w:val="000000"/>
          <w:spacing w:val="0"/>
          <w:sz w:val="21"/>
        </w:rPr>
        <w:t xml:space="preserve">号院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3</w:t>
      </w:r>
      <w:r>
        <w:rPr>
          <w:rFonts w:ascii="SKJVQB+å®ä½" w:hAnsi="SKJVQB+å®ä½" w:cs="SKJVQB+å®ä½"/>
          <w:color w:val="000000"/>
          <w:spacing w:val="0"/>
          <w:sz w:val="21"/>
        </w:rPr>
        <w:t>层</w:t>
      </w:r>
    </w:p>
    <w:p>
      <w:pPr>
        <w:framePr w:w="3021" w:wrap="around" w:vAnchor="margin" w:hAnchor="text" w:x="7482" w:y="5239"/>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307</w:t>
      </w:r>
    </w:p>
    <w:p>
      <w:pPr>
        <w:framePr w:w="2104"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法定代表人：杨健</w:t>
      </w:r>
    </w:p>
    <w:p>
      <w:pPr>
        <w:framePr w:w="2104" w:wrap="around" w:vAnchor="margin" w:hAnchor="text" w:x="7482" w:y="617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联系人：李海燕</w:t>
      </w:r>
    </w:p>
    <w:p>
      <w:pPr>
        <w:framePr w:w="2588" w:wrap="around" w:vAnchor="margin" w:hAnchor="text" w:x="7482" w:y="679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010-65309516</w:t>
      </w:r>
    </w:p>
    <w:p>
      <w:pPr>
        <w:framePr w:w="2588" w:wrap="around" w:vAnchor="margin" w:hAnchor="text" w:x="7482" w:y="679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010-65330699</w:t>
      </w:r>
    </w:p>
    <w:p>
      <w:pPr>
        <w:framePr w:w="2588" w:wrap="around" w:vAnchor="margin" w:hAnchor="text" w:x="7482" w:y="679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400-673-7010</w:t>
      </w:r>
    </w:p>
    <w:p>
      <w:pPr>
        <w:framePr w:w="2588" w:wrap="around" w:vAnchor="margin" w:hAnchor="text" w:x="7482" w:y="67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80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http://www.jianfortune.com</w:t>
      </w:r>
    </w:p>
    <w:p>
      <w:pPr>
        <w:framePr w:w="3020" w:wrap="around" w:vAnchor="margin" w:hAnchor="text" w:x="7482" w:y="803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注册地址：北京市丰台区东管</w:t>
      </w:r>
    </w:p>
    <w:p>
      <w:pPr>
        <w:framePr w:w="3020" w:wrap="around" w:vAnchor="margin" w:hAnchor="text" w:x="7482" w:y="80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头 </w:t>
      </w:r>
      <w:r>
        <w:rPr>
          <w:rFonts w:ascii="Times New Roman"/>
          <w:color w:val="000000"/>
          <w:spacing w:val="0"/>
          <w:sz w:val="21"/>
        </w:rPr>
        <w:t>1</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 xml:space="preserve">号楼  </w:t>
      </w:r>
      <w:r>
        <w:rPr>
          <w:rFonts w:ascii="Times New Roman"/>
          <w:color w:val="000000"/>
          <w:spacing w:val="0"/>
          <w:sz w:val="21"/>
        </w:rPr>
        <w:t>2-45</w:t>
      </w:r>
      <w:r>
        <w:rPr>
          <w:rFonts w:ascii="SKJVQB+å®ä½" w:hAnsi="SKJVQB+å®ä½" w:cs="SKJVQB+å®ä½"/>
          <w:color w:val="000000"/>
          <w:spacing w:val="0"/>
          <w:sz w:val="21"/>
        </w:rPr>
        <w:t>室</w:t>
      </w:r>
    </w:p>
    <w:p>
      <w:pPr>
        <w:framePr w:w="3020" w:wrap="around" w:vAnchor="margin" w:hAnchor="text" w:x="7482" w:y="80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办公地址：北京市西城区宣</w:t>
      </w:r>
    </w:p>
    <w:p>
      <w:pPr>
        <w:framePr w:w="3020" w:wrap="around" w:vAnchor="margin" w:hAnchor="text" w:x="7482" w:y="80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武门外大街甲 </w:t>
      </w:r>
      <w:r>
        <w:rPr>
          <w:rFonts w:ascii="Times New Roman"/>
          <w:color w:val="000000"/>
          <w:spacing w:val="0"/>
          <w:sz w:val="21"/>
        </w:rPr>
        <w:t>1</w:t>
      </w:r>
      <w:r>
        <w:rPr>
          <w:rFonts w:ascii="SKJVQB+å®ä½" w:hAnsi="SKJVQB+å®ä½" w:cs="SKJVQB+å®ä½"/>
          <w:color w:val="000000"/>
          <w:spacing w:val="0"/>
          <w:sz w:val="21"/>
        </w:rPr>
        <w:t>号环球财讯</w:t>
      </w:r>
    </w:p>
    <w:p>
      <w:pPr>
        <w:framePr w:w="3020" w:wrap="around" w:vAnchor="margin" w:hAnchor="text" w:x="7482" w:y="803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中心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5</w:t>
      </w:r>
      <w:r>
        <w:rPr>
          <w:rFonts w:ascii="SKJVQB+å®ä½" w:hAnsi="SKJVQB+å®ä½" w:cs="SKJVQB+å®ä½"/>
          <w:color w:val="000000"/>
          <w:spacing w:val="0"/>
          <w:sz w:val="21"/>
        </w:rPr>
        <w:t>层</w:t>
      </w:r>
    </w:p>
    <w:p>
      <w:pPr>
        <w:framePr w:w="632" w:wrap="around" w:vAnchor="margin" w:hAnchor="text" w:x="4110" w:y="836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107</w:t>
      </w:r>
    </w:p>
    <w:p>
      <w:pPr>
        <w:framePr w:w="3020" w:wrap="around" w:vAnchor="margin" w:hAnchor="text" w:x="4640"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中证金牛（北京）投资咨询有</w:t>
      </w:r>
    </w:p>
    <w:p>
      <w:pPr>
        <w:framePr w:w="3020" w:wrap="around" w:vAnchor="margin" w:hAnchor="text" w:x="4640"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framePr w:w="2209" w:wrap="around" w:vAnchor="margin" w:hAnchor="text" w:x="7482" w:y="99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法定代表人：钱昊旻</w:t>
      </w:r>
    </w:p>
    <w:p>
      <w:pPr>
        <w:framePr w:w="2209" w:wrap="around" w:vAnchor="margin" w:hAnchor="text" w:x="7482" w:y="99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联系人：沈晨</w:t>
      </w:r>
    </w:p>
    <w:p>
      <w:pPr>
        <w:framePr w:w="3020" w:wrap="around" w:vAnchor="margin" w:hAnchor="text" w:x="7482" w:y="1054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010-59336544</w:t>
      </w:r>
    </w:p>
    <w:p>
      <w:pPr>
        <w:framePr w:w="3020" w:wrap="around" w:vAnchor="margin" w:hAnchor="text" w:x="7482" w:y="105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010-59336586</w:t>
      </w:r>
    </w:p>
    <w:p>
      <w:pPr>
        <w:framePr w:w="3020" w:wrap="around" w:vAnchor="margin" w:hAnchor="text" w:x="7482" w:y="105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4008-909-998</w:t>
      </w:r>
    </w:p>
    <w:p>
      <w:pPr>
        <w:framePr w:w="3020" w:wrap="around" w:vAnchor="margin" w:hAnchor="text" w:x="7482" w:y="1054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www.jnlc.com</w:t>
      </w:r>
    </w:p>
    <w:p>
      <w:pPr>
        <w:framePr w:w="3020" w:wrap="around" w:vAnchor="margin" w:hAnchor="text" w:x="7482" w:y="1054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注册地址：北京市海淀区太月</w:t>
      </w:r>
    </w:p>
    <w:p>
      <w:pPr>
        <w:framePr w:w="3020" w:wrap="around" w:vAnchor="margin" w:hAnchor="text" w:x="7482" w:y="105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园 </w:t>
      </w:r>
      <w:r>
        <w:rPr>
          <w:rFonts w:ascii="Times New Roman"/>
          <w:color w:val="000000"/>
          <w:spacing w:val="0"/>
          <w:sz w:val="21"/>
        </w:rPr>
        <w:t>3</w:t>
      </w:r>
      <w:r>
        <w:rPr>
          <w:rFonts w:ascii="SKJVQB+å®ä½" w:hAnsi="SKJVQB+å®ä½" w:cs="SKJVQB+å®ä½"/>
          <w:color w:val="000000"/>
          <w:spacing w:val="0"/>
          <w:sz w:val="21"/>
        </w:rPr>
        <w:t xml:space="preserve">号楼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521</w:t>
      </w:r>
      <w:r>
        <w:rPr>
          <w:rFonts w:ascii="SKJVQB+å®ä½" w:hAnsi="SKJVQB+å®ä½" w:cs="SKJVQB+å®ä½"/>
          <w:color w:val="000000"/>
          <w:spacing w:val="0"/>
          <w:sz w:val="21"/>
        </w:rPr>
        <w:t>室</w:t>
      </w:r>
    </w:p>
    <w:p>
      <w:pPr>
        <w:framePr w:w="3020" w:wrap="around" w:vAnchor="margin" w:hAnchor="text" w:x="7482" w:y="105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办公地址：北京市海淀区太月</w:t>
      </w:r>
    </w:p>
    <w:p>
      <w:pPr>
        <w:framePr w:w="3020" w:wrap="around" w:vAnchor="margin" w:hAnchor="text" w:x="7482" w:y="105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园 </w:t>
      </w:r>
      <w:r>
        <w:rPr>
          <w:rFonts w:ascii="Times New Roman"/>
          <w:color w:val="000000"/>
          <w:spacing w:val="0"/>
          <w:sz w:val="21"/>
        </w:rPr>
        <w:t>3</w:t>
      </w:r>
      <w:r>
        <w:rPr>
          <w:rFonts w:ascii="SKJVQB+å®ä½" w:hAnsi="SKJVQB+å®ä½" w:cs="SKJVQB+å®ä½"/>
          <w:color w:val="000000"/>
          <w:spacing w:val="0"/>
          <w:sz w:val="21"/>
        </w:rPr>
        <w:t xml:space="preserve">号楼  </w:t>
      </w:r>
      <w:r>
        <w:rPr>
          <w:rFonts w:ascii="Times New Roman"/>
          <w:color w:val="000000"/>
          <w:spacing w:val="0"/>
          <w:sz w:val="21"/>
        </w:rPr>
        <w:t>5</w:t>
      </w:r>
      <w:r>
        <w:rPr>
          <w:rFonts w:ascii="SKJVQB+å®ä½" w:hAnsi="SKJVQB+å®ä½" w:cs="SKJVQB+å®ä½"/>
          <w:color w:val="000000"/>
          <w:spacing w:val="0"/>
          <w:sz w:val="21"/>
        </w:rPr>
        <w:t xml:space="preserve">层  </w:t>
      </w:r>
      <w:r>
        <w:rPr>
          <w:rFonts w:ascii="Times New Roman"/>
          <w:color w:val="000000"/>
          <w:spacing w:val="0"/>
          <w:sz w:val="21"/>
        </w:rPr>
        <w:t>521</w:t>
      </w:r>
      <w:r>
        <w:rPr>
          <w:rFonts w:ascii="SKJVQB+å®ä½" w:hAnsi="SKJVQB+å®ä½" w:cs="SKJVQB+å®ä½"/>
          <w:color w:val="000000"/>
          <w:spacing w:val="0"/>
          <w:sz w:val="21"/>
        </w:rPr>
        <w:t>室</w:t>
      </w:r>
    </w:p>
    <w:p>
      <w:pPr>
        <w:framePr w:w="3020" w:wrap="around" w:vAnchor="margin" w:hAnchor="text" w:x="7482" w:y="105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法定代表人：齐凌峰</w:t>
      </w:r>
    </w:p>
    <w:p>
      <w:pPr>
        <w:framePr w:w="3020" w:wrap="around" w:vAnchor="margin" w:hAnchor="text" w:x="7482" w:y="1054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联系人：阮志凌</w:t>
      </w:r>
    </w:p>
    <w:p>
      <w:pPr>
        <w:framePr w:w="632" w:wrap="around" w:vAnchor="margin" w:hAnchor="text" w:x="4110" w:y="1180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108</w:t>
      </w:r>
    </w:p>
    <w:p>
      <w:pPr>
        <w:framePr w:w="3020" w:wrap="around" w:vAnchor="margin" w:hAnchor="text" w:x="4640"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鼎信汇金（北京）投资管理有</w:t>
      </w:r>
    </w:p>
    <w:p>
      <w:pPr>
        <w:framePr w:w="3020" w:wrap="around" w:vAnchor="margin" w:hAnchor="text" w:x="4640"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限公司</w:t>
      </w:r>
    </w:p>
    <w:p>
      <w:pPr>
        <w:framePr w:w="3020" w:wrap="around" w:vAnchor="margin" w:hAnchor="text" w:x="7482" w:y="13680"/>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010-82050520</w:t>
      </w:r>
    </w:p>
    <w:p>
      <w:pPr>
        <w:framePr w:w="3020"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010-82086110</w:t>
      </w:r>
    </w:p>
    <w:p>
      <w:pPr>
        <w:framePr w:w="3020"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400-158-5050</w:t>
      </w:r>
    </w:p>
    <w:p>
      <w:pPr>
        <w:framePr w:w="3020" w:wrap="around" w:vAnchor="margin" w:hAnchor="text" w:x="7482" w:y="13680"/>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www.9ifund.com</w:t>
      </w:r>
    </w:p>
    <w:p>
      <w:pPr>
        <w:framePr w:w="3020" w:wrap="around" w:vAnchor="margin" w:hAnchor="text" w:x="7482" w:y="13680"/>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注册地址：北京市海淀区中</w:t>
      </w:r>
    </w:p>
    <w:p>
      <w:pPr>
        <w:framePr w:w="632" w:wrap="around" w:vAnchor="margin" w:hAnchor="text" w:x="4110" w:y="1493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109</w:t>
      </w:r>
    </w:p>
    <w:p>
      <w:pPr>
        <w:framePr w:w="2901" w:wrap="around" w:vAnchor="margin" w:hAnchor="text" w:x="4640" w:y="1494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北京汇成基金销售有限公司</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106</w:t>
      </w:r>
    </w:p>
    <w:p>
      <w:pPr>
        <w:spacing w:before="0" w:after="0" w:line="0" w:lineRule="exact"/>
        <w:ind w:left="0" w:right="0"/>
        <w:jc w:val="left"/>
        <w:rPr>
          <w:rFonts w:ascii="Arial"/>
          <w:color w:val="FF0000"/>
          <w:spacing w:val="0"/>
          <w:sz w:val="2"/>
        </w:rPr>
      </w:pPr>
      <w:r>
        <w:pict>
          <v:shape id="_x0000219" o:spid="_x0000_s124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95" o:title=""/>
            <o:lock v:ext="edit" aspectratio="t"/>
          </v:shape>
        </w:pict>
      </w:r>
      <w:r>
        <w:pict>
          <v:shape id="_x0000220" o:spid="_x0000_s1246"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9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0"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关村大街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1108</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办公地址：北京市海淀区中</w:t>
      </w:r>
    </w:p>
    <w:p>
      <w:pPr>
        <w:framePr w:w="3020"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关村大街 </w:t>
      </w:r>
      <w:r>
        <w:rPr>
          <w:rFonts w:ascii="Times New Roman"/>
          <w:color w:val="000000"/>
          <w:spacing w:val="0"/>
          <w:sz w:val="21"/>
        </w:rPr>
        <w:t>11</w:t>
      </w:r>
      <w:r>
        <w:rPr>
          <w:rFonts w:ascii="SKJVQB+å®ä½" w:hAnsi="SKJVQB+å®ä½" w:cs="SKJVQB+å®ä½"/>
          <w:color w:val="000000"/>
          <w:spacing w:val="0"/>
          <w:sz w:val="21"/>
        </w:rPr>
        <w:t xml:space="preserve">号  </w:t>
      </w:r>
      <w:r>
        <w:rPr>
          <w:rFonts w:ascii="Times New Roman"/>
          <w:color w:val="000000"/>
          <w:spacing w:val="0"/>
          <w:sz w:val="21"/>
        </w:rPr>
        <w:t xml:space="preserve"> 1108</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法定代表人：王伟刚</w:t>
      </w:r>
    </w:p>
    <w:p>
      <w:pPr>
        <w:framePr w:w="3020" w:wrap="around" w:vAnchor="margin" w:hAnchor="text" w:x="7482" w:y="147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联系人：王骁骁</w:t>
      </w:r>
    </w:p>
    <w:p>
      <w:pPr>
        <w:framePr w:w="2421"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010-56282140</w:t>
      </w:r>
    </w:p>
    <w:p>
      <w:pPr>
        <w:framePr w:w="2421"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010-62680827</w:t>
      </w:r>
    </w:p>
    <w:p>
      <w:pPr>
        <w:framePr w:w="2421"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4006199059</w:t>
      </w:r>
    </w:p>
    <w:p>
      <w:pPr>
        <w:framePr w:w="2421" w:wrap="around" w:vAnchor="margin" w:hAnchor="text" w:x="7482" w:y="303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www.hcjijin.com</w:t>
      </w:r>
    </w:p>
    <w:p>
      <w:pPr>
        <w:framePr w:w="625" w:wrap="around" w:vAnchor="margin" w:hAnchor="text" w:x="4117" w:y="429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110</w:t>
      </w:r>
    </w:p>
    <w:p>
      <w:pPr>
        <w:framePr w:w="2901" w:wrap="around" w:vAnchor="margin" w:hAnchor="text" w:x="4640"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南京苏宁基金销售有限公司</w:t>
      </w:r>
    </w:p>
    <w:p>
      <w:pPr>
        <w:framePr w:w="3020" w:wrap="around" w:vAnchor="margin" w:hAnchor="text" w:x="7482" w:y="43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注册地址：南京市玄武区苏</w:t>
      </w:r>
    </w:p>
    <w:p>
      <w:pPr>
        <w:framePr w:w="3020" w:wrap="around" w:vAnchor="margin" w:hAnchor="text" w:x="7482" w:y="4303"/>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宁大道 </w:t>
      </w:r>
      <w:r>
        <w:rPr>
          <w:rFonts w:ascii="Times New Roman"/>
          <w:color w:val="000000"/>
          <w:spacing w:val="0"/>
          <w:sz w:val="21"/>
        </w:rPr>
        <w:t>1-5</w:t>
      </w:r>
      <w:r>
        <w:rPr>
          <w:rFonts w:ascii="SKJVQB+å®ä½" w:hAnsi="SKJVQB+å®ä½" w:cs="SKJVQB+å®ä½"/>
          <w:color w:val="000000"/>
          <w:spacing w:val="0"/>
          <w:sz w:val="21"/>
        </w:rPr>
        <w:t>号</w:t>
      </w:r>
    </w:p>
    <w:p>
      <w:pPr>
        <w:framePr w:w="3020"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办公地址：南京市玄武区苏宁</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1-5</w:t>
      </w:r>
      <w:r>
        <w:rPr>
          <w:rFonts w:ascii="SKJVQB+å®ä½" w:hAnsi="SKJVQB+å®ä½" w:cs="SKJVQB+å®ä½"/>
          <w:color w:val="000000"/>
          <w:spacing w:val="0"/>
          <w:sz w:val="21"/>
        </w:rPr>
        <w:t>号</w:t>
      </w:r>
    </w:p>
    <w:p>
      <w:pPr>
        <w:framePr w:w="2104" w:wrap="around" w:vAnchor="margin" w:hAnchor="text" w:x="7482" w:y="555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法定代表人：王锋</w:t>
      </w:r>
    </w:p>
    <w:p>
      <w:pPr>
        <w:framePr w:w="1892" w:wrap="around" w:vAnchor="margin" w:hAnchor="text" w:x="7482" w:y="58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联系人：张云飞</w:t>
      </w:r>
    </w:p>
    <w:p>
      <w:pPr>
        <w:framePr w:w="2950" w:wrap="around" w:vAnchor="margin" w:hAnchor="text" w:x="7482" w:y="616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025-66996699-887226</w:t>
      </w:r>
    </w:p>
    <w:p>
      <w:pPr>
        <w:framePr w:w="2950"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025-66996699</w:t>
      </w:r>
    </w:p>
    <w:p>
      <w:pPr>
        <w:framePr w:w="2950" w:wrap="around" w:vAnchor="margin" w:hAnchor="text" w:x="7482" w:y="616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95177</w:t>
      </w:r>
    </w:p>
    <w:p>
      <w:pPr>
        <w:framePr w:w="3020" w:wrap="around" w:vAnchor="margin" w:hAnchor="text" w:x="7482" w:y="710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www.snjijin.com</w:t>
      </w:r>
    </w:p>
    <w:p>
      <w:pPr>
        <w:framePr w:w="3020" w:wrap="around" w:vAnchor="margin" w:hAnchor="text" w:x="7482" w:y="710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注册地址：北京市西城区新</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街口外大街 </w:t>
      </w:r>
      <w:r>
        <w:rPr>
          <w:rFonts w:ascii="Times New Roman"/>
          <w:color w:val="000000"/>
          <w:spacing w:val="0"/>
          <w:sz w:val="21"/>
        </w:rPr>
        <w:t>28</w:t>
      </w:r>
      <w:r>
        <w:rPr>
          <w:rFonts w:ascii="SKJVQB+å®ä½" w:hAnsi="SKJVQB+å®ä½" w:cs="SKJVQB+å®ä½"/>
          <w:color w:val="000000"/>
          <w:spacing w:val="0"/>
          <w:sz w:val="21"/>
        </w:rPr>
        <w:t xml:space="preserve">号  </w:t>
      </w:r>
      <w:r>
        <w:rPr>
          <w:rFonts w:ascii="Times New Roman"/>
          <w:color w:val="000000"/>
          <w:spacing w:val="0"/>
          <w:sz w:val="21"/>
        </w:rPr>
        <w:t>C</w:t>
      </w:r>
      <w:r>
        <w:rPr>
          <w:rFonts w:ascii="SKJVQB+å®ä½" w:hAnsi="SKJVQB+å®ä½" w:cs="SKJVQB+å®ä½"/>
          <w:color w:val="000000"/>
          <w:spacing w:val="0"/>
          <w:sz w:val="21"/>
        </w:rPr>
        <w:t>座六层</w:t>
      </w:r>
    </w:p>
    <w:p>
      <w:pPr>
        <w:framePr w:w="3020" w:wrap="around" w:vAnchor="margin" w:hAnchor="text" w:x="7482" w:y="710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605</w:t>
      </w:r>
      <w:r>
        <w:rPr>
          <w:rFonts w:ascii="SKJVQB+å®ä½" w:hAnsi="SKJVQB+å®ä½" w:cs="SKJVQB+å®ä½"/>
          <w:color w:val="000000"/>
          <w:spacing w:val="0"/>
          <w:sz w:val="21"/>
        </w:rPr>
        <w:t>室</w:t>
      </w:r>
    </w:p>
    <w:p>
      <w:pPr>
        <w:framePr w:w="617" w:wrap="around" w:vAnchor="margin" w:hAnchor="text" w:x="4124" w:y="742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111</w:t>
      </w:r>
    </w:p>
    <w:p>
      <w:pPr>
        <w:framePr w:w="2901" w:wrap="around" w:vAnchor="margin" w:hAnchor="text" w:x="4640"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北京广源达信投资管理有限</w:t>
      </w:r>
    </w:p>
    <w:p>
      <w:pPr>
        <w:framePr w:w="2901" w:wrap="around" w:vAnchor="margin" w:hAnchor="text" w:x="4640"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1" w:wrap="around" w:vAnchor="margin" w:hAnchor="text" w:x="7482" w:y="836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办公地址：北京市朝阳区望京</w:t>
      </w:r>
    </w:p>
    <w:p>
      <w:pPr>
        <w:framePr w:w="3021"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东园四区浦项中心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19</w:t>
      </w:r>
      <w:r>
        <w:rPr>
          <w:rFonts w:ascii="SKJVQB+å®ä½" w:hAnsi="SKJVQB+å®ä½" w:cs="SKJVQB+å®ä½"/>
          <w:color w:val="000000"/>
          <w:spacing w:val="0"/>
          <w:sz w:val="21"/>
        </w:rPr>
        <w:t>层</w:t>
      </w:r>
    </w:p>
    <w:p>
      <w:pPr>
        <w:framePr w:w="3021"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法定代表人：齐剑辉</w:t>
      </w:r>
    </w:p>
    <w:p>
      <w:pPr>
        <w:framePr w:w="3021" w:wrap="around" w:vAnchor="margin" w:hAnchor="text" w:x="7482" w:y="836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联系人：姜英华</w:t>
      </w:r>
    </w:p>
    <w:p>
      <w:pPr>
        <w:framePr w:w="2000"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4006236060</w:t>
      </w:r>
    </w:p>
    <w:p>
      <w:pPr>
        <w:framePr w:w="3023" w:wrap="around" w:vAnchor="margin" w:hAnchor="text" w:x="7482" w:y="992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010-82055860</w:t>
      </w:r>
    </w:p>
    <w:p>
      <w:pPr>
        <w:framePr w:w="3023" w:wrap="around" w:vAnchor="margin" w:hAnchor="text" w:x="7482" w:y="992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4006236060</w:t>
      </w:r>
    </w:p>
    <w:p>
      <w:pPr>
        <w:framePr w:w="3023" w:wrap="around" w:vAnchor="margin" w:hAnchor="text" w:x="7482" w:y="9923"/>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www.niuniufund.com</w:t>
      </w:r>
    </w:p>
    <w:p>
      <w:pPr>
        <w:framePr w:w="3023" w:wrap="around" w:vAnchor="margin" w:hAnchor="text" w:x="7482" w:y="992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w:t>
      </w:r>
    </w:p>
    <w:p>
      <w:pPr>
        <w:framePr w:w="3023" w:wrap="around" w:vAnchor="margin" w:hAnchor="text" w:x="7482" w:y="992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由贸易试验区福山路 </w:t>
      </w:r>
      <w:r>
        <w:rPr>
          <w:rFonts w:ascii="Times New Roman"/>
          <w:color w:val="000000"/>
          <w:spacing w:val="0"/>
          <w:sz w:val="21"/>
        </w:rPr>
        <w:t>33</w:t>
      </w:r>
      <w:r>
        <w:rPr>
          <w:rFonts w:ascii="SKJVQB+å®ä½" w:hAnsi="SKJVQB+å®ä½" w:cs="SKJVQB+å®ä½"/>
          <w:color w:val="000000"/>
          <w:spacing w:val="0"/>
          <w:sz w:val="21"/>
        </w:rPr>
        <w:t xml:space="preserve">号 </w:t>
      </w:r>
      <w:r>
        <w:rPr>
          <w:rFonts w:ascii="Times New Roman"/>
          <w:color w:val="000000"/>
          <w:spacing w:val="0"/>
          <w:sz w:val="21"/>
        </w:rPr>
        <w:t xml:space="preserve"> 11</w:t>
      </w:r>
    </w:p>
    <w:p>
      <w:pPr>
        <w:framePr w:w="3023" w:wrap="around" w:vAnchor="margin" w:hAnchor="text" w:x="7482" w:y="992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B</w:t>
      </w:r>
      <w:r>
        <w:rPr>
          <w:rFonts w:ascii="SKJVQB+å®ä½" w:hAnsi="SKJVQB+å®ä½" w:cs="SKJVQB+å®ä½"/>
          <w:color w:val="000000"/>
          <w:spacing w:val="0"/>
          <w:sz w:val="21"/>
        </w:rPr>
        <w:t>座</w:t>
      </w:r>
    </w:p>
    <w:p>
      <w:pPr>
        <w:framePr w:w="625" w:wrap="around" w:vAnchor="margin" w:hAnchor="text" w:x="4117" w:y="1086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112</w:t>
      </w:r>
    </w:p>
    <w:p>
      <w:pPr>
        <w:framePr w:w="2901"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上海万得基金销售有限公司</w:t>
      </w:r>
    </w:p>
    <w:p>
      <w:pPr>
        <w:framePr w:w="3020"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办公地址：上海市浦东新区</w:t>
      </w:r>
    </w:p>
    <w:p>
      <w:pPr>
        <w:framePr w:w="3020" w:wrap="around" w:vAnchor="margin" w:hAnchor="text" w:x="7482" w:y="11814"/>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浦明路 </w:t>
      </w:r>
      <w:r>
        <w:rPr>
          <w:rFonts w:ascii="Times New Roman"/>
          <w:color w:val="000000"/>
          <w:spacing w:val="0"/>
          <w:sz w:val="21"/>
        </w:rPr>
        <w:t>1500</w:t>
      </w:r>
      <w:r>
        <w:rPr>
          <w:rFonts w:ascii="SKJVQB+å®ä½" w:hAnsi="SKJVQB+å®ä½" w:cs="SKJVQB+å®ä½"/>
          <w:color w:val="000000"/>
          <w:spacing w:val="0"/>
          <w:sz w:val="21"/>
        </w:rPr>
        <w:t xml:space="preserve">号万得大厦  </w:t>
      </w:r>
      <w:r>
        <w:rPr>
          <w:rFonts w:ascii="Times New Roman"/>
          <w:color w:val="000000"/>
          <w:spacing w:val="0"/>
          <w:sz w:val="21"/>
        </w:rPr>
        <w:t xml:space="preserve"> 11</w:t>
      </w:r>
    </w:p>
    <w:p>
      <w:pPr>
        <w:framePr w:w="3020"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209" w:wrap="around" w:vAnchor="margin" w:hAnchor="text" w:x="7482" w:y="1275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法定代表人：王廷富</w:t>
      </w:r>
    </w:p>
    <w:p>
      <w:pPr>
        <w:framePr w:w="2209" w:wrap="around" w:vAnchor="margin" w:hAnchor="text" w:x="7482" w:y="1275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联系人：徐亚丹</w:t>
      </w:r>
    </w:p>
    <w:p>
      <w:pPr>
        <w:framePr w:w="3020" w:wrap="around" w:vAnchor="margin" w:hAnchor="text" w:x="7482" w:y="133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021-50712782</w:t>
      </w:r>
    </w:p>
    <w:p>
      <w:pPr>
        <w:framePr w:w="3020"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021-50710161</w:t>
      </w:r>
    </w:p>
    <w:p>
      <w:pPr>
        <w:framePr w:w="3020"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400-821-0203</w:t>
      </w:r>
    </w:p>
    <w:p>
      <w:pPr>
        <w:framePr w:w="3020"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www.520fund.com.cn</w:t>
      </w:r>
    </w:p>
    <w:p>
      <w:pPr>
        <w:framePr w:w="3020" w:wrap="around" w:vAnchor="margin" w:hAnchor="text" w:x="7482" w:y="1336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注册地址：北京市朝阳区阜通</w:t>
      </w:r>
    </w:p>
    <w:p>
      <w:pPr>
        <w:framePr w:w="3020" w:wrap="around" w:vAnchor="margin" w:hAnchor="text" w:x="7482" w:y="1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东大街 </w:t>
      </w:r>
      <w:r>
        <w:rPr>
          <w:rFonts w:ascii="Times New Roman"/>
          <w:color w:val="000000"/>
          <w:spacing w:val="0"/>
          <w:sz w:val="21"/>
        </w:rPr>
        <w:t>1</w:t>
      </w:r>
      <w:r>
        <w:rPr>
          <w:rFonts w:ascii="SKJVQB+å®ä½" w:hAnsi="SKJVQB+å®ä½" w:cs="SKJVQB+å®ä½"/>
          <w:color w:val="000000"/>
          <w:spacing w:val="0"/>
          <w:sz w:val="21"/>
        </w:rPr>
        <w:t xml:space="preserve">号院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2</w:t>
      </w:r>
      <w:r>
        <w:rPr>
          <w:rFonts w:ascii="SKJVQB+å®ä½" w:hAnsi="SKJVQB+å®ä½" w:cs="SKJVQB+å®ä½"/>
          <w:color w:val="000000"/>
          <w:spacing w:val="0"/>
          <w:sz w:val="21"/>
        </w:rPr>
        <w:t>单元</w:t>
      </w:r>
    </w:p>
    <w:p>
      <w:pPr>
        <w:framePr w:w="625" w:wrap="around" w:vAnchor="margin" w:hAnchor="text" w:x="4117" w:y="1462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113</w:t>
      </w:r>
    </w:p>
    <w:p>
      <w:pPr>
        <w:framePr w:w="2901" w:wrap="around" w:vAnchor="margin" w:hAnchor="text" w:x="4640"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北京蛋卷基金销售有限公司</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107</w:t>
      </w:r>
    </w:p>
    <w:p>
      <w:pPr>
        <w:spacing w:before="0" w:after="0" w:line="0" w:lineRule="exact"/>
        <w:ind w:left="0" w:right="0"/>
        <w:jc w:val="left"/>
        <w:rPr>
          <w:rFonts w:ascii="Arial"/>
          <w:color w:val="FF0000"/>
          <w:spacing w:val="0"/>
          <w:sz w:val="2"/>
        </w:rPr>
      </w:pPr>
      <w:r>
        <w:pict>
          <v:shape id="_x0000221" o:spid="_x0000_s1247"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97" o:title=""/>
            <o:lock v:ext="edit" aspectratio="t"/>
          </v:shape>
        </w:pict>
      </w:r>
      <w:r>
        <w:pict>
          <v:shape id="_x0000222" o:spid="_x0000_s1248"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19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473"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21</w:t>
      </w:r>
      <w:r>
        <w:rPr>
          <w:rFonts w:ascii="SKJVQB+å®ä½" w:hAnsi="SKJVQB+å®ä½" w:cs="SKJVQB+å®ä½"/>
          <w:color w:val="000000"/>
          <w:spacing w:val="0"/>
          <w:sz w:val="21"/>
        </w:rPr>
        <w:t xml:space="preserve">层  </w:t>
      </w:r>
      <w:r>
        <w:rPr>
          <w:rFonts w:ascii="Times New Roman"/>
          <w:color w:val="000000"/>
          <w:spacing w:val="0"/>
          <w:sz w:val="21"/>
        </w:rPr>
        <w:t xml:space="preserve"> 222507</w:t>
      </w:r>
    </w:p>
    <w:p>
      <w:pPr>
        <w:framePr w:w="3020"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办公地址：北京市朝阳区创远</w:t>
      </w:r>
    </w:p>
    <w:p>
      <w:pPr>
        <w:framePr w:w="3020" w:wrap="around" w:vAnchor="margin" w:hAnchor="text" w:x="7482" w:y="179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路 </w:t>
      </w:r>
      <w:r>
        <w:rPr>
          <w:rFonts w:ascii="Times New Roman"/>
          <w:color w:val="000000"/>
          <w:spacing w:val="0"/>
          <w:sz w:val="21"/>
        </w:rPr>
        <w:t>34</w:t>
      </w:r>
      <w:r>
        <w:rPr>
          <w:rFonts w:ascii="SKJVQB+å®ä½" w:hAnsi="SKJVQB+å®ä½" w:cs="SKJVQB+å®ä½"/>
          <w:color w:val="000000"/>
          <w:spacing w:val="0"/>
          <w:sz w:val="21"/>
        </w:rPr>
        <w:t xml:space="preserve">号院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15</w:t>
      </w:r>
      <w:r>
        <w:rPr>
          <w:rFonts w:ascii="SKJVQB+å®ä½" w:hAnsi="SKJVQB+å®ä½" w:cs="SKJVQB+å®ä½"/>
          <w:color w:val="000000"/>
          <w:spacing w:val="0"/>
          <w:sz w:val="21"/>
        </w:rPr>
        <w:t xml:space="preserve">层  </w:t>
      </w:r>
      <w:r>
        <w:rPr>
          <w:rFonts w:ascii="Times New Roman"/>
          <w:color w:val="000000"/>
          <w:spacing w:val="0"/>
          <w:sz w:val="21"/>
        </w:rPr>
        <w:t xml:space="preserve"> 1501</w:t>
      </w:r>
    </w:p>
    <w:p>
      <w:pPr>
        <w:framePr w:w="3020"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209" w:wrap="around" w:vAnchor="margin" w:hAnchor="text" w:x="7482" w:y="27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法定代表人：钟斐斐</w:t>
      </w:r>
    </w:p>
    <w:p>
      <w:pPr>
        <w:framePr w:w="2209" w:wrap="around" w:vAnchor="margin" w:hAnchor="text" w:x="7482" w:y="27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联系人：侯芳芳</w:t>
      </w:r>
    </w:p>
    <w:p>
      <w:pPr>
        <w:framePr w:w="2421"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010-61840688</w:t>
      </w:r>
    </w:p>
    <w:p>
      <w:pPr>
        <w:framePr w:w="2421"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010-84997571</w:t>
      </w:r>
    </w:p>
    <w:p>
      <w:pPr>
        <w:framePr w:w="2421"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4001599288</w:t>
      </w:r>
    </w:p>
    <w:p>
      <w:pPr>
        <w:framePr w:w="2421" w:wrap="around" w:vAnchor="margin" w:hAnchor="text" w:x="7482" w:y="335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2830" w:wrap="around" w:vAnchor="margin" w:hAnchor="text" w:x="7482" w:y="459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https://www.danjuanapp.com</w:t>
      </w:r>
    </w:p>
    <w:p>
      <w:pPr>
        <w:framePr w:w="625" w:wrap="around" w:vAnchor="margin" w:hAnchor="text" w:x="4117" w:y="491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114</w:t>
      </w:r>
    </w:p>
    <w:p>
      <w:pPr>
        <w:framePr w:w="2901" w:wrap="around" w:vAnchor="margin" w:hAnchor="text" w:x="4640"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上海云湾基金销售有限公司</w:t>
      </w:r>
    </w:p>
    <w:p>
      <w:pPr>
        <w:framePr w:w="3020"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注册地址：中国（上海）自由</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贸易试验区新金桥路 </w:t>
      </w:r>
      <w:r>
        <w:rPr>
          <w:rFonts w:ascii="Times New Roman"/>
          <w:color w:val="000000"/>
          <w:spacing w:val="0"/>
          <w:sz w:val="21"/>
        </w:rPr>
        <w:t>27</w:t>
      </w:r>
      <w:r>
        <w:rPr>
          <w:rFonts w:ascii="SKJVQB+å®ä½" w:hAnsi="SKJVQB+å®ä½" w:cs="SKJVQB+å®ä½"/>
          <w:color w:val="000000"/>
          <w:spacing w:val="0"/>
          <w:sz w:val="21"/>
        </w:rPr>
        <w:t>号、</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明月路 </w:t>
      </w:r>
      <w:r>
        <w:rPr>
          <w:rFonts w:ascii="Times New Roman"/>
          <w:color w:val="000000"/>
          <w:spacing w:val="0"/>
          <w:sz w:val="21"/>
        </w:rPr>
        <w:t>1257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103-1</w:t>
      </w:r>
      <w:r>
        <w:rPr>
          <w:rFonts w:ascii="SKJVQB+å®ä½" w:hAnsi="SKJVQB+å®ä½" w:cs="SKJVQB+å®ä½"/>
          <w:color w:val="000000"/>
          <w:spacing w:val="0"/>
          <w:sz w:val="21"/>
        </w:rPr>
        <w:t>、</w:t>
      </w:r>
      <w:r>
        <w:rPr>
          <w:rFonts w:ascii="Times New Roman"/>
          <w:color w:val="000000"/>
          <w:spacing w:val="0"/>
          <w:sz w:val="21"/>
        </w:rPr>
        <w:t>103-2</w:t>
      </w:r>
      <w:r>
        <w:rPr>
          <w:rFonts w:ascii="SKJVQB+å®ä½" w:hAnsi="SKJVQB+å®ä½" w:cs="SKJVQB+å®ä½"/>
          <w:color w:val="000000"/>
          <w:spacing w:val="0"/>
          <w:sz w:val="21"/>
        </w:rPr>
        <w:t>办公区</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办公地址：中国（上海）自由</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贸易试验区新金桥路 </w:t>
      </w:r>
      <w:r>
        <w:rPr>
          <w:rFonts w:ascii="Times New Roman"/>
          <w:color w:val="000000"/>
          <w:spacing w:val="0"/>
          <w:sz w:val="21"/>
        </w:rPr>
        <w:t>27</w:t>
      </w:r>
      <w:r>
        <w:rPr>
          <w:rFonts w:ascii="SKJVQB+å®ä½" w:hAnsi="SKJVQB+å®ä½" w:cs="SKJVQB+å®ä½"/>
          <w:color w:val="000000"/>
          <w:spacing w:val="0"/>
          <w:sz w:val="21"/>
        </w:rPr>
        <w:t>号、</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明月路 </w:t>
      </w:r>
      <w:r>
        <w:rPr>
          <w:rFonts w:ascii="Times New Roman"/>
          <w:color w:val="000000"/>
          <w:spacing w:val="0"/>
          <w:sz w:val="21"/>
        </w:rPr>
        <w:t>1257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层</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103-1</w:t>
      </w:r>
      <w:r>
        <w:rPr>
          <w:rFonts w:ascii="SKJVQB+å®ä½" w:hAnsi="SKJVQB+å®ä½" w:cs="SKJVQB+å®ä½"/>
          <w:color w:val="000000"/>
          <w:spacing w:val="0"/>
          <w:sz w:val="21"/>
        </w:rPr>
        <w:t>、</w:t>
      </w:r>
      <w:r>
        <w:rPr>
          <w:rFonts w:ascii="Times New Roman"/>
          <w:color w:val="000000"/>
          <w:spacing w:val="0"/>
          <w:sz w:val="21"/>
        </w:rPr>
        <w:t>103-2</w:t>
      </w:r>
      <w:r>
        <w:rPr>
          <w:rFonts w:ascii="SKJVQB+å®ä½" w:hAnsi="SKJVQB+å®ä½" w:cs="SKJVQB+å®ä½"/>
          <w:color w:val="000000"/>
          <w:spacing w:val="0"/>
          <w:sz w:val="21"/>
        </w:rPr>
        <w:t>办公区</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法定代表人：冯轶明</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联系人：王宁</w:t>
      </w:r>
    </w:p>
    <w:p>
      <w:pPr>
        <w:framePr w:w="2588" w:wrap="around" w:vAnchor="margin" w:hAnchor="text" w:x="7482" w:y="804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021-20538888</w:t>
      </w:r>
    </w:p>
    <w:p>
      <w:pPr>
        <w:framePr w:w="2588" w:wrap="around" w:vAnchor="margin" w:hAnchor="text" w:x="7482" w:y="804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021-20538999</w:t>
      </w:r>
    </w:p>
    <w:p>
      <w:pPr>
        <w:framePr w:w="2588" w:wrap="around" w:vAnchor="margin" w:hAnchor="text" w:x="7482" w:y="804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400-820-1515</w:t>
      </w:r>
    </w:p>
    <w:p>
      <w:pPr>
        <w:framePr w:w="2588" w:wrap="around" w:vAnchor="margin" w:hAnchor="text" w:x="7482" w:y="804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928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www.zhengtongfunds.com</w:t>
      </w:r>
    </w:p>
    <w:p>
      <w:pPr>
        <w:framePr w:w="3020" w:wrap="around" w:vAnchor="margin" w:hAnchor="text" w:x="7482" w:y="9287"/>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注册地址：上海市徐汇区龙腾</w:t>
      </w:r>
    </w:p>
    <w:p>
      <w:pPr>
        <w:framePr w:w="3020" w:wrap="around" w:vAnchor="margin" w:hAnchor="text" w:x="7482" w:y="92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2815</w:t>
      </w:r>
      <w:r>
        <w:rPr>
          <w:rFonts w:ascii="SKJVQB+å®ä½" w:hAnsi="SKJVQB+å®ä½" w:cs="SKJVQB+å®ä½"/>
          <w:color w:val="000000"/>
          <w:spacing w:val="0"/>
          <w:sz w:val="21"/>
        </w:rPr>
        <w:t xml:space="preserve">号  </w:t>
      </w:r>
      <w:r>
        <w:rPr>
          <w:rFonts w:ascii="Times New Roman"/>
          <w:color w:val="000000"/>
          <w:spacing w:val="0"/>
          <w:sz w:val="21"/>
        </w:rPr>
        <w:t>302</w:t>
      </w:r>
      <w:r>
        <w:rPr>
          <w:rFonts w:ascii="SKJVQB+å®ä½" w:hAnsi="SKJVQB+å®ä½" w:cs="SKJVQB+å®ä½"/>
          <w:color w:val="000000"/>
          <w:spacing w:val="0"/>
          <w:sz w:val="21"/>
        </w:rPr>
        <w:t>室</w:t>
      </w:r>
    </w:p>
    <w:p>
      <w:pPr>
        <w:framePr w:w="625" w:wrap="around" w:vAnchor="margin" w:hAnchor="text" w:x="4117" w:y="960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115</w:t>
      </w:r>
    </w:p>
    <w:p>
      <w:pPr>
        <w:framePr w:w="2901" w:wrap="around" w:vAnchor="margin" w:hAnchor="text" w:x="4640" w:y="961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上海中正达广基金销售有限</w:t>
      </w:r>
    </w:p>
    <w:p>
      <w:pPr>
        <w:framePr w:w="2901" w:wrap="around" w:vAnchor="margin" w:hAnchor="text" w:x="4640" w:y="961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024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办公地址：上海市徐汇区龙腾</w:t>
      </w:r>
    </w:p>
    <w:p>
      <w:pPr>
        <w:framePr w:w="3020" w:wrap="around" w:vAnchor="margin" w:hAnchor="text" w:x="7482" w:y="10242"/>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2815</w:t>
      </w:r>
      <w:r>
        <w:rPr>
          <w:rFonts w:ascii="SKJVQB+å®ä½" w:hAnsi="SKJVQB+å®ä½" w:cs="SKJVQB+å®ä½"/>
          <w:color w:val="000000"/>
          <w:spacing w:val="0"/>
          <w:sz w:val="21"/>
        </w:rPr>
        <w:t xml:space="preserve">号  </w:t>
      </w:r>
      <w:r>
        <w:rPr>
          <w:rFonts w:ascii="Times New Roman"/>
          <w:color w:val="000000"/>
          <w:spacing w:val="0"/>
          <w:sz w:val="21"/>
        </w:rPr>
        <w:t>302</w:t>
      </w:r>
      <w:r>
        <w:rPr>
          <w:rFonts w:ascii="SKJVQB+å®ä½" w:hAnsi="SKJVQB+å®ä½" w:cs="SKJVQB+å®ä½"/>
          <w:color w:val="000000"/>
          <w:spacing w:val="0"/>
          <w:sz w:val="21"/>
        </w:rPr>
        <w:t>室</w:t>
      </w:r>
    </w:p>
    <w:p>
      <w:pPr>
        <w:framePr w:w="1998" w:wrap="around" w:vAnchor="margin" w:hAnchor="text" w:x="7482" w:y="1086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法定代表人：黄欣</w:t>
      </w:r>
    </w:p>
    <w:p>
      <w:pPr>
        <w:framePr w:w="1789" w:wrap="around" w:vAnchor="margin" w:hAnchor="text" w:x="7482" w:y="111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联系人：戴珉微</w:t>
      </w:r>
    </w:p>
    <w:p>
      <w:pPr>
        <w:framePr w:w="2588" w:wrap="around" w:vAnchor="margin" w:hAnchor="text" w:x="7482" w:y="1148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021-33768132</w:t>
      </w:r>
    </w:p>
    <w:p>
      <w:pPr>
        <w:framePr w:w="2588"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021-33768132-802</w:t>
      </w:r>
    </w:p>
    <w:p>
      <w:pPr>
        <w:framePr w:w="2588" w:wrap="around" w:vAnchor="margin" w:hAnchor="text" w:x="7482" w:y="1148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400-6767-523</w:t>
      </w:r>
    </w:p>
    <w:p>
      <w:pPr>
        <w:framePr w:w="2588" w:wrap="around" w:vAnchor="margin" w:hAnchor="text" w:x="7482" w:y="1148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272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www.zhongzhengfund.com</w:t>
      </w:r>
    </w:p>
    <w:p>
      <w:pPr>
        <w:framePr w:w="3020" w:wrap="around" w:vAnchor="margin" w:hAnchor="text" w:x="7482" w:y="12729"/>
        <w:widowControl w:val="0"/>
        <w:autoSpaceDE w:val="0"/>
        <w:autoSpaceDN w:val="0"/>
        <w:spacing w:before="0" w:after="0" w:line="326"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注册地址：南京市玄武区玄武</w:t>
      </w:r>
    </w:p>
    <w:p>
      <w:pPr>
        <w:framePr w:w="3020" w:wrap="around" w:vAnchor="margin" w:hAnchor="text" w:x="7482" w:y="1272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大道 </w:t>
      </w:r>
      <w:r>
        <w:rPr>
          <w:rFonts w:ascii="Times New Roman"/>
          <w:color w:val="000000"/>
          <w:spacing w:val="0"/>
          <w:sz w:val="21"/>
        </w:rPr>
        <w:t>699-1</w:t>
      </w:r>
      <w:r>
        <w:rPr>
          <w:rFonts w:ascii="SKJVQB+å®ä½" w:hAnsi="SKJVQB+å®ä½" w:cs="SKJVQB+å®ä½"/>
          <w:color w:val="000000"/>
          <w:spacing w:val="0"/>
          <w:sz w:val="21"/>
        </w:rPr>
        <w:t>号</w:t>
      </w:r>
    </w:p>
    <w:p>
      <w:pPr>
        <w:framePr w:w="625" w:wrap="around" w:vAnchor="margin" w:hAnchor="text" w:x="4117" w:y="1305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116</w:t>
      </w:r>
    </w:p>
    <w:p>
      <w:pPr>
        <w:framePr w:w="2901" w:wrap="around" w:vAnchor="margin" w:hAnchor="text" w:x="4640" w:y="1306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南京途牛基金销售有限公司</w:t>
      </w:r>
    </w:p>
    <w:p>
      <w:pPr>
        <w:framePr w:w="3020" w:wrap="around" w:vAnchor="margin" w:hAnchor="text" w:x="7482" w:y="1368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办公地址：南京市玄武区玄</w:t>
      </w:r>
    </w:p>
    <w:p>
      <w:pPr>
        <w:framePr w:w="3020" w:wrap="around" w:vAnchor="margin" w:hAnchor="text" w:x="7482" w:y="1368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武大道 </w:t>
      </w:r>
      <w:r>
        <w:rPr>
          <w:rFonts w:ascii="Times New Roman"/>
          <w:color w:val="000000"/>
          <w:spacing w:val="0"/>
          <w:sz w:val="21"/>
        </w:rPr>
        <w:t>699-1</w:t>
      </w:r>
      <w:r>
        <w:rPr>
          <w:rFonts w:ascii="SKJVQB+å®ä½" w:hAnsi="SKJVQB+å®ä½" w:cs="SKJVQB+å®ä½"/>
          <w:color w:val="000000"/>
          <w:spacing w:val="0"/>
          <w:sz w:val="21"/>
        </w:rPr>
        <w:t>号</w:t>
      </w:r>
    </w:p>
    <w:p>
      <w:pPr>
        <w:framePr w:w="2312" w:wrap="around" w:vAnchor="margin" w:hAnchor="text" w:x="7482" w:y="1431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法定代表人：宋时琳</w:t>
      </w:r>
    </w:p>
    <w:p>
      <w:pPr>
        <w:framePr w:w="2312" w:wrap="around" w:vAnchor="margin" w:hAnchor="text" w:x="7482" w:y="1431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联系人：贺杰</w:t>
      </w:r>
    </w:p>
    <w:p>
      <w:pPr>
        <w:framePr w:w="2831" w:wrap="around" w:vAnchor="margin" w:hAnchor="text" w:x="7482" w:y="14928"/>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025-86853969-66727</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108</w:t>
      </w:r>
    </w:p>
    <w:p>
      <w:pPr>
        <w:spacing w:before="0" w:after="0" w:line="0" w:lineRule="exact"/>
        <w:ind w:left="0" w:right="0"/>
        <w:jc w:val="left"/>
        <w:rPr>
          <w:rFonts w:ascii="Arial"/>
          <w:color w:val="FF0000"/>
          <w:spacing w:val="0"/>
          <w:sz w:val="2"/>
        </w:rPr>
      </w:pPr>
      <w:r>
        <w:pict>
          <v:shape id="_x0000223" o:spid="_x0000_s1249"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99" o:title=""/>
            <o:lock v:ext="edit" aspectratio="t"/>
          </v:shape>
        </w:pict>
      </w:r>
      <w:r>
        <w:pict>
          <v:shape id="_x0000224" o:spid="_x0000_s1250" o:spt="75" type="#_x0000_t75" style="position:absolute;left:0pt;margin-left:84.4pt;margin-top:71.1pt;height:689.05pt;width:426.7pt;mso-position-horizontal-relative:page;mso-position-vertical-relative:page;z-index:-1024;mso-width-relative:page;mso-height-relative:page;" filled="f" coordsize="21600,21600">
            <v:path/>
            <v:fill on="f" focussize="0,0"/>
            <v:stroke/>
            <v:imagedata r:id="rId20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88" w:wrap="around" w:vAnchor="margin" w:hAnchor="text" w:x="7482" w:y="147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4007-999-999</w:t>
      </w:r>
    </w:p>
    <w:p>
      <w:pPr>
        <w:framePr w:w="2588" w:wrap="around" w:vAnchor="margin" w:hAnchor="text" w:x="7482" w:y="147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http://jr.tuniu.com</w:t>
      </w:r>
    </w:p>
    <w:p>
      <w:pPr>
        <w:framePr w:w="625" w:wrap="around" w:vAnchor="margin" w:hAnchor="text" w:x="4117" w:y="242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117</w:t>
      </w:r>
    </w:p>
    <w:p>
      <w:pPr>
        <w:framePr w:w="2901" w:wrap="around" w:vAnchor="margin" w:hAnchor="text" w:x="4640"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上海基煜基金销售有限公司</w:t>
      </w:r>
    </w:p>
    <w:p>
      <w:pPr>
        <w:framePr w:w="3021" w:wrap="around" w:vAnchor="margin" w:hAnchor="text" w:x="7482" w:y="243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注册地址：上海市崇明县长</w:t>
      </w:r>
    </w:p>
    <w:p>
      <w:pPr>
        <w:framePr w:w="3021"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兴镇路潘园公路 </w:t>
      </w:r>
      <w:r>
        <w:rPr>
          <w:rFonts w:ascii="Times New Roman"/>
          <w:color w:val="000000"/>
          <w:spacing w:val="0"/>
          <w:sz w:val="21"/>
        </w:rPr>
        <w:t>1800</w:t>
      </w:r>
      <w:r>
        <w:rPr>
          <w:rFonts w:ascii="SKJVQB+å®ä½" w:hAnsi="SKJVQB+å®ä½" w:cs="SKJVQB+å®ä½"/>
          <w:color w:val="000000"/>
          <w:spacing w:val="0"/>
          <w:sz w:val="21"/>
        </w:rPr>
        <w:t xml:space="preserve">号  </w:t>
      </w:r>
      <w:r>
        <w:rPr>
          <w:rFonts w:ascii="Times New Roman"/>
          <w:color w:val="000000"/>
          <w:spacing w:val="0"/>
          <w:sz w:val="21"/>
        </w:rPr>
        <w:t>2</w:t>
      </w:r>
      <w:r>
        <w:rPr>
          <w:rFonts w:ascii="SKJVQB+å®ä½" w:hAnsi="SKJVQB+å®ä½" w:cs="SKJVQB+å®ä½"/>
          <w:color w:val="000000"/>
          <w:spacing w:val="0"/>
          <w:sz w:val="21"/>
        </w:rPr>
        <w:t>号</w:t>
      </w:r>
    </w:p>
    <w:p>
      <w:pPr>
        <w:framePr w:w="3021"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楼 </w:t>
      </w:r>
      <w:r>
        <w:rPr>
          <w:rFonts w:ascii="Times New Roman"/>
          <w:color w:val="000000"/>
          <w:spacing w:val="0"/>
          <w:sz w:val="21"/>
        </w:rPr>
        <w:t>6153</w:t>
      </w:r>
      <w:r>
        <w:rPr>
          <w:rFonts w:ascii="SKJVQB+å®ä½" w:hAnsi="SKJVQB+å®ä½" w:cs="SKJVQB+å®ä½"/>
          <w:color w:val="000000"/>
          <w:spacing w:val="0"/>
          <w:sz w:val="21"/>
        </w:rPr>
        <w:t>室（上海泰和经济发</w:t>
      </w:r>
    </w:p>
    <w:p>
      <w:pPr>
        <w:framePr w:w="3021" w:wrap="around" w:vAnchor="margin" w:hAnchor="text" w:x="7482" w:y="243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展区）</w:t>
      </w:r>
    </w:p>
    <w:p>
      <w:pPr>
        <w:framePr w:w="3020" w:wrap="around" w:vAnchor="margin" w:hAnchor="text" w:x="7482" w:y="3672"/>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办公地址：上海市昆明路 </w:t>
      </w:r>
      <w:r>
        <w:rPr>
          <w:rFonts w:ascii="Times New Roman"/>
          <w:color w:val="000000"/>
          <w:spacing w:val="0"/>
          <w:sz w:val="21"/>
        </w:rPr>
        <w:t xml:space="preserve"> 518</w:t>
      </w:r>
    </w:p>
    <w:p>
      <w:pPr>
        <w:framePr w:w="3020" w:wrap="around" w:vAnchor="margin" w:hAnchor="text" w:x="7482" w:y="3672"/>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号北美广场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1002-1003</w:t>
      </w:r>
    </w:p>
    <w:p>
      <w:pPr>
        <w:framePr w:w="3020" w:wrap="around" w:vAnchor="margin" w:hAnchor="text" w:x="7482" w:y="367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104" w:wrap="around" w:vAnchor="margin" w:hAnchor="text" w:x="7482" w:y="461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法定代表人：王翔</w:t>
      </w:r>
    </w:p>
    <w:p>
      <w:pPr>
        <w:framePr w:w="1684"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联系人：蓝杰</w:t>
      </w:r>
    </w:p>
    <w:p>
      <w:pPr>
        <w:framePr w:w="3021" w:wrap="around" w:vAnchor="margin" w:hAnchor="text" w:x="7482" w:y="523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电话：  </w:t>
      </w:r>
      <w:r>
        <w:rPr>
          <w:rFonts w:ascii="Times New Roman"/>
          <w:color w:val="000000"/>
          <w:spacing w:val="0"/>
          <w:sz w:val="21"/>
        </w:rPr>
        <w:t>021-35385521</w:t>
      </w:r>
    </w:p>
    <w:p>
      <w:pPr>
        <w:framePr w:w="3021"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021-55085991</w:t>
      </w:r>
    </w:p>
    <w:p>
      <w:pPr>
        <w:framePr w:w="3021"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400-820-5369</w:t>
      </w:r>
    </w:p>
    <w:p>
      <w:pPr>
        <w:framePr w:w="3021" w:wrap="around" w:vAnchor="margin" w:hAnchor="text" w:x="7482" w:y="52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www.jiyufund.com.cn</w:t>
      </w:r>
    </w:p>
    <w:p>
      <w:pPr>
        <w:framePr w:w="3021" w:wrap="around" w:vAnchor="margin" w:hAnchor="text" w:x="7482" w:y="523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注册地址：深圳市南山区粤海</w:t>
      </w:r>
    </w:p>
    <w:p>
      <w:pPr>
        <w:framePr w:w="3021" w:wrap="around" w:vAnchor="margin" w:hAnchor="text" w:x="7482" w:y="52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街道科技园中区科苑路 </w:t>
      </w:r>
      <w:r>
        <w:rPr>
          <w:rFonts w:ascii="Times New Roman"/>
          <w:color w:val="000000"/>
          <w:spacing w:val="0"/>
          <w:sz w:val="21"/>
        </w:rPr>
        <w:t>15</w:t>
      </w:r>
      <w:r>
        <w:rPr>
          <w:rFonts w:ascii="SKJVQB+å®ä½" w:hAnsi="SKJVQB+å®ä½" w:cs="SKJVQB+å®ä½"/>
          <w:color w:val="000000"/>
          <w:spacing w:val="0"/>
          <w:sz w:val="21"/>
        </w:rPr>
        <w:t>号</w:t>
      </w:r>
    </w:p>
    <w:p>
      <w:pPr>
        <w:framePr w:w="3021" w:wrap="around" w:vAnchor="margin" w:hAnchor="text" w:x="7482" w:y="52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科兴科学园 </w:t>
      </w:r>
      <w:r>
        <w:rPr>
          <w:rFonts w:ascii="Times New Roman"/>
          <w:color w:val="000000"/>
          <w:spacing w:val="0"/>
          <w:sz w:val="21"/>
        </w:rPr>
        <w:t>B</w:t>
      </w:r>
      <w:r>
        <w:rPr>
          <w:rFonts w:ascii="SKJVQB+å®ä½" w:hAnsi="SKJVQB+å®ä½" w:cs="SKJVQB+å®ä½"/>
          <w:color w:val="000000"/>
          <w:spacing w:val="0"/>
          <w:sz w:val="21"/>
        </w:rPr>
        <w:t xml:space="preserve">栋  </w:t>
      </w:r>
      <w:r>
        <w:rPr>
          <w:rFonts w:ascii="Times New Roman"/>
          <w:color w:val="000000"/>
          <w:spacing w:val="0"/>
          <w:sz w:val="21"/>
        </w:rPr>
        <w:t>3</w:t>
      </w:r>
      <w:r>
        <w:rPr>
          <w:rFonts w:ascii="SKJVQB+å®ä½" w:hAnsi="SKJVQB+å®ä½" w:cs="SKJVQB+å®ä½"/>
          <w:color w:val="000000"/>
          <w:spacing w:val="0"/>
          <w:sz w:val="21"/>
        </w:rPr>
        <w:t xml:space="preserve">单元  </w:t>
      </w:r>
      <w:r>
        <w:rPr>
          <w:rFonts w:ascii="Times New Roman"/>
          <w:color w:val="000000"/>
          <w:spacing w:val="0"/>
          <w:sz w:val="21"/>
        </w:rPr>
        <w:t>11</w:t>
      </w:r>
      <w:r>
        <w:rPr>
          <w:rFonts w:ascii="SKJVQB+å®ä½" w:hAnsi="SKJVQB+å®ä½" w:cs="SKJVQB+å®ä½"/>
          <w:color w:val="000000"/>
          <w:spacing w:val="0"/>
          <w:sz w:val="21"/>
        </w:rPr>
        <w:t>层</w:t>
      </w:r>
    </w:p>
    <w:p>
      <w:pPr>
        <w:framePr w:w="3021" w:wrap="around" w:vAnchor="margin" w:hAnchor="text" w:x="7482" w:y="5233"/>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1108</w:t>
      </w:r>
    </w:p>
    <w:p>
      <w:pPr>
        <w:framePr w:w="625" w:wrap="around" w:vAnchor="margin" w:hAnchor="text" w:x="4117" w:y="648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118</w:t>
      </w:r>
    </w:p>
    <w:p>
      <w:pPr>
        <w:framePr w:w="2901" w:wrap="around" w:vAnchor="margin" w:hAnchor="text" w:x="4640" w:y="64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深圳市金斧子基金销售有限</w:t>
      </w:r>
    </w:p>
    <w:p>
      <w:pPr>
        <w:framePr w:w="2901" w:wrap="around" w:vAnchor="margin" w:hAnchor="text" w:x="4640" w:y="64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1" w:wrap="around" w:vAnchor="margin" w:hAnchor="text" w:x="7482"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办公地址：深圳市南山区粤海</w:t>
      </w:r>
    </w:p>
    <w:p>
      <w:pPr>
        <w:framePr w:w="3021"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街道科技园中区科苑路 </w:t>
      </w:r>
      <w:r>
        <w:rPr>
          <w:rFonts w:ascii="Times New Roman"/>
          <w:color w:val="000000"/>
          <w:spacing w:val="0"/>
          <w:sz w:val="21"/>
        </w:rPr>
        <w:t>15</w:t>
      </w:r>
      <w:r>
        <w:rPr>
          <w:rFonts w:ascii="SKJVQB+å®ä½" w:hAnsi="SKJVQB+å®ä½" w:cs="SKJVQB+å®ä½"/>
          <w:color w:val="000000"/>
          <w:spacing w:val="0"/>
          <w:sz w:val="21"/>
        </w:rPr>
        <w:t>号</w:t>
      </w:r>
    </w:p>
    <w:p>
      <w:pPr>
        <w:framePr w:w="3021" w:wrap="around" w:vAnchor="margin" w:hAnchor="text" w:x="7482" w:y="77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科兴科学园 </w:t>
      </w:r>
      <w:r>
        <w:rPr>
          <w:rFonts w:ascii="Times New Roman"/>
          <w:color w:val="000000"/>
          <w:spacing w:val="0"/>
          <w:sz w:val="21"/>
        </w:rPr>
        <w:t>B</w:t>
      </w:r>
      <w:r>
        <w:rPr>
          <w:rFonts w:ascii="SKJVQB+å®ä½" w:hAnsi="SKJVQB+å®ä½" w:cs="SKJVQB+å®ä½"/>
          <w:color w:val="000000"/>
          <w:spacing w:val="0"/>
          <w:sz w:val="21"/>
        </w:rPr>
        <w:t xml:space="preserve">栋  </w:t>
      </w:r>
      <w:r>
        <w:rPr>
          <w:rFonts w:ascii="Times New Roman"/>
          <w:color w:val="000000"/>
          <w:spacing w:val="0"/>
          <w:sz w:val="21"/>
        </w:rPr>
        <w:t>3</w:t>
      </w:r>
      <w:r>
        <w:rPr>
          <w:rFonts w:ascii="SKJVQB+å®ä½" w:hAnsi="SKJVQB+å®ä½" w:cs="SKJVQB+å®ä½"/>
          <w:color w:val="000000"/>
          <w:spacing w:val="0"/>
          <w:sz w:val="21"/>
        </w:rPr>
        <w:t xml:space="preserve">单元  </w:t>
      </w:r>
      <w:r>
        <w:rPr>
          <w:rFonts w:ascii="Times New Roman"/>
          <w:color w:val="000000"/>
          <w:spacing w:val="0"/>
          <w:sz w:val="21"/>
        </w:rPr>
        <w:t>11</w:t>
      </w:r>
      <w:r>
        <w:rPr>
          <w:rFonts w:ascii="SKJVQB+å®ä½" w:hAnsi="SKJVQB+å®ä½" w:cs="SKJVQB+å®ä½"/>
          <w:color w:val="000000"/>
          <w:spacing w:val="0"/>
          <w:sz w:val="21"/>
        </w:rPr>
        <w:t>层</w:t>
      </w:r>
    </w:p>
    <w:p>
      <w:pPr>
        <w:framePr w:w="3021" w:wrap="around" w:vAnchor="margin" w:hAnchor="text" w:x="7482" w:y="7745"/>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1108</w:t>
      </w:r>
    </w:p>
    <w:p>
      <w:pPr>
        <w:framePr w:w="2209" w:wrap="around" w:vAnchor="margin" w:hAnchor="text" w:x="7482"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法定代表人：赖任军</w:t>
      </w:r>
    </w:p>
    <w:p>
      <w:pPr>
        <w:framePr w:w="2209" w:wrap="around" w:vAnchor="margin" w:hAnchor="text" w:x="7482" w:y="89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联系人：刘昕霞</w:t>
      </w:r>
    </w:p>
    <w:p>
      <w:pPr>
        <w:framePr w:w="3020"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0755-29330513</w:t>
      </w:r>
    </w:p>
    <w:p>
      <w:pPr>
        <w:framePr w:w="3020"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0755-26920530</w:t>
      </w:r>
    </w:p>
    <w:p>
      <w:pPr>
        <w:framePr w:w="3020"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400-9302-888</w:t>
      </w:r>
    </w:p>
    <w:p>
      <w:pPr>
        <w:framePr w:w="3020" w:wrap="around" w:vAnchor="margin" w:hAnchor="text" w:x="7482" w:y="9611"/>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www.jfzinv.com</w:t>
      </w:r>
    </w:p>
    <w:p>
      <w:pPr>
        <w:framePr w:w="3020" w:wrap="around" w:vAnchor="margin" w:hAnchor="text" w:x="7482" w:y="9611"/>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注册地址：北京市海淀区中关</w:t>
      </w:r>
    </w:p>
    <w:p>
      <w:pPr>
        <w:framePr w:w="3020" w:wrap="around" w:vAnchor="margin" w:hAnchor="text" w:x="7482" w:y="961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村东路 </w:t>
      </w:r>
      <w:r>
        <w:rPr>
          <w:rFonts w:ascii="Times New Roman"/>
          <w:color w:val="000000"/>
          <w:spacing w:val="0"/>
          <w:sz w:val="21"/>
        </w:rPr>
        <w:t>66</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号楼  </w:t>
      </w:r>
      <w:r>
        <w:rPr>
          <w:rFonts w:ascii="Times New Roman"/>
          <w:color w:val="000000"/>
          <w:spacing w:val="0"/>
          <w:sz w:val="21"/>
        </w:rPr>
        <w:t>22</w:t>
      </w:r>
      <w:r>
        <w:rPr>
          <w:rFonts w:ascii="SKJVQB+å®ä½" w:hAnsi="SKJVQB+å®ä½" w:cs="SKJVQB+å®ä½"/>
          <w:color w:val="000000"/>
          <w:spacing w:val="0"/>
          <w:sz w:val="21"/>
        </w:rPr>
        <w:t>层</w:t>
      </w:r>
    </w:p>
    <w:p>
      <w:pPr>
        <w:framePr w:w="3020" w:wrap="around" w:vAnchor="margin" w:hAnchor="text" w:x="7482" w:y="9611"/>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2603-06</w:t>
      </w:r>
    </w:p>
    <w:p>
      <w:pPr>
        <w:framePr w:w="625" w:wrap="around" w:vAnchor="margin" w:hAnchor="text" w:x="4117" w:y="1086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119</w:t>
      </w:r>
    </w:p>
    <w:p>
      <w:pPr>
        <w:framePr w:w="2901"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北京肯特瑞基金销售有限公</w:t>
      </w:r>
    </w:p>
    <w:p>
      <w:pPr>
        <w:framePr w:w="2901" w:wrap="around" w:vAnchor="margin" w:hAnchor="text" w:x="4640" w:y="1087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3021" w:wrap="around" w:vAnchor="margin" w:hAnchor="text" w:x="7482" w:y="1181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办公地址：北京市大兴区亦庄</w:t>
      </w:r>
    </w:p>
    <w:p>
      <w:pPr>
        <w:framePr w:w="3021"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经济开发区科创十一街 </w:t>
      </w:r>
      <w:r>
        <w:rPr>
          <w:rFonts w:ascii="Times New Roman"/>
          <w:color w:val="000000"/>
          <w:spacing w:val="0"/>
          <w:sz w:val="21"/>
        </w:rPr>
        <w:t>18</w:t>
      </w:r>
      <w:r>
        <w:rPr>
          <w:rFonts w:ascii="SKJVQB+å®ä½" w:hAnsi="SKJVQB+å®ä½" w:cs="SKJVQB+å®ä½"/>
          <w:color w:val="000000"/>
          <w:spacing w:val="0"/>
          <w:sz w:val="21"/>
        </w:rPr>
        <w:t>号</w:t>
      </w:r>
    </w:p>
    <w:p>
      <w:pPr>
        <w:framePr w:w="3021"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院京东总部 </w:t>
      </w:r>
      <w:r>
        <w:rPr>
          <w:rFonts w:ascii="Times New Roman"/>
          <w:color w:val="000000"/>
          <w:spacing w:val="0"/>
          <w:sz w:val="21"/>
        </w:rPr>
        <w:t>A</w:t>
      </w:r>
      <w:r>
        <w:rPr>
          <w:rFonts w:ascii="SKJVQB+å®ä½" w:hAnsi="SKJVQB+å®ä½" w:cs="SKJVQB+å®ä½"/>
          <w:color w:val="000000"/>
          <w:spacing w:val="0"/>
          <w:sz w:val="21"/>
        </w:rPr>
        <w:t xml:space="preserve">座  </w:t>
      </w:r>
      <w:r>
        <w:rPr>
          <w:rFonts w:ascii="Times New Roman"/>
          <w:color w:val="000000"/>
          <w:spacing w:val="0"/>
          <w:sz w:val="21"/>
        </w:rPr>
        <w:t>17</w:t>
      </w:r>
      <w:r>
        <w:rPr>
          <w:rFonts w:ascii="SKJVQB+å®ä½" w:hAnsi="SKJVQB+å®ä½" w:cs="SKJVQB+å®ä½"/>
          <w:color w:val="000000"/>
          <w:spacing w:val="0"/>
          <w:sz w:val="21"/>
        </w:rPr>
        <w:t>层</w:t>
      </w:r>
    </w:p>
    <w:p>
      <w:pPr>
        <w:framePr w:w="3021" w:wrap="around" w:vAnchor="margin" w:hAnchor="text" w:x="7482" w:y="11814"/>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法定代表人：江卉</w:t>
      </w:r>
    </w:p>
    <w:p>
      <w:pPr>
        <w:framePr w:w="1684" w:wrap="around" w:vAnchor="margin" w:hAnchor="text" w:x="7482" w:y="1306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联系人：娄云</w:t>
      </w:r>
    </w:p>
    <w:p>
      <w:pPr>
        <w:framePr w:w="2178" w:wrap="around" w:vAnchor="margin" w:hAnchor="text" w:x="7482" w:y="133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010-89188356</w:t>
      </w:r>
    </w:p>
    <w:p>
      <w:pPr>
        <w:framePr w:w="2178"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010-89189566</w:t>
      </w:r>
    </w:p>
    <w:p>
      <w:pPr>
        <w:framePr w:w="2178" w:wrap="around" w:vAnchor="margin" w:hAnchor="text" w:x="7482" w:y="1336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95118</w:t>
      </w:r>
    </w:p>
    <w:p>
      <w:pPr>
        <w:framePr w:w="1697" w:wrap="around" w:vAnchor="margin" w:hAnchor="text" w:x="7482" w:y="14304"/>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jr.jd.com</w:t>
      </w:r>
    </w:p>
    <w:p>
      <w:pPr>
        <w:framePr w:w="632" w:wrap="around" w:vAnchor="margin" w:hAnchor="text" w:x="4110" w:y="1462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120</w:t>
      </w:r>
    </w:p>
    <w:p>
      <w:pPr>
        <w:framePr w:w="2901" w:wrap="around" w:vAnchor="margin" w:hAnchor="text" w:x="4640"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上海华夏财富投资管理有限</w:t>
      </w:r>
    </w:p>
    <w:p>
      <w:pPr>
        <w:framePr w:w="2901" w:wrap="around" w:vAnchor="margin" w:hAnchor="text" w:x="4640" w:y="146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1463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注册地址：上海市虹口区东大</w:t>
      </w:r>
    </w:p>
    <w:p>
      <w:pPr>
        <w:framePr w:w="3020" w:wrap="around" w:vAnchor="margin" w:hAnchor="text" w:x="7482" w:y="14632"/>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名路 </w:t>
      </w:r>
      <w:r>
        <w:rPr>
          <w:rFonts w:ascii="Times New Roman"/>
          <w:color w:val="000000"/>
          <w:spacing w:val="0"/>
          <w:sz w:val="21"/>
        </w:rPr>
        <w:t>687</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2</w:t>
      </w:r>
      <w:r>
        <w:rPr>
          <w:rFonts w:ascii="SKJVQB+å®ä½" w:hAnsi="SKJVQB+å®ä½" w:cs="SKJVQB+å®ä½"/>
          <w:color w:val="000000"/>
          <w:spacing w:val="0"/>
          <w:sz w:val="21"/>
        </w:rPr>
        <w:t xml:space="preserve">楼  </w:t>
      </w:r>
      <w:r>
        <w:rPr>
          <w:rFonts w:ascii="Times New Roman"/>
          <w:color w:val="000000"/>
          <w:spacing w:val="0"/>
          <w:sz w:val="21"/>
        </w:rPr>
        <w:t>268</w:t>
      </w:r>
      <w:r>
        <w:rPr>
          <w:rFonts w:ascii="SKJVQB+å®ä½" w:hAnsi="SKJVQB+å®ä½" w:cs="SKJVQB+å®ä½"/>
          <w:color w:val="000000"/>
          <w:spacing w:val="0"/>
          <w:sz w:val="21"/>
        </w:rPr>
        <w:t>室</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109</w:t>
      </w:r>
    </w:p>
    <w:p>
      <w:pPr>
        <w:spacing w:before="0" w:after="0" w:line="0" w:lineRule="exact"/>
        <w:ind w:left="0" w:right="0"/>
        <w:jc w:val="left"/>
        <w:rPr>
          <w:rFonts w:ascii="Arial"/>
          <w:color w:val="FF0000"/>
          <w:spacing w:val="0"/>
          <w:sz w:val="2"/>
        </w:rPr>
      </w:pPr>
      <w:r>
        <w:pict>
          <v:shape id="_x0000225" o:spid="_x0000_s125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01" o:title=""/>
            <o:lock v:ext="edit" aspectratio="t"/>
          </v:shape>
        </w:pict>
      </w:r>
      <w:r>
        <w:pict>
          <v:shape id="_x0000226" o:spid="_x0000_s1252"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20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21"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办公地址：北京市西城区金融</w:t>
      </w:r>
    </w:p>
    <w:p>
      <w:pPr>
        <w:framePr w:w="3021"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大街 </w:t>
      </w:r>
      <w:r>
        <w:rPr>
          <w:rFonts w:ascii="Times New Roman"/>
          <w:color w:val="000000"/>
          <w:spacing w:val="0"/>
          <w:sz w:val="21"/>
        </w:rPr>
        <w:t>33</w:t>
      </w:r>
      <w:r>
        <w:rPr>
          <w:rFonts w:ascii="SKJVQB+å®ä½" w:hAnsi="SKJVQB+å®ä½" w:cs="SKJVQB+å®ä½"/>
          <w:color w:val="000000"/>
          <w:spacing w:val="0"/>
          <w:sz w:val="21"/>
        </w:rPr>
        <w:t xml:space="preserve">号通泰大厦  </w:t>
      </w:r>
      <w:r>
        <w:rPr>
          <w:rFonts w:ascii="Times New Roman"/>
          <w:color w:val="000000"/>
          <w:spacing w:val="0"/>
          <w:sz w:val="21"/>
        </w:rPr>
        <w:t>B</w:t>
      </w:r>
      <w:r>
        <w:rPr>
          <w:rFonts w:ascii="SKJVQB+å®ä½" w:hAnsi="SKJVQB+å®ä½" w:cs="SKJVQB+å®ä½"/>
          <w:color w:val="000000"/>
          <w:spacing w:val="0"/>
          <w:sz w:val="21"/>
        </w:rPr>
        <w:t xml:space="preserve">座 </w:t>
      </w:r>
      <w:r>
        <w:rPr>
          <w:rFonts w:ascii="Times New Roman"/>
          <w:color w:val="000000"/>
          <w:spacing w:val="0"/>
          <w:sz w:val="21"/>
        </w:rPr>
        <w:t>8</w:t>
      </w:r>
      <w:r>
        <w:rPr>
          <w:rFonts w:ascii="SKJVQB+å®ä½" w:hAnsi="SKJVQB+å®ä½" w:cs="SKJVQB+å®ä½"/>
          <w:color w:val="000000"/>
          <w:spacing w:val="0"/>
          <w:sz w:val="21"/>
        </w:rPr>
        <w:t>层</w:t>
      </w:r>
    </w:p>
    <w:p>
      <w:pPr>
        <w:framePr w:w="3021" w:wrap="around" w:vAnchor="margin" w:hAnchor="text" w:x="7482" w:y="148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法定代表人：毛淮平</w:t>
      </w:r>
    </w:p>
    <w:p>
      <w:pPr>
        <w:framePr w:w="1789" w:wrap="around" w:vAnchor="margin" w:hAnchor="text" w:x="7482" w:y="242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联系人：仲秋玥</w:t>
      </w:r>
    </w:p>
    <w:p>
      <w:pPr>
        <w:framePr w:w="2178" w:wrap="around" w:vAnchor="margin" w:hAnchor="text" w:x="7482" w:y="272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010-88066632</w:t>
      </w:r>
    </w:p>
    <w:p>
      <w:pPr>
        <w:framePr w:w="2178" w:wrap="around" w:vAnchor="margin" w:hAnchor="text" w:x="7482" w:y="3039"/>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010-88066552</w:t>
      </w:r>
    </w:p>
    <w:p>
      <w:pPr>
        <w:framePr w:w="2870" w:wrap="around" w:vAnchor="margin" w:hAnchor="text" w:x="7482" w:y="335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400-817-5666</w:t>
      </w:r>
    </w:p>
    <w:p>
      <w:pPr>
        <w:framePr w:w="2870" w:wrap="around" w:vAnchor="margin" w:hAnchor="text" w:x="7482" w:y="335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www.amcfortune.com</w:t>
      </w:r>
    </w:p>
    <w:p>
      <w:pPr>
        <w:framePr w:w="632" w:wrap="around" w:vAnchor="margin" w:hAnchor="text" w:x="4110" w:y="3982"/>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121</w:t>
      </w:r>
    </w:p>
    <w:p>
      <w:pPr>
        <w:framePr w:w="2901" w:wrap="around" w:vAnchor="margin" w:hAnchor="text" w:x="4640"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大河财富基金销售有限公司</w:t>
      </w:r>
    </w:p>
    <w:p>
      <w:pPr>
        <w:framePr w:w="3020" w:wrap="around" w:vAnchor="margin" w:hAnchor="text" w:x="7482" w:y="399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注册地址：贵州省贵阳市南</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明区新华路 </w:t>
      </w:r>
      <w:r>
        <w:rPr>
          <w:rFonts w:ascii="Times New Roman"/>
          <w:color w:val="000000"/>
          <w:spacing w:val="0"/>
          <w:sz w:val="21"/>
        </w:rPr>
        <w:t>110-134</w:t>
      </w:r>
      <w:r>
        <w:rPr>
          <w:rFonts w:ascii="SKJVQB+å®ä½" w:hAnsi="SKJVQB+å®ä½" w:cs="SKJVQB+å®ä½"/>
          <w:color w:val="000000"/>
          <w:spacing w:val="0"/>
          <w:sz w:val="21"/>
        </w:rPr>
        <w:t>号富中</w:t>
      </w:r>
    </w:p>
    <w:p>
      <w:pPr>
        <w:framePr w:w="3020" w:wrap="around" w:vAnchor="margin" w:hAnchor="text" w:x="7482" w:y="399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国际广场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w:t>
      </w:r>
      <w:r>
        <w:rPr>
          <w:rFonts w:ascii="SKJVQB+å®ä½" w:hAnsi="SKJVQB+å®ä½" w:cs="SKJVQB+å®ä½"/>
          <w:color w:val="000000"/>
          <w:spacing w:val="0"/>
          <w:sz w:val="21"/>
        </w:rPr>
        <w:t xml:space="preserve">层  </w:t>
      </w:r>
      <w:r>
        <w:rPr>
          <w:rFonts w:ascii="Times New Roman"/>
          <w:color w:val="000000"/>
          <w:spacing w:val="0"/>
          <w:sz w:val="21"/>
        </w:rPr>
        <w:t>1.2</w:t>
      </w:r>
      <w:r>
        <w:rPr>
          <w:rFonts w:ascii="SKJVQB+å®ä½" w:hAnsi="SKJVQB+å®ä½" w:cs="SKJVQB+å®ä½"/>
          <w:color w:val="000000"/>
          <w:spacing w:val="0"/>
          <w:sz w:val="21"/>
        </w:rPr>
        <w:t>号</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办公地址：贵州省贵阳市南明</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区新华路 </w:t>
      </w:r>
      <w:r>
        <w:rPr>
          <w:rFonts w:ascii="Times New Roman"/>
          <w:color w:val="000000"/>
          <w:spacing w:val="0"/>
          <w:sz w:val="21"/>
        </w:rPr>
        <w:t>110-134</w:t>
      </w:r>
      <w:r>
        <w:rPr>
          <w:rFonts w:ascii="SKJVQB+å®ä½" w:hAnsi="SKJVQB+å®ä½" w:cs="SKJVQB+å®ä½"/>
          <w:color w:val="000000"/>
          <w:spacing w:val="0"/>
          <w:sz w:val="21"/>
        </w:rPr>
        <w:t>号富中国</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际广场 </w:t>
      </w:r>
      <w:r>
        <w:rPr>
          <w:rFonts w:ascii="Times New Roman"/>
          <w:color w:val="000000"/>
          <w:spacing w:val="0"/>
          <w:sz w:val="21"/>
        </w:rPr>
        <w:t>1</w:t>
      </w:r>
      <w:r>
        <w:rPr>
          <w:rFonts w:ascii="SKJVQB+å®ä½" w:hAnsi="SKJVQB+å®ä½" w:cs="SKJVQB+å®ä½"/>
          <w:color w:val="000000"/>
          <w:spacing w:val="0"/>
          <w:sz w:val="21"/>
        </w:rPr>
        <w:t xml:space="preserve">栋  </w:t>
      </w:r>
      <w:r>
        <w:rPr>
          <w:rFonts w:ascii="Times New Roman"/>
          <w:color w:val="000000"/>
          <w:spacing w:val="0"/>
          <w:sz w:val="21"/>
        </w:rPr>
        <w:t>20</w:t>
      </w:r>
      <w:r>
        <w:rPr>
          <w:rFonts w:ascii="SKJVQB+å®ä½" w:hAnsi="SKJVQB+å®ä½" w:cs="SKJVQB+å®ä½"/>
          <w:color w:val="000000"/>
          <w:spacing w:val="0"/>
          <w:sz w:val="21"/>
        </w:rPr>
        <w:t xml:space="preserve">层  </w:t>
      </w:r>
      <w:r>
        <w:rPr>
          <w:rFonts w:ascii="Times New Roman"/>
          <w:color w:val="000000"/>
          <w:spacing w:val="0"/>
          <w:sz w:val="21"/>
        </w:rPr>
        <w:t>1.2</w:t>
      </w:r>
      <w:r>
        <w:rPr>
          <w:rFonts w:ascii="SKJVQB+å®ä½" w:hAnsi="SKJVQB+å®ä½" w:cs="SKJVQB+å®ä½"/>
          <w:color w:val="000000"/>
          <w:spacing w:val="0"/>
          <w:sz w:val="21"/>
        </w:rPr>
        <w:t>号</w:t>
      </w:r>
    </w:p>
    <w:p>
      <w:pPr>
        <w:framePr w:w="3020" w:wrap="around" w:vAnchor="margin" w:hAnchor="text" w:x="7482" w:y="399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法定代表人：王荻</w:t>
      </w:r>
    </w:p>
    <w:p>
      <w:pPr>
        <w:framePr w:w="1578" w:wrap="around" w:vAnchor="margin" w:hAnchor="text" w:x="7482" w:y="617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联系人：潘建</w:t>
      </w:r>
    </w:p>
    <w:p>
      <w:pPr>
        <w:framePr w:w="3020" w:wrap="around" w:vAnchor="margin" w:hAnchor="text" w:x="7482" w:y="648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0851-88405605</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0851-88405602</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0851-88235678</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www.urainf.com</w:t>
      </w:r>
    </w:p>
    <w:p>
      <w:pPr>
        <w:framePr w:w="3020" w:wrap="around" w:vAnchor="margin" w:hAnchor="text" w:x="7482" w:y="6481"/>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注册地址：郑州市郑东新区东</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风南路东康宁街北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 xml:space="preserve"> 503</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办公地址：郑州市郑东新区东</w:t>
      </w:r>
    </w:p>
    <w:p>
      <w:pPr>
        <w:framePr w:w="3020" w:wrap="around" w:vAnchor="margin" w:hAnchor="text" w:x="7482" w:y="648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风南路东康宁街北 </w:t>
      </w:r>
      <w:r>
        <w:rPr>
          <w:rFonts w:ascii="Times New Roman"/>
          <w:color w:val="000000"/>
          <w:spacing w:val="0"/>
          <w:sz w:val="21"/>
        </w:rPr>
        <w:t>6</w:t>
      </w:r>
      <w:r>
        <w:rPr>
          <w:rFonts w:ascii="SKJVQB+å®ä½" w:hAnsi="SKJVQB+å®ä½" w:cs="SKJVQB+å®ä½"/>
          <w:color w:val="000000"/>
          <w:spacing w:val="0"/>
          <w:sz w:val="21"/>
        </w:rPr>
        <w:t xml:space="preserve">号楼 </w:t>
      </w:r>
      <w:r>
        <w:rPr>
          <w:rFonts w:ascii="Times New Roman"/>
          <w:color w:val="000000"/>
          <w:spacing w:val="0"/>
          <w:sz w:val="21"/>
        </w:rPr>
        <w:t xml:space="preserve"> 503</w:t>
      </w:r>
    </w:p>
    <w:p>
      <w:pPr>
        <w:framePr w:w="3020" w:wrap="around" w:vAnchor="margin" w:hAnchor="text" w:x="7482" w:y="648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法定代表人：王旋</w:t>
      </w:r>
    </w:p>
    <w:p>
      <w:pPr>
        <w:framePr w:w="632" w:wrap="around" w:vAnchor="margin" w:hAnchor="text" w:x="4110" w:y="77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122</w:t>
      </w:r>
    </w:p>
    <w:p>
      <w:pPr>
        <w:framePr w:w="2901" w:wrap="around" w:vAnchor="margin" w:hAnchor="text" w:x="4640" w:y="77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和耕传承基金销售有限公司</w:t>
      </w:r>
    </w:p>
    <w:p>
      <w:pPr>
        <w:framePr w:w="1789" w:wrap="around" w:vAnchor="margin" w:hAnchor="text" w:x="7482" w:y="93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联系人：胡静华</w:t>
      </w:r>
    </w:p>
    <w:p>
      <w:pPr>
        <w:framePr w:w="2588"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0371-85518396</w:t>
      </w:r>
    </w:p>
    <w:p>
      <w:pPr>
        <w:framePr w:w="2588"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0371-85518397</w:t>
      </w:r>
    </w:p>
    <w:p>
      <w:pPr>
        <w:framePr w:w="2588"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4000-555-671</w:t>
      </w:r>
    </w:p>
    <w:p>
      <w:pPr>
        <w:framePr w:w="2588" w:wrap="around" w:vAnchor="margin" w:hAnchor="text" w:x="7482" w:y="9611"/>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085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http://www.hgccpb.com/</w:t>
      </w:r>
    </w:p>
    <w:p>
      <w:pPr>
        <w:framePr w:w="3020" w:wrap="around" w:vAnchor="margin" w:hAnchor="text" w:x="7482" w:y="10857"/>
        <w:widowControl w:val="0"/>
        <w:autoSpaceDE w:val="0"/>
        <w:autoSpaceDN w:val="0"/>
        <w:spacing w:before="0" w:after="0" w:line="326"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注册地址：辽宁省大连市沙河</w:t>
      </w:r>
    </w:p>
    <w:p>
      <w:pPr>
        <w:framePr w:w="3020" w:wrap="around" w:vAnchor="margin" w:hAnchor="text" w:x="7482" w:y="1085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口区体坛路 </w:t>
      </w:r>
      <w:r>
        <w:rPr>
          <w:rFonts w:ascii="Times New Roman"/>
          <w:color w:val="000000"/>
          <w:spacing w:val="0"/>
          <w:sz w:val="21"/>
        </w:rPr>
        <w:t>22</w:t>
      </w:r>
      <w:r>
        <w:rPr>
          <w:rFonts w:ascii="SKJVQB+å®ä½" w:hAnsi="SKJVQB+å®ä½" w:cs="SKJVQB+å®ä½"/>
          <w:color w:val="000000"/>
          <w:spacing w:val="0"/>
          <w:sz w:val="21"/>
        </w:rPr>
        <w:t xml:space="preserve">号诺德大厦  </w:t>
      </w:r>
      <w:r>
        <w:rPr>
          <w:rFonts w:ascii="Times New Roman"/>
          <w:color w:val="000000"/>
          <w:spacing w:val="0"/>
          <w:sz w:val="21"/>
        </w:rPr>
        <w:t xml:space="preserve"> 2</w:t>
      </w:r>
    </w:p>
    <w:p>
      <w:pPr>
        <w:framePr w:w="3020" w:wrap="around" w:vAnchor="margin" w:hAnchor="text" w:x="7482" w:y="1085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202</w:t>
      </w:r>
      <w:r>
        <w:rPr>
          <w:rFonts w:ascii="SKJVQB+å®ä½" w:hAnsi="SKJVQB+å®ä½" w:cs="SKJVQB+å®ä½"/>
          <w:color w:val="000000"/>
          <w:spacing w:val="0"/>
          <w:sz w:val="21"/>
        </w:rPr>
        <w:t>室</w:t>
      </w:r>
    </w:p>
    <w:p>
      <w:pPr>
        <w:framePr w:w="632" w:wrap="around" w:vAnchor="margin" w:hAnchor="text" w:x="4110" w:y="1118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123</w:t>
      </w:r>
    </w:p>
    <w:p>
      <w:pPr>
        <w:framePr w:w="2901" w:wrap="around" w:vAnchor="margin" w:hAnchor="text" w:x="4640" w:y="111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大连网金基金销售有限公司</w:t>
      </w:r>
    </w:p>
    <w:p>
      <w:pPr>
        <w:framePr w:w="3020" w:wrap="around" w:vAnchor="margin" w:hAnchor="text" w:x="7482" w:y="121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办公地址：辽宁省大连市沙河</w:t>
      </w:r>
    </w:p>
    <w:p>
      <w:pPr>
        <w:framePr w:w="3020" w:wrap="around" w:vAnchor="margin" w:hAnchor="text" w:x="7482" w:y="12126"/>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口区体坛路 </w:t>
      </w:r>
      <w:r>
        <w:rPr>
          <w:rFonts w:ascii="Times New Roman"/>
          <w:color w:val="000000"/>
          <w:spacing w:val="0"/>
          <w:sz w:val="21"/>
        </w:rPr>
        <w:t>22</w:t>
      </w:r>
      <w:r>
        <w:rPr>
          <w:rFonts w:ascii="SKJVQB+å®ä½" w:hAnsi="SKJVQB+å®ä½" w:cs="SKJVQB+å®ä½"/>
          <w:color w:val="000000"/>
          <w:spacing w:val="0"/>
          <w:sz w:val="21"/>
        </w:rPr>
        <w:t xml:space="preserve">号诺德大厦  </w:t>
      </w:r>
      <w:r>
        <w:rPr>
          <w:rFonts w:ascii="Times New Roman"/>
          <w:color w:val="000000"/>
          <w:spacing w:val="0"/>
          <w:sz w:val="21"/>
        </w:rPr>
        <w:t xml:space="preserve"> 2</w:t>
      </w:r>
    </w:p>
    <w:p>
      <w:pPr>
        <w:framePr w:w="3020" w:wrap="around" w:vAnchor="margin" w:hAnchor="text" w:x="7482" w:y="1212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层 </w:t>
      </w:r>
      <w:r>
        <w:rPr>
          <w:rFonts w:ascii="Times New Roman"/>
          <w:color w:val="000000"/>
          <w:spacing w:val="0"/>
          <w:sz w:val="21"/>
        </w:rPr>
        <w:t>202</w:t>
      </w:r>
      <w:r>
        <w:rPr>
          <w:rFonts w:ascii="SKJVQB+å®ä½" w:hAnsi="SKJVQB+å®ä½" w:cs="SKJVQB+å®ä½"/>
          <w:color w:val="000000"/>
          <w:spacing w:val="0"/>
          <w:sz w:val="21"/>
        </w:rPr>
        <w:t>室</w:t>
      </w:r>
    </w:p>
    <w:p>
      <w:pPr>
        <w:framePr w:w="2209" w:wrap="around" w:vAnchor="margin" w:hAnchor="text" w:x="7482" w:y="1306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法定代表人：樊怀东</w:t>
      </w:r>
    </w:p>
    <w:p>
      <w:pPr>
        <w:framePr w:w="2588" w:wrap="around" w:vAnchor="margin" w:hAnchor="text" w:x="7482" w:y="1336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4000-899-100</w:t>
      </w:r>
    </w:p>
    <w:p>
      <w:pPr>
        <w:framePr w:w="2588" w:wrap="around" w:vAnchor="margin" w:hAnchor="text" w:x="7482" w:y="1336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网址：</w:t>
      </w:r>
    </w:p>
    <w:p>
      <w:pPr>
        <w:framePr w:w="3020" w:wrap="around" w:vAnchor="margin" w:hAnchor="text" w:x="7482" w:y="1398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http://www.yibaijin.com/</w:t>
      </w:r>
    </w:p>
    <w:p>
      <w:pPr>
        <w:framePr w:w="3020" w:wrap="around" w:vAnchor="margin" w:hAnchor="text" w:x="7482" w:y="13989"/>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注册地址：深圳市前海深港合</w:t>
      </w:r>
    </w:p>
    <w:p>
      <w:pPr>
        <w:framePr w:w="3020" w:wrap="around" w:vAnchor="margin" w:hAnchor="text" w:x="7482" w:y="13989"/>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作区前湾一路 </w:t>
      </w:r>
      <w:r>
        <w:rPr>
          <w:rFonts w:ascii="Times New Roman"/>
          <w:color w:val="000000"/>
          <w:spacing w:val="0"/>
          <w:sz w:val="21"/>
        </w:rPr>
        <w:t>1</w:t>
      </w:r>
      <w:r>
        <w:rPr>
          <w:rFonts w:ascii="SKJVQB+å®ä½" w:hAnsi="SKJVQB+å®ä½" w:cs="SKJVQB+å®ä½"/>
          <w:color w:val="000000"/>
          <w:spacing w:val="0"/>
          <w:sz w:val="21"/>
        </w:rPr>
        <w:t xml:space="preserve">号  </w:t>
      </w:r>
      <w:r>
        <w:rPr>
          <w:rFonts w:ascii="Times New Roman"/>
          <w:color w:val="000000"/>
          <w:spacing w:val="0"/>
          <w:sz w:val="21"/>
        </w:rPr>
        <w:t>A</w:t>
      </w:r>
      <w:r>
        <w:rPr>
          <w:rFonts w:ascii="SKJVQB+å®ä½" w:hAnsi="SKJVQB+å®ä½" w:cs="SKJVQB+å®ä½"/>
          <w:color w:val="000000"/>
          <w:spacing w:val="0"/>
          <w:sz w:val="21"/>
        </w:rPr>
        <w:t xml:space="preserve">栋  </w:t>
      </w:r>
      <w:r>
        <w:rPr>
          <w:rFonts w:ascii="Times New Roman"/>
          <w:color w:val="000000"/>
          <w:spacing w:val="0"/>
          <w:sz w:val="21"/>
        </w:rPr>
        <w:t xml:space="preserve"> 201</w:t>
      </w:r>
    </w:p>
    <w:p>
      <w:pPr>
        <w:framePr w:w="3020" w:wrap="around" w:vAnchor="margin" w:hAnchor="text" w:x="7482" w:y="13989"/>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室（入驻深圳市前海商务秘书</w:t>
      </w:r>
    </w:p>
    <w:p>
      <w:pPr>
        <w:framePr w:w="632" w:wrap="around" w:vAnchor="margin" w:hAnchor="text" w:x="4110" w:y="1431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124</w:t>
      </w:r>
    </w:p>
    <w:p>
      <w:pPr>
        <w:framePr w:w="3020" w:wrap="around" w:vAnchor="margin" w:hAnchor="text" w:x="4640"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腾安基金销售（深圳）有限公</w:t>
      </w:r>
    </w:p>
    <w:p>
      <w:pPr>
        <w:framePr w:w="3020" w:wrap="around" w:vAnchor="margin" w:hAnchor="text" w:x="4640" w:y="14320"/>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司</w:t>
      </w:r>
    </w:p>
    <w:p>
      <w:pPr>
        <w:framePr w:w="535" w:wrap="around" w:vAnchor="margin" w:hAnchor="text" w:x="9845"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110</w:t>
      </w:r>
    </w:p>
    <w:p>
      <w:pPr>
        <w:spacing w:before="0" w:after="0" w:line="0" w:lineRule="exact"/>
        <w:ind w:left="0" w:right="0"/>
        <w:jc w:val="left"/>
        <w:rPr>
          <w:rFonts w:ascii="Arial"/>
          <w:color w:val="FF0000"/>
          <w:spacing w:val="0"/>
          <w:sz w:val="2"/>
        </w:rPr>
      </w:pPr>
      <w:r>
        <w:pict>
          <v:shape id="_x0000227" o:spid="_x0000_s1253"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03" o:title=""/>
            <o:lock v:ext="edit" aspectratio="t"/>
          </v:shape>
        </w:pict>
      </w:r>
      <w:r>
        <w:pict>
          <v:shape id="_x0000228" o:spid="_x0000_s1254" o:spt="75" type="#_x0000_t75" style="position:absolute;left:0pt;margin-left:84.4pt;margin-top:71.1pt;height:689.5pt;width:426.7pt;mso-position-horizontal-relative:page;mso-position-vertical-relative:page;z-index:-1024;mso-width-relative:page;mso-height-relative:page;" filled="f" coordsize="21600,21600">
            <v:path/>
            <v:fill on="f" focussize="0,0"/>
            <v:stroke/>
            <v:imagedata r:id="rId20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369" w:wrap="around" w:vAnchor="margin" w:hAnchor="text" w:x="7482"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有限公司）</w:t>
      </w:r>
    </w:p>
    <w:p>
      <w:pPr>
        <w:framePr w:w="3020" w:wrap="around" w:vAnchor="margin" w:hAnchor="text" w:x="7482" w:y="179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办公地址：深圳市南山区海天</w:t>
      </w:r>
    </w:p>
    <w:p>
      <w:pPr>
        <w:framePr w:w="3020" w:wrap="around" w:vAnchor="margin" w:hAnchor="text" w:x="7482" w:y="1797"/>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二路 </w:t>
      </w:r>
      <w:r>
        <w:rPr>
          <w:rFonts w:ascii="Times New Roman"/>
          <w:color w:val="000000"/>
          <w:spacing w:val="0"/>
          <w:sz w:val="21"/>
        </w:rPr>
        <w:t>33</w:t>
      </w:r>
      <w:r>
        <w:rPr>
          <w:rFonts w:ascii="SKJVQB+å®ä½" w:hAnsi="SKJVQB+å®ä½" w:cs="SKJVQB+å®ä½"/>
          <w:color w:val="000000"/>
          <w:spacing w:val="0"/>
          <w:sz w:val="21"/>
        </w:rPr>
        <w:t xml:space="preserve">号腾讯滨海大厦  </w:t>
      </w:r>
      <w:r>
        <w:rPr>
          <w:rFonts w:ascii="Times New Roman"/>
          <w:color w:val="000000"/>
          <w:spacing w:val="0"/>
          <w:sz w:val="21"/>
        </w:rPr>
        <w:t xml:space="preserve"> 15</w:t>
      </w:r>
    </w:p>
    <w:p>
      <w:pPr>
        <w:framePr w:w="3020" w:wrap="around" w:vAnchor="margin" w:hAnchor="text" w:x="7482" w:y="179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楼</w:t>
      </w:r>
    </w:p>
    <w:p>
      <w:pPr>
        <w:framePr w:w="2559" w:wrap="around" w:vAnchor="margin" w:hAnchor="text" w:x="7482" w:y="27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法定代表人：刘明军</w:t>
      </w:r>
    </w:p>
    <w:p>
      <w:pPr>
        <w:framePr w:w="2559" w:wrap="around" w:vAnchor="margin" w:hAnchor="text" w:x="7482" w:y="27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联系人：谭广锋</w:t>
      </w:r>
    </w:p>
    <w:p>
      <w:pPr>
        <w:framePr w:w="2559" w:wrap="around" w:vAnchor="margin" w:hAnchor="text" w:x="7482" w:y="27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电话：</w:t>
      </w:r>
      <w:r>
        <w:rPr>
          <w:rFonts w:ascii="Times New Roman"/>
          <w:color w:val="000000"/>
          <w:spacing w:val="0"/>
          <w:sz w:val="21"/>
        </w:rPr>
        <w:t>0755-86013388</w:t>
      </w:r>
      <w:r>
        <w:rPr>
          <w:rFonts w:ascii="SKJVQB+å®ä½" w:hAnsi="SKJVQB+å®ä½" w:cs="SKJVQB+å®ä½"/>
          <w:color w:val="000000"/>
          <w:spacing w:val="0"/>
          <w:sz w:val="21"/>
        </w:rPr>
        <w:t>转</w:t>
      </w:r>
    </w:p>
    <w:p>
      <w:pPr>
        <w:framePr w:w="2559" w:wrap="around" w:vAnchor="margin" w:hAnchor="text" w:x="7482" w:y="2733"/>
        <w:widowControl w:val="0"/>
        <w:autoSpaceDE w:val="0"/>
        <w:autoSpaceDN w:val="0"/>
        <w:spacing w:before="0" w:after="0" w:line="310" w:lineRule="exact"/>
        <w:ind w:left="0" w:right="0"/>
        <w:jc w:val="left"/>
        <w:rPr>
          <w:rFonts w:ascii="Times New Roman"/>
          <w:color w:val="000000"/>
          <w:spacing w:val="0"/>
          <w:sz w:val="21"/>
        </w:rPr>
      </w:pPr>
      <w:r>
        <w:rPr>
          <w:rFonts w:ascii="Times New Roman"/>
          <w:color w:val="000000"/>
          <w:spacing w:val="0"/>
          <w:sz w:val="21"/>
        </w:rPr>
        <w:t>80618</w:t>
      </w:r>
    </w:p>
    <w:p>
      <w:pPr>
        <w:framePr w:w="1008" w:wrap="around" w:vAnchor="margin" w:hAnchor="text" w:x="7482" w:y="397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w:t>
      </w:r>
    </w:p>
    <w:p>
      <w:pPr>
        <w:framePr w:w="2911" w:wrap="around" w:vAnchor="margin" w:hAnchor="text" w:x="7482" w:y="4287"/>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95017</w:t>
      </w:r>
    </w:p>
    <w:p>
      <w:pPr>
        <w:framePr w:w="2911" w:wrap="around" w:vAnchor="margin" w:hAnchor="text" w:x="7482" w:y="4287"/>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www.tenganxinxi.com</w:t>
      </w:r>
    </w:p>
    <w:p>
      <w:pPr>
        <w:framePr w:w="632" w:wrap="around" w:vAnchor="margin" w:hAnchor="text" w:x="4110" w:y="491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125</w:t>
      </w:r>
    </w:p>
    <w:p>
      <w:pPr>
        <w:framePr w:w="2901" w:wrap="around" w:vAnchor="margin" w:hAnchor="text" w:x="4640"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北京百度百盈基金销售有限</w:t>
      </w:r>
    </w:p>
    <w:p>
      <w:pPr>
        <w:framePr w:w="2901" w:wrap="around" w:vAnchor="margin" w:hAnchor="text" w:x="4640"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492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注册地址：北京市海淀区上地</w:t>
      </w:r>
    </w:p>
    <w:p>
      <w:pPr>
        <w:framePr w:w="3020" w:wrap="around" w:vAnchor="margin" w:hAnchor="text" w:x="7482" w:y="492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十街 </w:t>
      </w:r>
      <w:r>
        <w:rPr>
          <w:rFonts w:ascii="Times New Roman"/>
          <w:color w:val="000000"/>
          <w:spacing w:val="0"/>
          <w:sz w:val="21"/>
        </w:rPr>
        <w:t>10</w:t>
      </w:r>
      <w:r>
        <w:rPr>
          <w:rFonts w:ascii="SKJVQB+å®ä½" w:hAnsi="SKJVQB+å®ä½" w:cs="SKJVQB+å®ä½"/>
          <w:color w:val="000000"/>
          <w:spacing w:val="0"/>
          <w:sz w:val="21"/>
        </w:rPr>
        <w:t xml:space="preserve">号  </w:t>
      </w:r>
      <w:r>
        <w:rPr>
          <w:rFonts w:ascii="Times New Roman"/>
          <w:color w:val="000000"/>
          <w:spacing w:val="0"/>
          <w:sz w:val="21"/>
        </w:rPr>
        <w:t>1</w:t>
      </w:r>
      <w:r>
        <w:rPr>
          <w:rFonts w:ascii="SKJVQB+å®ä½" w:hAnsi="SKJVQB+å®ä½" w:cs="SKJVQB+å®ä½"/>
          <w:color w:val="000000"/>
          <w:spacing w:val="0"/>
          <w:sz w:val="21"/>
        </w:rPr>
        <w:t xml:space="preserve">幢  </w:t>
      </w:r>
      <w:r>
        <w:rPr>
          <w:rFonts w:ascii="Times New Roman"/>
          <w:color w:val="000000"/>
          <w:spacing w:val="0"/>
          <w:sz w:val="21"/>
        </w:rPr>
        <w:t>1</w:t>
      </w:r>
      <w:r>
        <w:rPr>
          <w:rFonts w:ascii="SKJVQB+å®ä½" w:hAnsi="SKJVQB+å®ä½" w:cs="SKJVQB+å®ä½"/>
          <w:color w:val="000000"/>
          <w:spacing w:val="0"/>
          <w:sz w:val="21"/>
        </w:rPr>
        <w:t xml:space="preserve">层  </w:t>
      </w:r>
      <w:r>
        <w:rPr>
          <w:rFonts w:ascii="Times New Roman"/>
          <w:color w:val="000000"/>
          <w:spacing w:val="0"/>
          <w:sz w:val="21"/>
        </w:rPr>
        <w:t xml:space="preserve"> 101</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办公地址：北京市海淀区上地</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信息路甲 </w:t>
      </w:r>
      <w:r>
        <w:rPr>
          <w:rFonts w:ascii="Times New Roman"/>
          <w:color w:val="000000"/>
          <w:spacing w:val="0"/>
          <w:sz w:val="21"/>
        </w:rPr>
        <w:t>9</w:t>
      </w:r>
      <w:r>
        <w:rPr>
          <w:rFonts w:ascii="SKJVQB+å®ä½" w:hAnsi="SKJVQB+å®ä½" w:cs="SKJVQB+å®ä½"/>
          <w:color w:val="000000"/>
          <w:spacing w:val="0"/>
          <w:sz w:val="21"/>
        </w:rPr>
        <w:t>号奎科科技大厦</w:t>
      </w:r>
    </w:p>
    <w:p>
      <w:pPr>
        <w:framePr w:w="3020" w:wrap="around" w:vAnchor="margin" w:hAnchor="text" w:x="7482" w:y="492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法定代表人：张旭阳</w:t>
      </w:r>
    </w:p>
    <w:p>
      <w:pPr>
        <w:framePr w:w="3020" w:wrap="around" w:vAnchor="margin" w:hAnchor="text" w:x="7482" w:y="4928"/>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客服电话：</w:t>
      </w:r>
      <w:r>
        <w:rPr>
          <w:rFonts w:ascii="Times New Roman"/>
          <w:color w:val="000000"/>
          <w:spacing w:val="0"/>
          <w:sz w:val="21"/>
        </w:rPr>
        <w:t>95055</w:t>
      </w:r>
    </w:p>
    <w:p>
      <w:pPr>
        <w:framePr w:w="2659" w:wrap="around" w:vAnchor="margin" w:hAnchor="text" w:x="7482" w:y="679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https://8.baidu.com/</w:t>
      </w:r>
    </w:p>
    <w:p>
      <w:pPr>
        <w:framePr w:w="2659" w:wrap="around" w:vAnchor="margin" w:hAnchor="text" w:x="7482" w:y="679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邮编：</w:t>
      </w:r>
      <w:r>
        <w:rPr>
          <w:rFonts w:ascii="Times New Roman"/>
          <w:color w:val="000000"/>
          <w:spacing w:val="0"/>
          <w:sz w:val="21"/>
        </w:rPr>
        <w:t>100085</w:t>
      </w:r>
    </w:p>
    <w:p>
      <w:pPr>
        <w:framePr w:w="632" w:wrap="around" w:vAnchor="margin" w:hAnchor="text" w:x="4110" w:y="742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126</w:t>
      </w:r>
    </w:p>
    <w:p>
      <w:pPr>
        <w:framePr w:w="2901" w:wrap="around" w:vAnchor="margin" w:hAnchor="text" w:x="4640"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江苏汇林保大基金销售有限</w:t>
      </w:r>
    </w:p>
    <w:p>
      <w:pPr>
        <w:framePr w:w="2901" w:wrap="around" w:vAnchor="margin" w:hAnchor="text" w:x="4640"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公司</w:t>
      </w:r>
    </w:p>
    <w:p>
      <w:pPr>
        <w:framePr w:w="3020" w:wrap="around" w:vAnchor="margin" w:hAnchor="text" w:x="7482" w:y="743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注册地址：南京市高淳区经济</w:t>
      </w:r>
    </w:p>
    <w:p>
      <w:pPr>
        <w:framePr w:w="3020" w:wrap="around" w:vAnchor="margin" w:hAnchor="text" w:x="7482"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开发区古檀大道 </w:t>
      </w:r>
      <w:r>
        <w:rPr>
          <w:rFonts w:ascii="Times New Roman"/>
          <w:color w:val="000000"/>
          <w:spacing w:val="0"/>
          <w:sz w:val="21"/>
        </w:rPr>
        <w:t>47</w:t>
      </w:r>
      <w:r>
        <w:rPr>
          <w:rFonts w:ascii="SKJVQB+å®ä½" w:hAnsi="SKJVQB+å®ä½" w:cs="SKJVQB+å®ä½"/>
          <w:color w:val="000000"/>
          <w:spacing w:val="0"/>
          <w:sz w:val="21"/>
        </w:rPr>
        <w:t>号</w:t>
      </w:r>
    </w:p>
    <w:p>
      <w:pPr>
        <w:framePr w:w="3020" w:wrap="around" w:vAnchor="margin" w:hAnchor="text" w:x="7482"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办公地址：南京市鼓楼区中山</w:t>
      </w:r>
    </w:p>
    <w:p>
      <w:pPr>
        <w:framePr w:w="3020" w:wrap="around" w:vAnchor="margin" w:hAnchor="text" w:x="7482" w:y="7433"/>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 xml:space="preserve">北路 </w:t>
      </w:r>
      <w:r>
        <w:rPr>
          <w:rFonts w:ascii="Times New Roman"/>
          <w:color w:val="000000"/>
          <w:spacing w:val="0"/>
          <w:sz w:val="21"/>
        </w:rPr>
        <w:t>2</w:t>
      </w:r>
      <w:r>
        <w:rPr>
          <w:rFonts w:ascii="SKJVQB+å®ä½" w:hAnsi="SKJVQB+å®ä½" w:cs="SKJVQB+å®ä½"/>
          <w:color w:val="000000"/>
          <w:spacing w:val="0"/>
          <w:sz w:val="21"/>
        </w:rPr>
        <w:t xml:space="preserve">号绿地紫峰大厦  </w:t>
      </w:r>
      <w:r>
        <w:rPr>
          <w:rFonts w:ascii="Times New Roman"/>
          <w:color w:val="000000"/>
          <w:spacing w:val="0"/>
          <w:sz w:val="21"/>
        </w:rPr>
        <w:t xml:space="preserve"> 2005</w:t>
      </w:r>
    </w:p>
    <w:p>
      <w:pPr>
        <w:framePr w:w="3020" w:wrap="around" w:vAnchor="margin" w:hAnchor="text" w:x="7482" w:y="743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室</w:t>
      </w:r>
    </w:p>
    <w:p>
      <w:pPr>
        <w:framePr w:w="2209" w:wrap="around" w:vAnchor="margin" w:hAnchor="text" w:x="7482" w:y="899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法定代表人：吴言林</w:t>
      </w:r>
    </w:p>
    <w:p>
      <w:pPr>
        <w:framePr w:w="2209" w:wrap="around" w:vAnchor="margin" w:hAnchor="text" w:x="7482" w:y="8993"/>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联系人：林伊灵</w:t>
      </w:r>
    </w:p>
    <w:p>
      <w:pPr>
        <w:framePr w:w="2588" w:wrap="around" w:vAnchor="margin" w:hAnchor="text" w:x="7482" w:y="961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电话：</w:t>
      </w:r>
      <w:r>
        <w:rPr>
          <w:rFonts w:ascii="Times New Roman"/>
          <w:color w:val="000000"/>
          <w:spacing w:val="0"/>
          <w:sz w:val="21"/>
        </w:rPr>
        <w:t>025-66046166-810</w:t>
      </w:r>
    </w:p>
    <w:p>
      <w:pPr>
        <w:framePr w:w="2588" w:wrap="around" w:vAnchor="margin" w:hAnchor="text" w:x="7482" w:y="9611"/>
        <w:widowControl w:val="0"/>
        <w:autoSpaceDE w:val="0"/>
        <w:autoSpaceDN w:val="0"/>
        <w:spacing w:before="0" w:after="0" w:line="312" w:lineRule="exact"/>
        <w:ind w:left="0" w:right="0"/>
        <w:jc w:val="left"/>
        <w:rPr>
          <w:rFonts w:ascii="Times New Roman"/>
          <w:color w:val="000000"/>
          <w:spacing w:val="0"/>
          <w:sz w:val="21"/>
        </w:rPr>
      </w:pPr>
      <w:r>
        <w:rPr>
          <w:rFonts w:ascii="SKJVQB+å®ä½" w:hAnsi="SKJVQB+å®ä½" w:cs="SKJVQB+å®ä½"/>
          <w:color w:val="000000"/>
          <w:spacing w:val="0"/>
          <w:sz w:val="21"/>
        </w:rPr>
        <w:t>传真</w:t>
      </w:r>
      <w:r>
        <w:rPr>
          <w:rFonts w:ascii="Times New Roman"/>
          <w:color w:val="000000"/>
          <w:spacing w:val="0"/>
          <w:sz w:val="21"/>
        </w:rPr>
        <w:t>: 025-56878016</w:t>
      </w:r>
    </w:p>
    <w:p>
      <w:pPr>
        <w:framePr w:w="3104" w:wrap="around" w:vAnchor="margin" w:hAnchor="text" w:x="7482" w:y="10235"/>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客户服务电话：</w:t>
      </w:r>
      <w:r>
        <w:rPr>
          <w:rFonts w:ascii="Times New Roman"/>
          <w:color w:val="000000"/>
          <w:spacing w:val="0"/>
          <w:sz w:val="21"/>
        </w:rPr>
        <w:t>025-66046166</w:t>
      </w:r>
    </w:p>
    <w:p>
      <w:pPr>
        <w:framePr w:w="3104" w:wrap="around" w:vAnchor="margin" w:hAnchor="text" w:x="7482" w:y="10235"/>
        <w:widowControl w:val="0"/>
        <w:autoSpaceDE w:val="0"/>
        <w:autoSpaceDN w:val="0"/>
        <w:spacing w:before="0" w:after="0" w:line="313" w:lineRule="exact"/>
        <w:ind w:left="0" w:right="0"/>
        <w:jc w:val="left"/>
        <w:rPr>
          <w:rFonts w:ascii="Times New Roman"/>
          <w:color w:val="000000"/>
          <w:spacing w:val="0"/>
          <w:sz w:val="21"/>
        </w:rPr>
      </w:pPr>
      <w:r>
        <w:rPr>
          <w:rFonts w:ascii="SKJVQB+å®ä½" w:hAnsi="SKJVQB+å®ä½" w:cs="SKJVQB+å®ä½"/>
          <w:color w:val="000000"/>
          <w:spacing w:val="0"/>
          <w:sz w:val="21"/>
        </w:rPr>
        <w:t>网址：</w:t>
      </w:r>
      <w:r>
        <w:rPr>
          <w:rFonts w:ascii="Times New Roman"/>
          <w:color w:val="000000"/>
          <w:spacing w:val="0"/>
          <w:sz w:val="21"/>
        </w:rPr>
        <w:t>www.huilinbd.com</w:t>
      </w:r>
    </w:p>
    <w:p>
      <w:pPr>
        <w:framePr w:w="632" w:wrap="around" w:vAnchor="margin" w:hAnchor="text" w:x="4110" w:y="1086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127</w:t>
      </w:r>
    </w:p>
    <w:p>
      <w:pPr>
        <w:framePr w:w="6045" w:wrap="around" w:vAnchor="margin" w:hAnchor="text" w:x="4640" w:y="1087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本基金其他代销机构情况详见基金管理人发布的相关公告</w:t>
      </w:r>
    </w:p>
    <w:p>
      <w:pPr>
        <w:framePr w:w="1807" w:wrap="around" w:vAnchor="margin" w:hAnchor="text" w:x="1800" w:y="11629"/>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5.2</w:t>
      </w:r>
      <w:r>
        <w:rPr>
          <w:rFonts w:ascii="SKJVQB+å®ä½" w:hAnsi="SKJVQB+å®ä½" w:cs="SKJVQB+å®ä½"/>
          <w:color w:val="222222"/>
          <w:spacing w:val="0"/>
          <w:sz w:val="24"/>
        </w:rPr>
        <w:t>登记机构</w:t>
      </w:r>
    </w:p>
    <w:p>
      <w:pPr>
        <w:framePr w:w="8580" w:wrap="around" w:vAnchor="margin" w:hAnchor="text" w:x="2220" w:y="1221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名称：南方基金管理股份有限公司</w:t>
      </w:r>
    </w:p>
    <w:p>
      <w:pPr>
        <w:framePr w:w="8580" w:wrap="around" w:vAnchor="margin" w:hAnchor="text" w:x="2220" w:y="122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住所及办公地址：广东省深圳市福田区莲花街道益田路</w:t>
      </w:r>
      <w:r>
        <w:rPr>
          <w:rFonts w:ascii="GGHCMB+å®ä½"/>
          <w:color w:val="222222"/>
          <w:spacing w:val="0"/>
          <w:sz w:val="21"/>
        </w:rPr>
        <w:t>5999</w:t>
      </w:r>
      <w:r>
        <w:rPr>
          <w:rFonts w:ascii="SKJVQB+å®ä½" w:hAnsi="SKJVQB+å®ä½" w:cs="SKJVQB+å®ä½"/>
          <w:color w:val="222222"/>
          <w:spacing w:val="0"/>
          <w:sz w:val="21"/>
        </w:rPr>
        <w:t>号基金大厦</w:t>
      </w:r>
      <w:r>
        <w:rPr>
          <w:rFonts w:ascii="GGHCMB+å®ä½"/>
          <w:color w:val="222222"/>
          <w:spacing w:val="0"/>
          <w:sz w:val="21"/>
        </w:rPr>
        <w:t>32-42</w:t>
      </w:r>
      <w:r>
        <w:rPr>
          <w:rFonts w:ascii="SKJVQB+å®ä½" w:hAnsi="SKJVQB+å®ä½" w:cs="SKJVQB+å®ä½"/>
          <w:color w:val="222222"/>
          <w:spacing w:val="0"/>
          <w:sz w:val="21"/>
        </w:rPr>
        <w:t>楼</w:t>
      </w:r>
    </w:p>
    <w:p>
      <w:pPr>
        <w:framePr w:w="8580" w:wrap="around" w:vAnchor="margin" w:hAnchor="text" w:x="2220" w:y="1221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法定代表人：张海波</w:t>
      </w:r>
    </w:p>
    <w:p>
      <w:pPr>
        <w:framePr w:w="2664" w:wrap="around" w:vAnchor="margin" w:hAnchor="text" w:x="2220" w:y="13441"/>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电话：（</w:t>
      </w:r>
      <w:r>
        <w:rPr>
          <w:rFonts w:ascii="GGHCMB+å®ä½"/>
          <w:color w:val="222222"/>
          <w:spacing w:val="0"/>
          <w:sz w:val="21"/>
        </w:rPr>
        <w:t>0755</w:t>
      </w:r>
      <w:r>
        <w:rPr>
          <w:rFonts w:ascii="SKJVQB+å®ä½" w:hAnsi="SKJVQB+å®ä½" w:cs="SKJVQB+å®ä½"/>
          <w:color w:val="222222"/>
          <w:spacing w:val="0"/>
          <w:sz w:val="21"/>
        </w:rPr>
        <w:t>）</w:t>
      </w:r>
      <w:r>
        <w:rPr>
          <w:rFonts w:ascii="GGHCMB+å®ä½"/>
          <w:color w:val="222222"/>
          <w:spacing w:val="0"/>
          <w:sz w:val="21"/>
        </w:rPr>
        <w:t>82763849</w:t>
      </w:r>
    </w:p>
    <w:p>
      <w:pPr>
        <w:framePr w:w="2664" w:wrap="around" w:vAnchor="margin" w:hAnchor="text" w:x="2220" w:y="13850"/>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0755</w:t>
      </w:r>
      <w:r>
        <w:rPr>
          <w:rFonts w:ascii="SKJVQB+å®ä½" w:hAnsi="SKJVQB+å®ä½" w:cs="SKJVQB+å®ä½"/>
          <w:color w:val="222222"/>
          <w:spacing w:val="0"/>
          <w:sz w:val="21"/>
        </w:rPr>
        <w:t>）</w:t>
      </w:r>
      <w:r>
        <w:rPr>
          <w:rFonts w:ascii="GGHCMB+å®ä½"/>
          <w:color w:val="222222"/>
          <w:spacing w:val="0"/>
          <w:sz w:val="21"/>
        </w:rPr>
        <w:t>82763868</w:t>
      </w:r>
    </w:p>
    <w:p>
      <w:pPr>
        <w:framePr w:w="1789" w:wrap="around" w:vAnchor="margin" w:hAnchor="text" w:x="2220" w:y="1425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联系人：古和鹏</w:t>
      </w:r>
    </w:p>
    <w:p>
      <w:pPr>
        <w:framePr w:w="528" w:wrap="around" w:vAnchor="margin" w:hAnchor="text" w:x="9852"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111</w:t>
      </w:r>
    </w:p>
    <w:p>
      <w:pPr>
        <w:spacing w:before="0" w:after="0" w:line="0" w:lineRule="exact"/>
        <w:ind w:left="0" w:right="0"/>
        <w:jc w:val="left"/>
        <w:rPr>
          <w:rFonts w:ascii="Arial"/>
          <w:color w:val="FF0000"/>
          <w:spacing w:val="0"/>
          <w:sz w:val="2"/>
        </w:rPr>
      </w:pPr>
      <w:r>
        <w:pict>
          <v:shape id="_x0000229" o:spid="_x0000_s1255"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05" o:title=""/>
            <o:lock v:ext="edit" aspectratio="t"/>
          </v:shape>
        </w:pict>
      </w:r>
      <w:r>
        <w:pict>
          <v:shape id="_x0000230" o:spid="_x0000_s1256" o:spt="75" type="#_x0000_t75" style="position:absolute;left:0pt;margin-left:84.4pt;margin-top:71.1pt;height:486.2pt;width:426.7pt;mso-position-horizontal-relative:page;mso-position-vertical-relative:page;z-index:-1024;mso-width-relative:page;mso-height-relative:page;" filled="f" coordsize="21600,21600">
            <v:path/>
            <v:fill on="f" focussize="0,0"/>
            <v:stroke/>
            <v:imagedata r:id="rId206" o:title=""/>
            <o:lock v:ext="edit" aspectratio="t"/>
          </v:shape>
        </w:pict>
      </w:r>
      <w:r>
        <w:pict>
          <v:shape id="_x0000231" o:spid="_x0000_s1257" o:spt="75" type="#_x0000_t75" style="position:absolute;left:0pt;margin-left:88.6pt;margin-top:571.35pt;height:160.45pt;width:418.3pt;mso-position-horizontal-relative:page;mso-position-vertical-relative:page;z-index:-1024;mso-width-relative:page;mso-height-relative:page;" filled="f" coordsize="21600,21600">
            <v:path/>
            <v:fill on="f" focussize="0,0"/>
            <v:stroke/>
            <v:imagedata r:id="rId20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4158" w:wrap="around" w:vAnchor="margin" w:hAnchor="text" w:x="1800" w:y="1624"/>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5.3</w:t>
      </w:r>
      <w:r>
        <w:rPr>
          <w:rFonts w:ascii="SKJVQB+å®ä½" w:hAnsi="SKJVQB+å®ä½" w:cs="SKJVQB+å®ä½"/>
          <w:color w:val="222222"/>
          <w:spacing w:val="0"/>
          <w:sz w:val="24"/>
        </w:rPr>
        <w:t>出具法律意见书的律师事务所</w:t>
      </w:r>
    </w:p>
    <w:p>
      <w:pPr>
        <w:framePr w:w="2901" w:wrap="around" w:vAnchor="margin" w:hAnchor="text" w:x="2220" w:y="22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名称：广东华瀚律师事务所</w:t>
      </w:r>
    </w:p>
    <w:p>
      <w:pPr>
        <w:framePr w:w="7252" w:wrap="around" w:vAnchor="margin" w:hAnchor="text" w:x="2220" w:y="262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注册地址：深圳市罗湖区笋岗东路</w:t>
      </w:r>
      <w:r>
        <w:rPr>
          <w:rFonts w:ascii="GGHCMB+å®ä½"/>
          <w:color w:val="222222"/>
          <w:spacing w:val="0"/>
          <w:sz w:val="21"/>
        </w:rPr>
        <w:t>1002</w:t>
      </w:r>
      <w:r>
        <w:rPr>
          <w:rFonts w:ascii="SKJVQB+å®ä½" w:hAnsi="SKJVQB+å®ä½" w:cs="SKJVQB+å®ä½"/>
          <w:color w:val="222222"/>
          <w:spacing w:val="0"/>
          <w:sz w:val="21"/>
        </w:rPr>
        <w:t>号宝安广场</w:t>
      </w:r>
      <w:r>
        <w:rPr>
          <w:rFonts w:ascii="GGHCMB+å®ä½"/>
          <w:color w:val="222222"/>
          <w:spacing w:val="0"/>
          <w:sz w:val="21"/>
        </w:rPr>
        <w:t>A</w:t>
      </w:r>
      <w:r>
        <w:rPr>
          <w:rFonts w:ascii="SKJVQB+å®ä½" w:hAnsi="SKJVQB+å®ä½" w:cs="SKJVQB+å®ä½"/>
          <w:color w:val="222222"/>
          <w:spacing w:val="0"/>
          <w:sz w:val="21"/>
        </w:rPr>
        <w:t>座</w:t>
      </w:r>
      <w:r>
        <w:rPr>
          <w:rFonts w:ascii="GGHCMB+å®ä½"/>
          <w:color w:val="222222"/>
          <w:spacing w:val="0"/>
          <w:sz w:val="21"/>
        </w:rPr>
        <w:t>16</w:t>
      </w:r>
      <w:r>
        <w:rPr>
          <w:rFonts w:ascii="SKJVQB+å®ä½" w:hAnsi="SKJVQB+å®ä½" w:cs="SKJVQB+å®ä½"/>
          <w:color w:val="222222"/>
          <w:spacing w:val="0"/>
          <w:sz w:val="21"/>
        </w:rPr>
        <w:t>楼</w:t>
      </w:r>
      <w:r>
        <w:rPr>
          <w:rFonts w:ascii="GGHCMB+å®ä½"/>
          <w:color w:val="222222"/>
          <w:spacing w:val="0"/>
          <w:sz w:val="21"/>
        </w:rPr>
        <w:t>G.H</w:t>
      </w:r>
      <w:r>
        <w:rPr>
          <w:rFonts w:ascii="SKJVQB+å®ä½" w:hAnsi="SKJVQB+å®ä½" w:cs="SKJVQB+å®ä½"/>
          <w:color w:val="222222"/>
          <w:spacing w:val="0"/>
          <w:sz w:val="21"/>
        </w:rPr>
        <w:t>室</w:t>
      </w:r>
    </w:p>
    <w:p>
      <w:pPr>
        <w:framePr w:w="7252" w:wrap="around" w:vAnchor="margin" w:hAnchor="text" w:x="2220" w:y="262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负责人：李兆良</w:t>
      </w:r>
    </w:p>
    <w:p>
      <w:pPr>
        <w:framePr w:w="2421" w:wrap="around" w:vAnchor="margin" w:hAnchor="text" w:x="2220" w:y="3437"/>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电话：</w:t>
      </w:r>
      <w:r>
        <w:rPr>
          <w:rFonts w:ascii="GGHCMB+å®ä½"/>
          <w:color w:val="222222"/>
          <w:spacing w:val="0"/>
          <w:sz w:val="21"/>
        </w:rPr>
        <w:t>(0755)82687860</w:t>
      </w:r>
    </w:p>
    <w:p>
      <w:pPr>
        <w:framePr w:w="2421" w:wrap="around" w:vAnchor="margin" w:hAnchor="text" w:x="2220" w:y="3847"/>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(0755)82687861</w:t>
      </w:r>
    </w:p>
    <w:p>
      <w:pPr>
        <w:framePr w:w="2661" w:wrap="around" w:vAnchor="margin" w:hAnchor="text" w:x="2220" w:y="42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经办律师：杨忠、戴瑞冬</w:t>
      </w:r>
    </w:p>
    <w:p>
      <w:pPr>
        <w:framePr w:w="4158" w:wrap="around" w:vAnchor="margin" w:hAnchor="text" w:x="1800" w:y="5116"/>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5.4</w:t>
      </w:r>
      <w:r>
        <w:rPr>
          <w:rFonts w:ascii="SKJVQB+å®ä½" w:hAnsi="SKJVQB+å®ä½" w:cs="SKJVQB+å®ä½"/>
          <w:color w:val="222222"/>
          <w:spacing w:val="0"/>
          <w:sz w:val="24"/>
        </w:rPr>
        <w:t>审计基金财产的会计师事务所</w:t>
      </w:r>
    </w:p>
    <w:p>
      <w:pPr>
        <w:framePr w:w="7371" w:wrap="around" w:vAnchor="margin" w:hAnchor="text" w:x="2220" w:y="570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名称：普华永道中天会计师事务所（特殊普通合伙）</w:t>
      </w:r>
    </w:p>
    <w:p>
      <w:pPr>
        <w:framePr w:w="7371" w:wrap="around" w:vAnchor="margin" w:hAnchor="text" w:x="2220" w:y="570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住所：上海市浦东新区陆家嘴环路</w:t>
      </w:r>
      <w:r>
        <w:rPr>
          <w:rFonts w:ascii="GGHCMB+å®ä½"/>
          <w:color w:val="222222"/>
          <w:spacing w:val="0"/>
          <w:sz w:val="21"/>
        </w:rPr>
        <w:t>1318</w:t>
      </w:r>
      <w:r>
        <w:rPr>
          <w:rFonts w:ascii="SKJVQB+å®ä½" w:hAnsi="SKJVQB+å®ä½" w:cs="SKJVQB+å®ä½"/>
          <w:color w:val="222222"/>
          <w:spacing w:val="0"/>
          <w:sz w:val="21"/>
        </w:rPr>
        <w:t>号星展银行大厦</w:t>
      </w:r>
      <w:r>
        <w:rPr>
          <w:rFonts w:ascii="GGHCMB+å®ä½"/>
          <w:color w:val="222222"/>
          <w:spacing w:val="0"/>
          <w:sz w:val="21"/>
        </w:rPr>
        <w:t>6</w:t>
      </w:r>
      <w:r>
        <w:rPr>
          <w:rFonts w:ascii="SKJVQB+å®ä½" w:hAnsi="SKJVQB+å®ä½" w:cs="SKJVQB+å®ä½"/>
          <w:color w:val="222222"/>
          <w:spacing w:val="0"/>
          <w:sz w:val="21"/>
        </w:rPr>
        <w:t>楼</w:t>
      </w:r>
    </w:p>
    <w:p>
      <w:pPr>
        <w:framePr w:w="7371" w:wrap="around" w:vAnchor="margin" w:hAnchor="text" w:x="2220" w:y="570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办公地址：上海市湖滨路</w:t>
      </w:r>
      <w:r>
        <w:rPr>
          <w:rFonts w:ascii="GGHCMB+å®ä½"/>
          <w:color w:val="222222"/>
          <w:spacing w:val="0"/>
          <w:sz w:val="21"/>
        </w:rPr>
        <w:t>202</w:t>
      </w:r>
      <w:r>
        <w:rPr>
          <w:rFonts w:ascii="SKJVQB+å®ä½" w:hAnsi="SKJVQB+å®ä½" w:cs="SKJVQB+å®ä½"/>
          <w:color w:val="222222"/>
          <w:spacing w:val="0"/>
          <w:sz w:val="21"/>
        </w:rPr>
        <w:t>号领展企业广场</w:t>
      </w:r>
      <w:r>
        <w:rPr>
          <w:rFonts w:ascii="GGHCMB+å®ä½"/>
          <w:color w:val="222222"/>
          <w:spacing w:val="0"/>
          <w:sz w:val="21"/>
        </w:rPr>
        <w:t>2</w:t>
      </w:r>
      <w:r>
        <w:rPr>
          <w:rFonts w:ascii="SKJVQB+å®ä½" w:hAnsi="SKJVQB+å®ä½" w:cs="SKJVQB+å®ä½"/>
          <w:color w:val="222222"/>
          <w:spacing w:val="0"/>
          <w:sz w:val="21"/>
        </w:rPr>
        <w:t>座普华永道中心</w:t>
      </w:r>
      <w:r>
        <w:rPr>
          <w:rFonts w:ascii="GGHCMB+å®ä½"/>
          <w:color w:val="222222"/>
          <w:spacing w:val="0"/>
          <w:sz w:val="21"/>
        </w:rPr>
        <w:t>11</w:t>
      </w:r>
      <w:r>
        <w:rPr>
          <w:rFonts w:ascii="SKJVQB+å®ä½" w:hAnsi="SKJVQB+å®ä½" w:cs="SKJVQB+å®ä½"/>
          <w:color w:val="222222"/>
          <w:spacing w:val="0"/>
          <w:sz w:val="21"/>
        </w:rPr>
        <w:t>楼</w:t>
      </w:r>
    </w:p>
    <w:p>
      <w:pPr>
        <w:framePr w:w="7371" w:wrap="around" w:vAnchor="margin" w:hAnchor="text" w:x="2220" w:y="570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执行事务合伙人：李丹</w:t>
      </w:r>
    </w:p>
    <w:p>
      <w:pPr>
        <w:framePr w:w="1578" w:wrap="around" w:vAnchor="margin" w:hAnchor="text" w:x="2220" w:y="733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联系人：曹阳</w:t>
      </w:r>
    </w:p>
    <w:p>
      <w:pPr>
        <w:framePr w:w="2664" w:wrap="around" w:vAnchor="margin" w:hAnchor="text" w:x="2220" w:y="7745"/>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联系电话：</w:t>
      </w:r>
      <w:r>
        <w:rPr>
          <w:rFonts w:ascii="GGHCMB+å®ä½"/>
          <w:color w:val="222222"/>
          <w:spacing w:val="0"/>
          <w:sz w:val="21"/>
        </w:rPr>
        <w:t>021-23238888</w:t>
      </w:r>
    </w:p>
    <w:p>
      <w:pPr>
        <w:framePr w:w="2212" w:wrap="around" w:vAnchor="margin" w:hAnchor="text" w:x="2220" w:y="8156"/>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传真：</w:t>
      </w:r>
      <w:r>
        <w:rPr>
          <w:rFonts w:ascii="GGHCMB+å®ä½"/>
          <w:color w:val="222222"/>
          <w:spacing w:val="0"/>
          <w:sz w:val="21"/>
        </w:rPr>
        <w:t>021-23238800</w:t>
      </w:r>
    </w:p>
    <w:p>
      <w:pPr>
        <w:framePr w:w="3144" w:wrap="around" w:vAnchor="margin" w:hAnchor="text" w:x="2220" w:y="856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经办注册会计师：薛竞、曹阳</w:t>
      </w:r>
    </w:p>
    <w:p>
      <w:pPr>
        <w:framePr w:w="535" w:wrap="around" w:vAnchor="margin" w:hAnchor="text" w:x="9845"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112</w:t>
      </w:r>
    </w:p>
    <w:p>
      <w:pPr>
        <w:spacing w:before="0" w:after="0" w:line="0" w:lineRule="exact"/>
        <w:ind w:left="0" w:right="0"/>
        <w:jc w:val="left"/>
        <w:rPr>
          <w:rFonts w:ascii="Arial"/>
          <w:color w:val="FF0000"/>
          <w:spacing w:val="0"/>
          <w:sz w:val="2"/>
        </w:rPr>
      </w:pPr>
      <w:r>
        <w:pict>
          <v:shape id="_x0000232" o:spid="_x0000_s1258"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08" o:title=""/>
            <o:lock v:ext="edit" aspectratio="t"/>
          </v:shape>
        </w:pict>
      </w:r>
      <w:r>
        <w:pict>
          <v:shape id="_x0000233" o:spid="_x0000_s1259" o:spt="75" type="#_x0000_t75" style="position:absolute;left:0pt;margin-left:88.6pt;margin-top:71.1pt;height:376.05pt;width:418.3pt;mso-position-horizontal-relative:page;mso-position-vertical-relative:page;z-index:-1024;mso-width-relative:page;mso-height-relative:page;" filled="f" coordsize="21600,21600">
            <v:path/>
            <v:fill on="f" focussize="0,0"/>
            <v:stroke/>
            <v:imagedata r:id="rId20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388" w:wrap="around" w:vAnchor="margin" w:hAnchor="text" w:x="4969"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6</w:t>
      </w:r>
      <w:r>
        <w:rPr>
          <w:rFonts w:ascii="SKJVQB+å®ä½" w:hAnsi="SKJVQB+å®ä½" w:cs="SKJVQB+å®ä½"/>
          <w:color w:val="222222"/>
          <w:spacing w:val="0"/>
          <w:sz w:val="28"/>
        </w:rPr>
        <w:t>基金的募集</w:t>
      </w:r>
    </w:p>
    <w:p>
      <w:pPr>
        <w:framePr w:w="9560" w:wrap="around" w:vAnchor="margin" w:hAnchor="text" w:x="1800" w:y="23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本基金由基金管理人依照《基金法》、《运作办法》、《销售办法》、基金合同及其他</w:t>
      </w:r>
    </w:p>
    <w:p>
      <w:pPr>
        <w:framePr w:w="9560" w:wrap="around" w:vAnchor="margin" w:hAnchor="text" w:x="1800" w:y="2357"/>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有关规定，并经中国证监会</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1</w:t>
      </w:r>
      <w:r>
        <w:rPr>
          <w:rFonts w:ascii="SKJVQB+å®ä½" w:hAnsi="SKJVQB+å®ä½" w:cs="SKJVQB+å®ä½"/>
          <w:color w:val="222222"/>
          <w:spacing w:val="0"/>
          <w:sz w:val="21"/>
        </w:rPr>
        <w:t>月</w:t>
      </w:r>
      <w:r>
        <w:rPr>
          <w:rFonts w:ascii="GGHCMB+å®ä½"/>
          <w:color w:val="222222"/>
          <w:spacing w:val="0"/>
          <w:sz w:val="21"/>
        </w:rPr>
        <w:t>4</w:t>
      </w:r>
      <w:r>
        <w:rPr>
          <w:rFonts w:ascii="SKJVQB+å®ä½" w:hAnsi="SKJVQB+å®ä½" w:cs="SKJVQB+å®ä½"/>
          <w:color w:val="222222"/>
          <w:spacing w:val="0"/>
          <w:sz w:val="21"/>
        </w:rPr>
        <w:t>日证监许可</w:t>
      </w:r>
      <w:r>
        <w:rPr>
          <w:rFonts w:ascii="GGHCMB+å®ä½"/>
          <w:color w:val="222222"/>
          <w:spacing w:val="0"/>
          <w:sz w:val="21"/>
        </w:rPr>
        <w:t>[2015]7</w:t>
      </w:r>
      <w:r>
        <w:rPr>
          <w:rFonts w:ascii="SKJVQB+å®ä½" w:hAnsi="SKJVQB+å®ä½" w:cs="SKJVQB+å®ä½"/>
          <w:color w:val="222222"/>
          <w:spacing w:val="0"/>
          <w:sz w:val="21"/>
        </w:rPr>
        <w:t>号文注册募集。募集期自</w:t>
      </w:r>
      <w:r>
        <w:rPr>
          <w:rFonts w:ascii="GGHCMB+å®ä½"/>
          <w:color w:val="222222"/>
          <w:spacing w:val="0"/>
          <w:sz w:val="21"/>
        </w:rPr>
        <w:t>2015</w:t>
      </w:r>
    </w:p>
    <w:p>
      <w:pPr>
        <w:framePr w:w="9560" w:wrap="around" w:vAnchor="margin" w:hAnchor="text" w:x="1800" w:y="2357"/>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年</w:t>
      </w:r>
      <w:r>
        <w:rPr>
          <w:rFonts w:ascii="GGHCMB+å®ä½"/>
          <w:color w:val="222222"/>
          <w:spacing w:val="0"/>
          <w:sz w:val="21"/>
        </w:rPr>
        <w:t>1</w:t>
      </w:r>
      <w:r>
        <w:rPr>
          <w:rFonts w:ascii="SKJVQB+å®ä½" w:hAnsi="SKJVQB+å®ä½" w:cs="SKJVQB+å®ä½"/>
          <w:color w:val="222222"/>
          <w:spacing w:val="0"/>
          <w:sz w:val="21"/>
        </w:rPr>
        <w:t>月</w:t>
      </w:r>
      <w:r>
        <w:rPr>
          <w:rFonts w:ascii="GGHCMB+å®ä½"/>
          <w:color w:val="222222"/>
          <w:spacing w:val="0"/>
          <w:sz w:val="21"/>
        </w:rPr>
        <w:t>20</w:t>
      </w:r>
      <w:r>
        <w:rPr>
          <w:rFonts w:ascii="SKJVQB+å®ä½" w:hAnsi="SKJVQB+å®ä½" w:cs="SKJVQB+å®ä½"/>
          <w:color w:val="222222"/>
          <w:spacing w:val="0"/>
          <w:sz w:val="21"/>
        </w:rPr>
        <w:t xml:space="preserve">日至  </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6</w:t>
      </w:r>
      <w:r>
        <w:rPr>
          <w:rFonts w:ascii="SKJVQB+å®ä½" w:hAnsi="SKJVQB+å®ä½" w:cs="SKJVQB+å®ä½"/>
          <w:color w:val="222222"/>
          <w:spacing w:val="0"/>
          <w:sz w:val="21"/>
        </w:rPr>
        <w:t>日，共募集</w:t>
      </w:r>
      <w:r>
        <w:rPr>
          <w:rFonts w:ascii="GGHCMB+å®ä½"/>
          <w:color w:val="222222"/>
          <w:spacing w:val="0"/>
          <w:sz w:val="21"/>
        </w:rPr>
        <w:t>1,343,435,428.08</w:t>
      </w:r>
      <w:r>
        <w:rPr>
          <w:rFonts w:ascii="SKJVQB+å®ä½" w:hAnsi="SKJVQB+å®ä½" w:cs="SKJVQB+å®ä½"/>
          <w:color w:val="222222"/>
          <w:spacing w:val="0"/>
          <w:sz w:val="21"/>
        </w:rPr>
        <w:t>份基金份额，募集户数为</w:t>
      </w:r>
      <w:r>
        <w:rPr>
          <w:rFonts w:ascii="GGHCMB+å®ä½"/>
          <w:color w:val="222222"/>
          <w:spacing w:val="0"/>
          <w:sz w:val="21"/>
        </w:rPr>
        <w:t>10760</w:t>
      </w:r>
    </w:p>
    <w:p>
      <w:pPr>
        <w:framePr w:w="9560"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户。</w:t>
      </w:r>
    </w:p>
    <w:p>
      <w:pPr>
        <w:framePr w:w="5802" w:wrap="around" w:vAnchor="margin" w:hAnchor="text" w:x="2220" w:y="399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本基金为契约型开放式基金。基金存续期限为不定期。</w:t>
      </w:r>
    </w:p>
    <w:p>
      <w:pPr>
        <w:framePr w:w="535" w:wrap="around" w:vAnchor="margin" w:hAnchor="text" w:x="9845"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113</w:t>
      </w:r>
    </w:p>
    <w:p>
      <w:pPr>
        <w:spacing w:before="0" w:after="0" w:line="0" w:lineRule="exact"/>
        <w:ind w:left="0" w:right="0"/>
        <w:jc w:val="left"/>
        <w:rPr>
          <w:rFonts w:ascii="Arial"/>
          <w:color w:val="FF0000"/>
          <w:spacing w:val="0"/>
          <w:sz w:val="2"/>
        </w:rPr>
      </w:pPr>
      <w:r>
        <w:pict>
          <v:shape id="_x0000234" o:spid="_x0000_s126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10" o:title=""/>
            <o:lock v:ext="edit" aspectratio="t"/>
          </v:shape>
        </w:pict>
      </w:r>
      <w:r>
        <w:pict>
          <v:shape id="_x0000235" o:spid="_x0000_s1261" o:spt="75" type="#_x0000_t75" style="position:absolute;left:0pt;margin-left:88.6pt;margin-top:71.1pt;height:147.4pt;width:418.3pt;mso-position-horizontal-relative:page;mso-position-vertical-relative:page;z-index:-1024;mso-width-relative:page;mso-height-relative:page;" filled="f" coordsize="21600,21600">
            <v:path/>
            <v:fill on="f" focussize="0,0"/>
            <v:stroke/>
            <v:imagedata r:id="rId21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950" w:wrap="around" w:vAnchor="margin" w:hAnchor="text" w:x="4688"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7</w:t>
      </w:r>
      <w:r>
        <w:rPr>
          <w:rFonts w:ascii="SKJVQB+å®ä½" w:hAnsi="SKJVQB+å®ä½" w:cs="SKJVQB+å®ä½"/>
          <w:color w:val="222222"/>
          <w:spacing w:val="0"/>
          <w:sz w:val="28"/>
        </w:rPr>
        <w:t>基金合同的生效</w:t>
      </w:r>
    </w:p>
    <w:p>
      <w:pPr>
        <w:framePr w:w="2209"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一、基金备案的条件</w:t>
      </w:r>
    </w:p>
    <w:p>
      <w:pPr>
        <w:framePr w:w="9560" w:wrap="around" w:vAnchor="margin" w:hAnchor="text" w:x="1800" w:y="276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本基金自基金份额发售之日起</w:t>
      </w:r>
      <w:r>
        <w:rPr>
          <w:rFonts w:ascii="GGHCMB+å®ä½"/>
          <w:color w:val="222222"/>
          <w:spacing w:val="0"/>
          <w:sz w:val="21"/>
        </w:rPr>
        <w:t>3</w:t>
      </w:r>
      <w:r>
        <w:rPr>
          <w:rFonts w:ascii="SKJVQB+å®ä½" w:hAnsi="SKJVQB+å®ä½" w:cs="SKJVQB+å®ä½"/>
          <w:color w:val="222222"/>
          <w:spacing w:val="0"/>
          <w:sz w:val="21"/>
        </w:rPr>
        <w:t>个月内，在基金募集份额总额不少于</w:t>
      </w:r>
      <w:r>
        <w:rPr>
          <w:rFonts w:ascii="GGHCMB+å®ä½"/>
          <w:color w:val="222222"/>
          <w:spacing w:val="0"/>
          <w:sz w:val="21"/>
        </w:rPr>
        <w:t>2</w:t>
      </w:r>
      <w:r>
        <w:rPr>
          <w:rFonts w:ascii="SKJVQB+å®ä½" w:hAnsi="SKJVQB+å®ä½" w:cs="SKJVQB+å®ä½"/>
          <w:color w:val="222222"/>
          <w:spacing w:val="0"/>
          <w:sz w:val="21"/>
        </w:rPr>
        <w:t>亿份，基金募集</w:t>
      </w:r>
    </w:p>
    <w:p>
      <w:pPr>
        <w:framePr w:w="9560" w:wrap="around" w:vAnchor="margin" w:hAnchor="text" w:x="1800" w:y="276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金额不少于</w:t>
      </w:r>
      <w:r>
        <w:rPr>
          <w:rFonts w:ascii="GGHCMB+å®ä½"/>
          <w:color w:val="222222"/>
          <w:spacing w:val="0"/>
          <w:sz w:val="21"/>
        </w:rPr>
        <w:t>2</w:t>
      </w:r>
      <w:r>
        <w:rPr>
          <w:rFonts w:ascii="SKJVQB+å®ä½" w:hAnsi="SKJVQB+å®ä½" w:cs="SKJVQB+å®ä½"/>
          <w:color w:val="222222"/>
          <w:spacing w:val="0"/>
          <w:sz w:val="21"/>
        </w:rPr>
        <w:t>亿元人民币且基金认购户数不少于</w:t>
      </w:r>
      <w:r>
        <w:rPr>
          <w:rFonts w:ascii="GGHCMB+å®ä½"/>
          <w:color w:val="222222"/>
          <w:spacing w:val="0"/>
          <w:sz w:val="21"/>
        </w:rPr>
        <w:t>200</w:t>
      </w:r>
      <w:r>
        <w:rPr>
          <w:rFonts w:ascii="SKJVQB+å®ä½" w:hAnsi="SKJVQB+å®ä½" w:cs="SKJVQB+å®ä½"/>
          <w:color w:val="222222"/>
          <w:spacing w:val="0"/>
          <w:sz w:val="21"/>
        </w:rPr>
        <w:t>户的条件下，基金管理人依据法律法规</w:t>
      </w:r>
    </w:p>
    <w:p>
      <w:pPr>
        <w:framePr w:w="9560" w:wrap="around" w:vAnchor="margin" w:hAnchor="text" w:x="1800" w:y="276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及招募说明书可以决定停止基金发售，并在</w:t>
      </w:r>
      <w:r>
        <w:rPr>
          <w:rFonts w:ascii="GGHCMB+å®ä½"/>
          <w:color w:val="222222"/>
          <w:spacing w:val="0"/>
          <w:sz w:val="21"/>
        </w:rPr>
        <w:t>10</w:t>
      </w:r>
      <w:r>
        <w:rPr>
          <w:rFonts w:ascii="SKJVQB+å®ä½" w:hAnsi="SKJVQB+å®ä½" w:cs="SKJVQB+å®ä½"/>
          <w:color w:val="222222"/>
          <w:spacing w:val="0"/>
          <w:sz w:val="21"/>
        </w:rPr>
        <w:t>日内聘请法定验资机构验资，自收到验资报</w:t>
      </w:r>
    </w:p>
    <w:p>
      <w:pPr>
        <w:framePr w:w="9560" w:wrap="around" w:vAnchor="margin" w:hAnchor="text" w:x="1800" w:y="276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告之日起</w:t>
      </w:r>
      <w:r>
        <w:rPr>
          <w:rFonts w:ascii="GGHCMB+å®ä½"/>
          <w:color w:val="222222"/>
          <w:spacing w:val="0"/>
          <w:sz w:val="21"/>
        </w:rPr>
        <w:t>10</w:t>
      </w:r>
      <w:r>
        <w:rPr>
          <w:rFonts w:ascii="SKJVQB+å®ä½" w:hAnsi="SKJVQB+å®ä½" w:cs="SKJVQB+å®ä½"/>
          <w:color w:val="222222"/>
          <w:spacing w:val="0"/>
          <w:sz w:val="21"/>
        </w:rPr>
        <w:t>日内，向中国证监会办理基金备案手续。</w:t>
      </w:r>
    </w:p>
    <w:p>
      <w:pPr>
        <w:framePr w:w="2209" w:wrap="around" w:vAnchor="margin" w:hAnchor="text" w:x="2220" w:y="439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二、基金合同的生效</w:t>
      </w:r>
    </w:p>
    <w:p>
      <w:pPr>
        <w:framePr w:w="9559" w:wrap="around" w:vAnchor="margin" w:hAnchor="text" w:x="1800" w:y="48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本基金合同于</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2</w:t>
      </w:r>
      <w:r>
        <w:rPr>
          <w:rFonts w:ascii="SKJVQB+å®ä½" w:hAnsi="SKJVQB+å®ä½" w:cs="SKJVQB+å®ä½"/>
          <w:color w:val="222222"/>
          <w:spacing w:val="0"/>
          <w:sz w:val="21"/>
        </w:rPr>
        <w:t>月</w:t>
      </w:r>
      <w:r>
        <w:rPr>
          <w:rFonts w:ascii="GGHCMB+å®ä½"/>
          <w:color w:val="222222"/>
          <w:spacing w:val="0"/>
          <w:sz w:val="21"/>
        </w:rPr>
        <w:t>10</w:t>
      </w:r>
      <w:r>
        <w:rPr>
          <w:rFonts w:ascii="SKJVQB+å®ä½" w:hAnsi="SKJVQB+å®ä½" w:cs="SKJVQB+å®ä½"/>
          <w:color w:val="222222"/>
          <w:spacing w:val="0"/>
          <w:sz w:val="21"/>
        </w:rPr>
        <w:t>日正式生效。自基金合同生效日起，本基金管理人正式开</w:t>
      </w:r>
    </w:p>
    <w:p>
      <w:pPr>
        <w:framePr w:w="9559" w:wrap="around" w:vAnchor="margin" w:hAnchor="text" w:x="1800" w:y="48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始管理本基金。</w:t>
      </w:r>
    </w:p>
    <w:p>
      <w:pPr>
        <w:framePr w:w="5560" w:wrap="around" w:vAnchor="margin" w:hAnchor="text" w:x="2220" w:y="562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三、基金存续期内的基金份额持有人数量和资产规模</w:t>
      </w:r>
    </w:p>
    <w:p>
      <w:pPr>
        <w:framePr w:w="9560" w:wrap="around" w:vAnchor="margin" w:hAnchor="text" w:x="1800" w:y="603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《基金合同》生效后，连续</w:t>
      </w:r>
      <w:r>
        <w:rPr>
          <w:rFonts w:ascii="GGHCMB+å®ä½"/>
          <w:color w:val="222222"/>
          <w:spacing w:val="0"/>
          <w:sz w:val="21"/>
        </w:rPr>
        <w:t>20</w:t>
      </w:r>
      <w:r>
        <w:rPr>
          <w:rFonts w:ascii="SKJVQB+å®ä½" w:hAnsi="SKJVQB+å®ä½" w:cs="SKJVQB+å®ä½"/>
          <w:color w:val="222222"/>
          <w:spacing w:val="0"/>
          <w:sz w:val="21"/>
        </w:rPr>
        <w:t>工作日出现基金份额持有人数量不超过</w:t>
      </w:r>
      <w:r>
        <w:rPr>
          <w:rFonts w:ascii="GGHCMB+å®ä½"/>
          <w:color w:val="222222"/>
          <w:spacing w:val="0"/>
          <w:sz w:val="21"/>
        </w:rPr>
        <w:t>200</w:t>
      </w:r>
      <w:r>
        <w:rPr>
          <w:rFonts w:ascii="SKJVQB+å®ä½" w:hAnsi="SKJVQB+å®ä½" w:cs="SKJVQB+å®ä½"/>
          <w:color w:val="222222"/>
          <w:spacing w:val="0"/>
          <w:sz w:val="21"/>
        </w:rPr>
        <w:t>人或者基金</w:t>
      </w:r>
    </w:p>
    <w:p>
      <w:pPr>
        <w:framePr w:w="9560" w:wrap="around" w:vAnchor="margin" w:hAnchor="text" w:x="1800" w:y="60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资产净值低于</w:t>
      </w:r>
      <w:r>
        <w:rPr>
          <w:rFonts w:ascii="GGHCMB+å®ä½"/>
          <w:color w:val="222222"/>
          <w:spacing w:val="0"/>
          <w:sz w:val="21"/>
        </w:rPr>
        <w:t>5000</w:t>
      </w:r>
      <w:r>
        <w:rPr>
          <w:rFonts w:ascii="SKJVQB+å®ä½" w:hAnsi="SKJVQB+å®ä½" w:cs="SKJVQB+å®ä½"/>
          <w:color w:val="222222"/>
          <w:spacing w:val="0"/>
          <w:sz w:val="21"/>
        </w:rPr>
        <w:t>万元情形的，基金管理人应当在定期报告中予以披露；连续</w:t>
      </w:r>
      <w:r>
        <w:rPr>
          <w:rFonts w:ascii="GGHCMB+å®ä½"/>
          <w:color w:val="222222"/>
          <w:spacing w:val="0"/>
          <w:sz w:val="21"/>
        </w:rPr>
        <w:t>60</w:t>
      </w:r>
      <w:r>
        <w:rPr>
          <w:rFonts w:ascii="SKJVQB+å®ä½" w:hAnsi="SKJVQB+å®ä½" w:cs="SKJVQB+å®ä½"/>
          <w:color w:val="222222"/>
          <w:spacing w:val="0"/>
          <w:sz w:val="21"/>
        </w:rPr>
        <w:t>个工作日</w:t>
      </w:r>
    </w:p>
    <w:p>
      <w:pPr>
        <w:framePr w:w="9560" w:wrap="around" w:vAnchor="margin" w:hAnchor="text" w:x="1800" w:y="60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出现前述情形的，基金管理人应当向中国证监会报告并提出解决方案，如转换运作方式、</w:t>
      </w:r>
    </w:p>
    <w:p>
      <w:pPr>
        <w:framePr w:w="9560" w:wrap="around" w:vAnchor="margin" w:hAnchor="text" w:x="1800" w:y="60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与其他基金合并或者终止基金合同等，并召开基金份额持有人大会进行表决。</w:t>
      </w:r>
    </w:p>
    <w:p>
      <w:pPr>
        <w:framePr w:w="9560" w:wrap="around" w:vAnchor="margin" w:hAnchor="text" w:x="1800" w:y="603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法律法规或中国证监会另有规定时，从其规定。</w:t>
      </w:r>
    </w:p>
    <w:p>
      <w:pPr>
        <w:framePr w:w="535" w:wrap="around" w:vAnchor="margin" w:hAnchor="text" w:x="9845"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114</w:t>
      </w:r>
    </w:p>
    <w:p>
      <w:pPr>
        <w:spacing w:before="0" w:after="0" w:line="0" w:lineRule="exact"/>
        <w:ind w:left="0" w:right="0"/>
        <w:jc w:val="left"/>
        <w:rPr>
          <w:rFonts w:ascii="Arial"/>
          <w:color w:val="FF0000"/>
          <w:spacing w:val="0"/>
          <w:sz w:val="2"/>
        </w:rPr>
      </w:pPr>
      <w:r>
        <w:pict>
          <v:shape id="_x0000236" o:spid="_x0000_s1262"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12" o:title=""/>
            <o:lock v:ext="edit" aspectratio="t"/>
          </v:shape>
        </w:pict>
      </w:r>
      <w:r>
        <w:pict>
          <v:shape id="_x0000237" o:spid="_x0000_s1263" o:spt="75" type="#_x0000_t75" style="position:absolute;left:0pt;margin-left:88.6pt;margin-top:71.1pt;height:331.25pt;width:418.3pt;mso-position-horizontal-relative:page;mso-position-vertical-relative:page;z-index:-1024;mso-width-relative:page;mso-height-relative:page;" filled="f" coordsize="21600,21600">
            <v:path/>
            <v:fill on="f" focussize="0,0"/>
            <v:stroke/>
            <v:imagedata r:id="rId21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880" w:wrap="around" w:vAnchor="margin" w:hAnchor="text" w:x="4266"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8</w:t>
      </w:r>
      <w:r>
        <w:rPr>
          <w:rFonts w:ascii="SKJVQB+å®ä½" w:hAnsi="SKJVQB+å®ä½" w:cs="SKJVQB+å®ä½"/>
          <w:color w:val="222222"/>
          <w:spacing w:val="0"/>
          <w:sz w:val="28"/>
        </w:rPr>
        <w:t>基金份额的申购和赎回</w:t>
      </w:r>
    </w:p>
    <w:p>
      <w:pPr>
        <w:framePr w:w="2529" w:wrap="around" w:vAnchor="margin" w:hAnchor="text" w:x="1800" w:y="253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8.1</w:t>
      </w:r>
      <w:r>
        <w:rPr>
          <w:rFonts w:ascii="SKJVQB+å®ä½" w:hAnsi="SKJVQB+å®ä½" w:cs="SKJVQB+å®ä½"/>
          <w:color w:val="222222"/>
          <w:spacing w:val="0"/>
          <w:sz w:val="24"/>
        </w:rPr>
        <w:t>申购与赎回场所</w:t>
      </w:r>
    </w:p>
    <w:p>
      <w:pPr>
        <w:framePr w:w="9553" w:wrap="around" w:vAnchor="margin" w:hAnchor="text" w:x="1800" w:y="311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本基金的申购与赎回将通过销售机构进行。具体的销售机构将由基金管理人在招募说</w:t>
      </w:r>
    </w:p>
    <w:p>
      <w:pPr>
        <w:framePr w:w="9553" w:wrap="around" w:vAnchor="margin" w:hAnchor="text" w:x="1800" w:y="311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明书中或指定网站上列明。基金管理人可根据情况变更或增减销售机构。基金投资人应当</w:t>
      </w:r>
    </w:p>
    <w:p>
      <w:pPr>
        <w:framePr w:w="9553" w:wrap="around" w:vAnchor="margin" w:hAnchor="text" w:x="1800" w:y="31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在销售机构办理基金销售业务的营业场所或按销售机构提供的其他方式办理基金份额的申</w:t>
      </w:r>
    </w:p>
    <w:p>
      <w:pPr>
        <w:framePr w:w="9553" w:wrap="around" w:vAnchor="margin" w:hAnchor="text" w:x="1800" w:y="3115"/>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购与赎回。若基金管理人或其指定的销售机构开通电话、传真或网上等交易方式，投资人</w:t>
      </w:r>
    </w:p>
    <w:p>
      <w:pPr>
        <w:framePr w:w="9553" w:wrap="around" w:vAnchor="margin" w:hAnchor="text" w:x="1800" w:y="31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可以通过上述方式进行申购与赎回。</w:t>
      </w:r>
    </w:p>
    <w:p>
      <w:pPr>
        <w:framePr w:w="3882" w:wrap="around" w:vAnchor="margin" w:hAnchor="text" w:x="1800" w:y="561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8.2</w:t>
      </w:r>
      <w:r>
        <w:rPr>
          <w:rFonts w:ascii="SKJVQB+å®ä½" w:hAnsi="SKJVQB+å®ä½" w:cs="SKJVQB+å®ä½"/>
          <w:color w:val="222222"/>
          <w:spacing w:val="0"/>
          <w:sz w:val="24"/>
        </w:rPr>
        <w:t>申购与赎回的开放日及时间</w:t>
      </w:r>
    </w:p>
    <w:p>
      <w:pPr>
        <w:framePr w:w="2312" w:wrap="around" w:vAnchor="margin" w:hAnchor="text" w:x="2220" w:y="619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、开放日及开放时间</w:t>
      </w:r>
    </w:p>
    <w:p>
      <w:pPr>
        <w:framePr w:w="9553" w:wrap="around" w:vAnchor="margin" w:hAnchor="text" w:x="1800" w:y="66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投资人在开放日办理基金份额的申购和赎回，具体办理时间为上海证券交易所、深圳</w:t>
      </w:r>
    </w:p>
    <w:p>
      <w:pPr>
        <w:framePr w:w="9553" w:wrap="around" w:vAnchor="margin" w:hAnchor="text" w:x="1800" w:y="66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证券交易所的正常交易日的交易时间，但基金管理人根据法律法规、中国证监会的要求或</w:t>
      </w:r>
    </w:p>
    <w:p>
      <w:pPr>
        <w:framePr w:w="9553" w:wrap="around" w:vAnchor="margin" w:hAnchor="text" w:x="1800" w:y="66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本基金合同的规定公告暂停申购、赎回时除外。</w:t>
      </w:r>
    </w:p>
    <w:p>
      <w:pPr>
        <w:framePr w:w="9553" w:wrap="around" w:vAnchor="margin" w:hAnchor="text" w:x="1800" w:y="783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基金合同生效后，若出现新的证券交易市场、证券交易所交易时间变更或其他特殊情</w:t>
      </w:r>
    </w:p>
    <w:p>
      <w:pPr>
        <w:framePr w:w="9553" w:wrap="around" w:vAnchor="margin" w:hAnchor="text" w:x="1800" w:y="78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况，基金管理人将视情况对前述开放日及开放时间进行相应的调整，但应在实施日前依照</w:t>
      </w:r>
    </w:p>
    <w:p>
      <w:pPr>
        <w:framePr w:w="9553" w:wrap="around" w:vAnchor="margin" w:hAnchor="text" w:x="1800" w:y="78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《信息披露办法》的有关规定在指定媒介上公告。</w:t>
      </w:r>
    </w:p>
    <w:p>
      <w:pPr>
        <w:framePr w:w="3989" w:wrap="around" w:vAnchor="margin" w:hAnchor="text" w:x="2220" w:y="905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、申购、赎回开始日及业务办理时间</w:t>
      </w:r>
    </w:p>
    <w:p>
      <w:pPr>
        <w:framePr w:w="9557" w:wrap="around" w:vAnchor="margin" w:hAnchor="text" w:x="1800" w:y="946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基金管理人自基金合同生效之日起不超过 </w:t>
      </w:r>
      <w:r>
        <w:rPr>
          <w:rFonts w:ascii="GGHCMB+å®ä½"/>
          <w:color w:val="222222"/>
          <w:spacing w:val="0"/>
          <w:sz w:val="21"/>
        </w:rPr>
        <w:t>3</w:t>
      </w:r>
      <w:r>
        <w:rPr>
          <w:rFonts w:ascii="SKJVQB+å®ä½" w:hAnsi="SKJVQB+å®ä½" w:cs="SKJVQB+å®ä½"/>
          <w:color w:val="222222"/>
          <w:spacing w:val="0"/>
          <w:sz w:val="21"/>
        </w:rPr>
        <w:t>个月开始办理申购，具体业务办理时间在</w:t>
      </w:r>
    </w:p>
    <w:p>
      <w:pPr>
        <w:framePr w:w="9557" w:wrap="around" w:vAnchor="margin" w:hAnchor="text" w:x="1800" w:y="946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申购开始公告中规定。</w:t>
      </w:r>
    </w:p>
    <w:p>
      <w:pPr>
        <w:framePr w:w="9557" w:wrap="around" w:vAnchor="margin" w:hAnchor="text" w:x="1800" w:y="1028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基金管理人自基金合同生效之日起不超过 </w:t>
      </w:r>
      <w:r>
        <w:rPr>
          <w:rFonts w:ascii="GGHCMB+å®ä½"/>
          <w:color w:val="222222"/>
          <w:spacing w:val="0"/>
          <w:sz w:val="21"/>
        </w:rPr>
        <w:t>3</w:t>
      </w:r>
      <w:r>
        <w:rPr>
          <w:rFonts w:ascii="SKJVQB+å®ä½" w:hAnsi="SKJVQB+å®ä½" w:cs="SKJVQB+å®ä½"/>
          <w:color w:val="222222"/>
          <w:spacing w:val="0"/>
          <w:sz w:val="21"/>
        </w:rPr>
        <w:t>个月开始办理赎回，具体业务办理时间在</w:t>
      </w:r>
    </w:p>
    <w:p>
      <w:pPr>
        <w:framePr w:w="9557" w:wrap="around" w:vAnchor="margin" w:hAnchor="text" w:x="1800" w:y="10285"/>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赎回开始公告中规定。</w:t>
      </w:r>
    </w:p>
    <w:p>
      <w:pPr>
        <w:framePr w:w="9559" w:wrap="around" w:vAnchor="margin" w:hAnchor="text" w:x="1800" w:y="1110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在确定申购开始与赎回开始时间后，基金管理人应在申购、赎回开放日前依照《信息披</w:t>
      </w:r>
    </w:p>
    <w:p>
      <w:pPr>
        <w:framePr w:w="9559" w:wrap="around" w:vAnchor="margin" w:hAnchor="text" w:x="1800" w:y="1110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露办法》的有关规定在指定媒介上公告申购与赎回的开始时间。</w:t>
      </w:r>
    </w:p>
    <w:p>
      <w:pPr>
        <w:framePr w:w="9559" w:wrap="around" w:vAnchor="margin" w:hAnchor="text" w:x="1800" w:y="1110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本基金已于</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20</w:t>
      </w:r>
      <w:r>
        <w:rPr>
          <w:rFonts w:ascii="SKJVQB+å®ä½" w:hAnsi="SKJVQB+å®ä½" w:cs="SKJVQB+å®ä½"/>
          <w:color w:val="222222"/>
          <w:spacing w:val="0"/>
          <w:sz w:val="21"/>
        </w:rPr>
        <w:t>日开放日常申购赎回业务。</w:t>
      </w:r>
    </w:p>
    <w:p>
      <w:pPr>
        <w:framePr w:w="9553" w:wrap="around" w:vAnchor="margin" w:hAnchor="text" w:x="1800" w:y="1232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基金管理人不得在基金合同约定之外的日期或者时间办理基金份额的申购或者赎回或</w:t>
      </w:r>
    </w:p>
    <w:p>
      <w:pPr>
        <w:framePr w:w="9553" w:wrap="around" w:vAnchor="margin" w:hAnchor="text" w:x="1800" w:y="1232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者转换。投资人在基金合同约定之外的日期和时间提出申购、赎回或转换申请且登记机构</w:t>
      </w:r>
    </w:p>
    <w:p>
      <w:pPr>
        <w:framePr w:w="9553" w:wrap="around" w:vAnchor="margin" w:hAnchor="text" w:x="1800" w:y="1232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确认接受的，其基金份额申购、赎回价格为下一开放日基金份额申购、赎回的价格。</w:t>
      </w:r>
    </w:p>
    <w:p>
      <w:pPr>
        <w:framePr w:w="2773" w:wrap="around" w:vAnchor="margin" w:hAnchor="text" w:x="1800" w:y="14007"/>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8.3</w:t>
      </w:r>
      <w:r>
        <w:rPr>
          <w:rFonts w:ascii="SKJVQB+å®ä½" w:hAnsi="SKJVQB+å®ä½" w:cs="SKJVQB+å®ä½"/>
          <w:color w:val="222222"/>
          <w:spacing w:val="0"/>
          <w:sz w:val="24"/>
        </w:rPr>
        <w:t>申购与赎回的原则</w:t>
      </w:r>
    </w:p>
    <w:p>
      <w:pPr>
        <w:framePr w:w="9073" w:wrap="around" w:vAnchor="margin" w:hAnchor="text" w:x="2220" w:y="145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、“未知价”原则，即申购、赎回价格以申请当日收市后计算的基金份额净值为基准</w:t>
      </w:r>
    </w:p>
    <w:p>
      <w:pPr>
        <w:framePr w:w="1369" w:wrap="around" w:vAnchor="margin" w:hAnchor="text" w:x="1800" w:y="1500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进行计算；</w:t>
      </w:r>
    </w:p>
    <w:p>
      <w:pPr>
        <w:framePr w:w="535" w:wrap="around" w:vAnchor="margin" w:hAnchor="text" w:x="9845"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115</w:t>
      </w:r>
    </w:p>
    <w:p>
      <w:pPr>
        <w:spacing w:before="0" w:after="0" w:line="0" w:lineRule="exact"/>
        <w:ind w:left="0" w:right="0"/>
        <w:jc w:val="left"/>
        <w:rPr>
          <w:rFonts w:ascii="Arial"/>
          <w:color w:val="FF0000"/>
          <w:spacing w:val="0"/>
          <w:sz w:val="2"/>
        </w:rPr>
      </w:pPr>
      <w:r>
        <w:pict>
          <v:shape id="_x0000238" o:spid="_x0000_s1264"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 o:title=""/>
            <o:lock v:ext="edit" aspectratio="t"/>
          </v:shape>
        </w:pict>
      </w:r>
      <w:r>
        <w:pict>
          <v:shape id="_x0000239" o:spid="_x0000_s1265" o:spt="75" type="#_x0000_t75" style="position:absolute;left:0pt;margin-left:88.6pt;margin-top:71.1pt;height:697.9pt;width:418.3pt;mso-position-horizontal-relative:page;mso-position-vertical-relative:page;z-index:-1024;mso-width-relative:page;mso-height-relative:page;" filled="f" coordsize="21600,21600">
            <v:path/>
            <v:fill on="f" focussize="0,0"/>
            <v:stroke/>
            <v:imagedata r:id="rId2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7854"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、“金额申购、份额赎回”原则，即申购以金额申请，赎回以份额申请；</w:t>
      </w:r>
    </w:p>
    <w:p>
      <w:pPr>
        <w:framePr w:w="7854" w:wrap="around" w:vAnchor="margin" w:hAnchor="text" w:x="222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、当日的申购与赎回申请可以在基金管理人规定的时间以内撤销；</w:t>
      </w:r>
    </w:p>
    <w:p>
      <w:pPr>
        <w:framePr w:w="9553"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、赎回遵循“先进先出”原则，即按照投资人认购、申购的先后次序进行顺序赎回。</w:t>
      </w:r>
    </w:p>
    <w:p>
      <w:pPr>
        <w:framePr w:w="9553" w:wrap="around" w:vAnchor="margin" w:hAnchor="text" w:x="1800" w:y="2268"/>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基金管理人可在法律法规允许的情况下，对上述原则进行调整。基金管理人必须在新</w:t>
      </w:r>
    </w:p>
    <w:p>
      <w:pPr>
        <w:framePr w:w="9553"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规则开始实施前依照《信息披露办法》的有关规定在指定媒介上公告。</w:t>
      </w:r>
    </w:p>
    <w:p>
      <w:pPr>
        <w:framePr w:w="2773" w:wrap="around" w:vAnchor="margin" w:hAnchor="text" w:x="1800" w:y="3947"/>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8.4</w:t>
      </w:r>
      <w:r>
        <w:rPr>
          <w:rFonts w:ascii="SKJVQB+å®ä½" w:hAnsi="SKJVQB+å®ä½" w:cs="SKJVQB+å®ä½"/>
          <w:color w:val="222222"/>
          <w:spacing w:val="0"/>
          <w:sz w:val="24"/>
        </w:rPr>
        <w:t>申购与赎回的程序</w:t>
      </w:r>
    </w:p>
    <w:p>
      <w:pPr>
        <w:framePr w:w="2780" w:wrap="around" w:vAnchor="margin" w:hAnchor="text" w:x="2220" w:y="45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、申购和赎回的申请方式</w:t>
      </w:r>
    </w:p>
    <w:p>
      <w:pPr>
        <w:framePr w:w="9553" w:wrap="around" w:vAnchor="margin" w:hAnchor="text" w:x="1800" w:y="494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投资人必须根据销售机构规定的程序，在开放日的具体业务办理时间内提出申购或赎</w:t>
      </w:r>
    </w:p>
    <w:p>
      <w:pPr>
        <w:framePr w:w="9553" w:wrap="around" w:vAnchor="margin" w:hAnchor="text" w:x="1800" w:y="494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回的申请。</w:t>
      </w:r>
    </w:p>
    <w:p>
      <w:pPr>
        <w:framePr w:w="2780" w:wrap="around" w:vAnchor="margin" w:hAnchor="text" w:x="2220" w:y="576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、申购和赎回的款项支付</w:t>
      </w:r>
    </w:p>
    <w:p>
      <w:pPr>
        <w:framePr w:w="9558" w:wrap="around" w:vAnchor="margin" w:hAnchor="text" w:x="1800" w:y="61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投资人申购基金份额时，必须在规定的时间内全额交付申购款项，否则所提交的申购</w:t>
      </w:r>
    </w:p>
    <w:p>
      <w:pPr>
        <w:framePr w:w="9558" w:wrap="around" w:vAnchor="margin" w:hAnchor="text" w:x="1800" w:y="61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申请不成立。投资人在提交赎回申请时须持有足够的基金份额余额，否则所提交的赎回申</w:t>
      </w:r>
    </w:p>
    <w:p>
      <w:pPr>
        <w:framePr w:w="9558" w:wrap="around" w:vAnchor="margin" w:hAnchor="text" w:x="1800" w:y="61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请不成立。投资人交付申购款项，申购成立；登记机构确认基金份额时，申购生效。基金</w:t>
      </w:r>
    </w:p>
    <w:p>
      <w:pPr>
        <w:framePr w:w="9558" w:wrap="around" w:vAnchor="margin" w:hAnchor="text" w:x="1800" w:y="61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份额持有人递交赎回申请，赎回成立；登记机构确认赎回时，赎回生效。</w:t>
      </w:r>
    </w:p>
    <w:p>
      <w:pPr>
        <w:framePr w:w="9558" w:wrap="around" w:vAnchor="margin" w:hAnchor="text" w:x="1800" w:y="616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投资人赎回申请成功后，基金管理人将在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日</w:t>
      </w:r>
      <w:r>
        <w:rPr>
          <w:rFonts w:ascii="GGHCMB+å®ä½"/>
          <w:color w:val="222222"/>
          <w:spacing w:val="0"/>
          <w:sz w:val="21"/>
        </w:rPr>
        <w:t>(</w:t>
      </w:r>
      <w:r>
        <w:rPr>
          <w:rFonts w:ascii="SKJVQB+å®ä½" w:hAnsi="SKJVQB+å®ä½" w:cs="SKJVQB+å®ä½"/>
          <w:color w:val="222222"/>
          <w:spacing w:val="0"/>
          <w:sz w:val="21"/>
        </w:rPr>
        <w:t>包括该日</w:t>
      </w:r>
      <w:r>
        <w:rPr>
          <w:rFonts w:ascii="GGHCMB+å®ä½"/>
          <w:color w:val="222222"/>
          <w:spacing w:val="0"/>
          <w:sz w:val="21"/>
        </w:rPr>
        <w:t>)</w:t>
      </w:r>
      <w:r>
        <w:rPr>
          <w:rFonts w:ascii="SKJVQB+å®ä½" w:hAnsi="SKJVQB+å®ä½" w:cs="SKJVQB+å®ä½"/>
          <w:color w:val="222222"/>
          <w:spacing w:val="0"/>
          <w:sz w:val="21"/>
        </w:rPr>
        <w:t>内支付赎回款项。在发生</w:t>
      </w:r>
    </w:p>
    <w:p>
      <w:pPr>
        <w:framePr w:w="9558" w:wrap="around" w:vAnchor="margin" w:hAnchor="text" w:x="1800" w:y="61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巨额赎回时，款项的支付办法参照本基金合同有关条款处理。如遇证券交易所或交易市场</w:t>
      </w:r>
    </w:p>
    <w:p>
      <w:pPr>
        <w:framePr w:w="9558" w:wrap="around" w:vAnchor="margin" w:hAnchor="text" w:x="1800" w:y="61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数据传输延迟、通讯系统故障、银行交换系统故障或其他非基金管理人及基金托管人所能</w:t>
      </w:r>
    </w:p>
    <w:p>
      <w:pPr>
        <w:framePr w:w="9558" w:wrap="around" w:vAnchor="margin" w:hAnchor="text" w:x="1800" w:y="61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控制的因素影响了业务流程，则赎回款项划付时间相应顺延。</w:t>
      </w:r>
    </w:p>
    <w:p>
      <w:pPr>
        <w:framePr w:w="2780" w:wrap="around" w:vAnchor="margin" w:hAnchor="text" w:x="2220" w:y="943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、申购和赎回申请的确认</w:t>
      </w:r>
    </w:p>
    <w:p>
      <w:pPr>
        <w:framePr w:w="9560" w:wrap="around" w:vAnchor="margin" w:hAnchor="text" w:x="1800" w:y="98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基金管理人应以交易时间结束前受理有效申购和赎回申请的当天作为申购或赎回申请</w:t>
      </w:r>
    </w:p>
    <w:p>
      <w:pPr>
        <w:framePr w:w="9560" w:wrap="around" w:vAnchor="margin" w:hAnchor="text" w:x="1800" w:y="98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日</w:t>
      </w:r>
      <w:r>
        <w:rPr>
          <w:rFonts w:ascii="GGHCMB+å®ä½"/>
          <w:color w:val="222222"/>
          <w:spacing w:val="0"/>
          <w:sz w:val="21"/>
        </w:rPr>
        <w:t>(T</w:t>
      </w:r>
      <w:r>
        <w:rPr>
          <w:rFonts w:ascii="SKJVQB+å®ä½" w:hAnsi="SKJVQB+å®ä½" w:cs="SKJVQB+å®ä½"/>
          <w:color w:val="222222"/>
          <w:spacing w:val="0"/>
          <w:sz w:val="21"/>
        </w:rPr>
        <w:t>日</w:t>
      </w:r>
      <w:r>
        <w:rPr>
          <w:rFonts w:ascii="GGHCMB+å®ä½"/>
          <w:color w:val="222222"/>
          <w:spacing w:val="0"/>
          <w:sz w:val="21"/>
        </w:rPr>
        <w:t>)</w:t>
      </w:r>
      <w:r>
        <w:rPr>
          <w:rFonts w:ascii="SKJVQB+å®ä½" w:hAnsi="SKJVQB+å®ä½" w:cs="SKJVQB+å®ä½"/>
          <w:color w:val="222222"/>
          <w:spacing w:val="0"/>
          <w:sz w:val="21"/>
        </w:rPr>
        <w:t>，在正常情况下，本基金登记机构在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日内对该交易的有效性进行确认。</w:t>
      </w:r>
      <w:r>
        <w:rPr>
          <w:rFonts w:ascii="GGHCMB+å®ä½"/>
          <w:color w:val="222222"/>
          <w:spacing w:val="0"/>
          <w:sz w:val="21"/>
        </w:rPr>
        <w:t>T</w:t>
      </w:r>
      <w:r>
        <w:rPr>
          <w:rFonts w:ascii="SKJVQB+å®ä½" w:hAnsi="SKJVQB+å®ä½" w:cs="SKJVQB+å®ä½"/>
          <w:color w:val="222222"/>
          <w:spacing w:val="0"/>
          <w:sz w:val="21"/>
        </w:rPr>
        <w:t>日提</w:t>
      </w:r>
    </w:p>
    <w:p>
      <w:pPr>
        <w:framePr w:w="9560" w:wrap="around" w:vAnchor="margin" w:hAnchor="text" w:x="1800" w:y="9845"/>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交的有效申请，投资人可在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日后</w:t>
      </w:r>
      <w:r>
        <w:rPr>
          <w:rFonts w:ascii="GGHCMB+å®ä½"/>
          <w:color w:val="222222"/>
          <w:spacing w:val="0"/>
          <w:sz w:val="21"/>
        </w:rPr>
        <w:t>(</w:t>
      </w:r>
      <w:r>
        <w:rPr>
          <w:rFonts w:ascii="SKJVQB+å®ä½" w:hAnsi="SKJVQB+å®ä½" w:cs="SKJVQB+å®ä½"/>
          <w:color w:val="222222"/>
          <w:spacing w:val="0"/>
          <w:sz w:val="21"/>
        </w:rPr>
        <w:t>包括该日</w:t>
      </w:r>
      <w:r>
        <w:rPr>
          <w:rFonts w:ascii="GGHCMB+å®ä½"/>
          <w:color w:val="222222"/>
          <w:spacing w:val="0"/>
          <w:sz w:val="21"/>
        </w:rPr>
        <w:t>)</w:t>
      </w:r>
      <w:r>
        <w:rPr>
          <w:rFonts w:ascii="SKJVQB+å®ä½" w:hAnsi="SKJVQB+å®ä½" w:cs="SKJVQB+å®ä½"/>
          <w:color w:val="222222"/>
          <w:spacing w:val="0"/>
          <w:sz w:val="21"/>
        </w:rPr>
        <w:t>到销售网点柜台或以销售机构规定的其他</w:t>
      </w:r>
    </w:p>
    <w:p>
      <w:pPr>
        <w:framePr w:w="9560" w:wrap="around" w:vAnchor="margin" w:hAnchor="text" w:x="1800" w:y="98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方式查询申请的确认情况。若申购不成功，则申购款项退还给投资人。</w:t>
      </w:r>
    </w:p>
    <w:p>
      <w:pPr>
        <w:framePr w:w="9560" w:wrap="around" w:vAnchor="margin" w:hAnchor="text" w:x="1800" w:y="984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基金销售机构对申购、赎回申请的受理并不代表申请一定成功，而仅代表销售机构确</w:t>
      </w:r>
    </w:p>
    <w:p>
      <w:pPr>
        <w:framePr w:w="9560" w:wrap="around" w:vAnchor="margin" w:hAnchor="text" w:x="1800" w:y="98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实接收到申请。申购、赎回申请的确认以登记机构或基金管理人的确认结果为准。对于申</w:t>
      </w:r>
    </w:p>
    <w:p>
      <w:pPr>
        <w:framePr w:w="9560" w:wrap="around" w:vAnchor="margin" w:hAnchor="text" w:x="1800" w:y="98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请的确认情况，投资人应及时查询并妥善行使合法权利。</w:t>
      </w:r>
    </w:p>
    <w:p>
      <w:pPr>
        <w:framePr w:w="3327" w:wrap="around" w:vAnchor="margin" w:hAnchor="text" w:x="1800" w:y="13160"/>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8.5</w:t>
      </w:r>
      <w:r>
        <w:rPr>
          <w:rFonts w:ascii="SKJVQB+å®ä½" w:hAnsi="SKJVQB+å®ä½" w:cs="SKJVQB+å®ä½"/>
          <w:color w:val="222222"/>
          <w:spacing w:val="0"/>
          <w:sz w:val="24"/>
        </w:rPr>
        <w:t>申购与赎回的数额限制</w:t>
      </w:r>
    </w:p>
    <w:p>
      <w:pPr>
        <w:framePr w:w="9560" w:wrap="around" w:vAnchor="margin" w:hAnchor="text" w:x="1800" w:y="1374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、本基金首次申购和追加申购的最低金额均为</w:t>
      </w:r>
      <w:r>
        <w:rPr>
          <w:rFonts w:ascii="GGHCMB+å®ä½"/>
          <w:color w:val="222222"/>
          <w:spacing w:val="0"/>
          <w:sz w:val="21"/>
        </w:rPr>
        <w:t>1</w:t>
      </w:r>
      <w:r>
        <w:rPr>
          <w:rFonts w:ascii="SKJVQB+å®ä½" w:hAnsi="SKJVQB+å®ä½" w:cs="SKJVQB+å®ä½"/>
          <w:color w:val="222222"/>
          <w:spacing w:val="0"/>
          <w:sz w:val="21"/>
        </w:rPr>
        <w:t>元，各销售机构在符合上述规定的前</w:t>
      </w:r>
    </w:p>
    <w:p>
      <w:pPr>
        <w:framePr w:w="9560" w:wrap="around" w:vAnchor="margin" w:hAnchor="text" w:x="1800" w:y="1374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提下，可根据情况调高首次申购和追加申购的最低金额，具体以销售机构公布的为准，投</w:t>
      </w:r>
    </w:p>
    <w:p>
      <w:pPr>
        <w:framePr w:w="9560" w:wrap="around" w:vAnchor="margin" w:hAnchor="text" w:x="1800" w:y="1374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资人需遵循销售机构的相关规定。本基金单笔赎回申请不得低于 </w:t>
      </w:r>
      <w:r>
        <w:rPr>
          <w:rFonts w:ascii="GGHCMB+å®ä½"/>
          <w:color w:val="222222"/>
          <w:spacing w:val="0"/>
          <w:sz w:val="21"/>
        </w:rPr>
        <w:t>1</w:t>
      </w:r>
      <w:r>
        <w:rPr>
          <w:rFonts w:ascii="SKJVQB+å®ä½" w:hAnsi="SKJVQB+å®ä½" w:cs="SKJVQB+å®ä½"/>
          <w:color w:val="222222"/>
          <w:spacing w:val="0"/>
          <w:sz w:val="21"/>
        </w:rPr>
        <w:t>份，投资人全额赎回时</w:t>
      </w:r>
    </w:p>
    <w:p>
      <w:pPr>
        <w:framePr w:w="9560" w:wrap="around" w:vAnchor="margin" w:hAnchor="text" w:x="1800" w:y="1374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不受上述限制，基金销售机构在符合上述规定的前提下，可根据自己的情况调高单笔赎回</w:t>
      </w:r>
    </w:p>
    <w:p>
      <w:pPr>
        <w:framePr w:w="535" w:wrap="around" w:vAnchor="margin" w:hAnchor="text" w:x="9845"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116</w:t>
      </w:r>
    </w:p>
    <w:p>
      <w:pPr>
        <w:spacing w:before="0" w:after="0" w:line="0" w:lineRule="exact"/>
        <w:ind w:left="0" w:right="0"/>
        <w:jc w:val="left"/>
        <w:rPr>
          <w:rFonts w:ascii="Arial"/>
          <w:color w:val="FF0000"/>
          <w:spacing w:val="0"/>
          <w:sz w:val="2"/>
        </w:rPr>
      </w:pPr>
      <w:r>
        <w:pict>
          <v:shape id="_x0000240" o:spid="_x0000_s1266"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 o:title=""/>
            <o:lock v:ext="edit" aspectratio="t"/>
          </v:shape>
        </w:pict>
      </w:r>
      <w:r>
        <w:pict>
          <v:shape id="_x0000241" o:spid="_x0000_s1267" o:spt="75" type="#_x0000_t75" style="position:absolute;left:0pt;margin-left:88.6pt;margin-top:71.1pt;height:696.5pt;width:418.3pt;mso-position-horizontal-relative:page;mso-position-vertical-relative:page;z-index:-1024;mso-width-relative:page;mso-height-relative:page;" filled="f" coordsize="21600,21600">
            <v:path/>
            <v:fill on="f" focussize="0,0"/>
            <v:stroke/>
            <v:imagedata r:id="rId3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45"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申请份额要求限制，具体以基金销售机构公布的为准，投资人需遵循销售机构的相关规</w:t>
      </w:r>
    </w:p>
    <w:p>
      <w:pPr>
        <w:framePr w:w="9545"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w:t>
      </w:r>
    </w:p>
    <w:p>
      <w:pPr>
        <w:framePr w:w="9556"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、当接受申购申请对存量基金份额持有人利益构成潜在重大不利影响时，基金管理人</w:t>
      </w:r>
    </w:p>
    <w:p>
      <w:pPr>
        <w:framePr w:w="9556"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有权采取设定单一投资者申购金额上限或基金单日净申购比例上限、拒绝大额申购、暂停</w:t>
      </w:r>
    </w:p>
    <w:p>
      <w:pPr>
        <w:framePr w:w="9556"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基金申购等措施，切实保护存量基金份额持有人的合法权益，具体请参见相关公告；</w:t>
      </w:r>
    </w:p>
    <w:p>
      <w:pPr>
        <w:framePr w:w="9556" w:wrap="around" w:vAnchor="margin" w:hAnchor="text" w:x="1800" w:y="226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、本基金不对投资人每个交易账户的最低基金份额余额进行限制；</w:t>
      </w:r>
    </w:p>
    <w:p>
      <w:pPr>
        <w:framePr w:w="9556" w:wrap="around" w:vAnchor="margin" w:hAnchor="text" w:x="1800" w:y="226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、本基金不对单个投资人累计持有的基金份额上限进行限制，但法律法规和监管机构</w:t>
      </w:r>
    </w:p>
    <w:p>
      <w:pPr>
        <w:framePr w:w="9556"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另有规定的除外；</w:t>
      </w:r>
    </w:p>
    <w:p>
      <w:pPr>
        <w:framePr w:w="9559"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、基金管理人可根据市场情况，在法律法规允许的情况下，调整上述对申购的金额和</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赎回的份额的数量限制，基金管理人必须在调整实施生效前依照《信息披露办法》的有关规</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定在指定媒介公告。</w:t>
      </w:r>
    </w:p>
    <w:p>
      <w:pPr>
        <w:framePr w:w="3049" w:wrap="around" w:vAnchor="margin" w:hAnchor="text" w:x="1800" w:y="6398"/>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8.6</w:t>
      </w:r>
      <w:r>
        <w:rPr>
          <w:rFonts w:ascii="SKJVQB+å®ä½" w:hAnsi="SKJVQB+å®ä½" w:cs="SKJVQB+å®ä½"/>
          <w:color w:val="222222"/>
          <w:spacing w:val="0"/>
          <w:sz w:val="24"/>
        </w:rPr>
        <w:t>申购费用和赎回费用</w:t>
      </w:r>
    </w:p>
    <w:p>
      <w:pPr>
        <w:framePr w:w="9560" w:wrap="around" w:vAnchor="margin" w:hAnchor="text" w:x="1800" w:y="6987"/>
        <w:widowControl w:val="0"/>
        <w:autoSpaceDE w:val="0"/>
        <w:autoSpaceDN w:val="0"/>
        <w:spacing w:before="0" w:after="0" w:line="211" w:lineRule="exact"/>
        <w:ind w:left="420" w:right="0"/>
        <w:jc w:val="left"/>
        <w:rPr>
          <w:rFonts w:ascii="SKJVQB+å®ä½" w:hAnsi="SKJVQB+å®ä½" w:cs="SKJVQB+å®ä½"/>
          <w:color w:val="000000"/>
          <w:spacing w:val="0"/>
          <w:sz w:val="21"/>
        </w:rPr>
      </w:pPr>
      <w:r>
        <w:rPr>
          <w:rFonts w:ascii="SKJVQB+å®ä½" w:hAnsi="SKJVQB+å®ä½" w:cs="SKJVQB+å®ä½"/>
          <w:color w:val="000000"/>
          <w:spacing w:val="0"/>
          <w:sz w:val="21"/>
        </w:rPr>
        <w:t>本基金根据认购</w:t>
      </w:r>
      <w:r>
        <w:rPr>
          <w:rFonts w:ascii="GGHCMB+å®ä½"/>
          <w:color w:val="000000"/>
          <w:spacing w:val="0"/>
          <w:sz w:val="21"/>
        </w:rPr>
        <w:t>/</w:t>
      </w:r>
      <w:r>
        <w:rPr>
          <w:rFonts w:ascii="SKJVQB+å®ä½" w:hAnsi="SKJVQB+å®ä½" w:cs="SKJVQB+å®ä½"/>
          <w:color w:val="000000"/>
          <w:spacing w:val="0"/>
          <w:sz w:val="21"/>
        </w:rPr>
        <w:t>申购费用、销售服务费收取方式的不同，将基金份额分为不同的类别。</w:t>
      </w:r>
    </w:p>
    <w:p>
      <w:pPr>
        <w:framePr w:w="9560" w:wrap="around" w:vAnchor="margin" w:hAnchor="text" w:x="1800" w:y="6987"/>
        <w:widowControl w:val="0"/>
        <w:autoSpaceDE w:val="0"/>
        <w:autoSpaceDN w:val="0"/>
        <w:spacing w:before="0" w:after="0" w:line="40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在投资人认购</w:t>
      </w:r>
      <w:r>
        <w:rPr>
          <w:rFonts w:ascii="GGHCMB+å®ä½"/>
          <w:color w:val="000000"/>
          <w:spacing w:val="0"/>
          <w:sz w:val="21"/>
        </w:rPr>
        <w:t>/</w:t>
      </w:r>
      <w:r>
        <w:rPr>
          <w:rFonts w:ascii="SKJVQB+å®ä½" w:hAnsi="SKJVQB+å®ä½" w:cs="SKJVQB+å®ä½"/>
          <w:color w:val="000000"/>
          <w:spacing w:val="0"/>
          <w:sz w:val="21"/>
        </w:rPr>
        <w:t>申购时收取前端认购</w:t>
      </w:r>
      <w:r>
        <w:rPr>
          <w:rFonts w:ascii="GGHCMB+å®ä½"/>
          <w:color w:val="000000"/>
          <w:spacing w:val="0"/>
          <w:sz w:val="21"/>
        </w:rPr>
        <w:t>/</w:t>
      </w:r>
      <w:r>
        <w:rPr>
          <w:rFonts w:ascii="SKJVQB+å®ä½" w:hAnsi="SKJVQB+å®ä½" w:cs="SKJVQB+å®ä½"/>
          <w:color w:val="000000"/>
          <w:spacing w:val="0"/>
          <w:sz w:val="21"/>
        </w:rPr>
        <w:t>申购费用的基金份额，称为</w:t>
      </w:r>
      <w:r>
        <w:rPr>
          <w:rFonts w:ascii="GGHCMB+å®ä½"/>
          <w:color w:val="000000"/>
          <w:spacing w:val="0"/>
          <w:sz w:val="21"/>
        </w:rPr>
        <w:t>A</w:t>
      </w:r>
      <w:r>
        <w:rPr>
          <w:rFonts w:ascii="SKJVQB+å®ä½" w:hAnsi="SKJVQB+å®ä½" w:cs="SKJVQB+å®ä½"/>
          <w:color w:val="000000"/>
          <w:spacing w:val="0"/>
          <w:sz w:val="21"/>
        </w:rPr>
        <w:t>类；从本类别基金资产中</w:t>
      </w:r>
    </w:p>
    <w:p>
      <w:pPr>
        <w:framePr w:w="9560" w:wrap="around" w:vAnchor="margin" w:hAnchor="text" w:x="1800" w:y="6987"/>
        <w:widowControl w:val="0"/>
        <w:autoSpaceDE w:val="0"/>
        <w:autoSpaceDN w:val="0"/>
        <w:spacing w:before="0" w:after="0" w:line="40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计提销售服务费、不收取认购</w:t>
      </w:r>
      <w:r>
        <w:rPr>
          <w:rFonts w:ascii="GGHCMB+å®ä½"/>
          <w:color w:val="000000"/>
          <w:spacing w:val="0"/>
          <w:sz w:val="21"/>
        </w:rPr>
        <w:t>/</w:t>
      </w:r>
      <w:r>
        <w:rPr>
          <w:rFonts w:ascii="SKJVQB+å®ä½" w:hAnsi="SKJVQB+å®ä½" w:cs="SKJVQB+å®ä½"/>
          <w:color w:val="000000"/>
          <w:spacing w:val="0"/>
          <w:sz w:val="21"/>
        </w:rPr>
        <w:t>申购费用的基金份额，称为</w:t>
      </w:r>
      <w:r>
        <w:rPr>
          <w:rFonts w:ascii="GGHCMB+å®ä½"/>
          <w:color w:val="000000"/>
          <w:spacing w:val="0"/>
          <w:sz w:val="21"/>
        </w:rPr>
        <w:t>C</w:t>
      </w:r>
      <w:r>
        <w:rPr>
          <w:rFonts w:ascii="SKJVQB+å®ä½" w:hAnsi="SKJVQB+å®ä½" w:cs="SKJVQB+å®ä½"/>
          <w:color w:val="000000"/>
          <w:spacing w:val="0"/>
          <w:sz w:val="21"/>
        </w:rPr>
        <w:t>类。</w:t>
      </w:r>
    </w:p>
    <w:p>
      <w:pPr>
        <w:framePr w:w="9560" w:wrap="around" w:vAnchor="margin" w:hAnchor="text" w:x="1800" w:y="6987"/>
        <w:widowControl w:val="0"/>
        <w:autoSpaceDE w:val="0"/>
        <w:autoSpaceDN w:val="0"/>
        <w:spacing w:before="0" w:after="0" w:line="408" w:lineRule="exact"/>
        <w:ind w:left="420" w:right="0"/>
        <w:jc w:val="left"/>
        <w:rPr>
          <w:rFonts w:ascii="SKJVQB+å®ä½" w:hAnsi="SKJVQB+å®ä½" w:cs="SKJVQB+å®ä½"/>
          <w:color w:val="000000"/>
          <w:spacing w:val="0"/>
          <w:sz w:val="21"/>
        </w:rPr>
      </w:pPr>
      <w:r>
        <w:rPr>
          <w:rFonts w:ascii="GGHCMB+å®ä½"/>
          <w:color w:val="000000"/>
          <w:spacing w:val="0"/>
          <w:sz w:val="21"/>
        </w:rPr>
        <w:t>1</w:t>
      </w:r>
      <w:r>
        <w:rPr>
          <w:rFonts w:ascii="SKJVQB+å®ä½" w:hAnsi="SKJVQB+å®ä½" w:cs="SKJVQB+å®ä½"/>
          <w:color w:val="000000"/>
          <w:spacing w:val="0"/>
          <w:sz w:val="21"/>
        </w:rPr>
        <w:t>、本基金的申购费：</w:t>
      </w:r>
    </w:p>
    <w:p>
      <w:pPr>
        <w:framePr w:w="9557" w:wrap="around" w:vAnchor="margin" w:hAnchor="text" w:x="1800" w:y="8621"/>
        <w:widowControl w:val="0"/>
        <w:autoSpaceDE w:val="0"/>
        <w:autoSpaceDN w:val="0"/>
        <w:spacing w:before="0" w:after="0" w:line="211" w:lineRule="exact"/>
        <w:ind w:left="42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对于申购本基金 </w:t>
      </w:r>
      <w:r>
        <w:rPr>
          <w:rFonts w:ascii="GGHCMB+å®ä½"/>
          <w:color w:val="000000"/>
          <w:spacing w:val="0"/>
          <w:sz w:val="21"/>
        </w:rPr>
        <w:t>A</w:t>
      </w:r>
      <w:r>
        <w:rPr>
          <w:rFonts w:ascii="SKJVQB+å®ä½" w:hAnsi="SKJVQB+å®ä½" w:cs="SKJVQB+å®ä½"/>
          <w:color w:val="000000"/>
          <w:spacing w:val="0"/>
          <w:sz w:val="21"/>
        </w:rPr>
        <w:t xml:space="preserve">类份额的投资人，本基金申购费率最高不高于 </w:t>
      </w:r>
      <w:r>
        <w:rPr>
          <w:rFonts w:ascii="GGHCMB+å®ä½"/>
          <w:color w:val="000000"/>
          <w:spacing w:val="0"/>
          <w:sz w:val="21"/>
        </w:rPr>
        <w:t>0.8%</w:t>
      </w:r>
      <w:r>
        <w:rPr>
          <w:rFonts w:ascii="SKJVQB+å®ä½" w:hAnsi="SKJVQB+å®ä½" w:cs="SKJVQB+å®ä½"/>
          <w:color w:val="000000"/>
          <w:spacing w:val="0"/>
          <w:sz w:val="21"/>
        </w:rPr>
        <w:t>，且随申购金额</w:t>
      </w:r>
    </w:p>
    <w:p>
      <w:pPr>
        <w:framePr w:w="9557" w:wrap="around" w:vAnchor="margin" w:hAnchor="text" w:x="1800" w:y="8621"/>
        <w:widowControl w:val="0"/>
        <w:autoSpaceDE w:val="0"/>
        <w:autoSpaceDN w:val="0"/>
        <w:spacing w:before="0" w:after="0" w:line="40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的增加而递减，如下表所示：</w:t>
      </w:r>
    </w:p>
    <w:p>
      <w:pPr>
        <w:framePr w:w="2479" w:wrap="around" w:vAnchor="margin" w:hAnchor="text" w:x="3731" w:y="944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GGHCMB+å®ä½"/>
          <w:color w:val="000000"/>
          <w:spacing w:val="0"/>
          <w:sz w:val="21"/>
        </w:rPr>
        <w:t>A</w:t>
      </w:r>
      <w:r>
        <w:rPr>
          <w:rFonts w:ascii="SKJVQB+å®ä½" w:hAnsi="SKJVQB+å®ä½" w:cs="SKJVQB+å®ä½"/>
          <w:color w:val="000000"/>
          <w:spacing w:val="0"/>
          <w:sz w:val="21"/>
        </w:rPr>
        <w:t>类份额申购金额（</w:t>
      </w:r>
      <w:r>
        <w:rPr>
          <w:rFonts w:ascii="GGHCMB+å®ä½"/>
          <w:color w:val="000000"/>
          <w:spacing w:val="0"/>
          <w:sz w:val="21"/>
        </w:rPr>
        <w:t>M</w:t>
      </w:r>
      <w:r>
        <w:rPr>
          <w:rFonts w:ascii="SKJVQB+å®ä½" w:hAnsi="SKJVQB+å®ä½" w:cs="SKJVQB+å®ä½"/>
          <w:color w:val="000000"/>
          <w:spacing w:val="0"/>
          <w:sz w:val="21"/>
        </w:rPr>
        <w:t>）</w:t>
      </w:r>
    </w:p>
    <w:p>
      <w:pPr>
        <w:framePr w:w="2479" w:wrap="around" w:vAnchor="margin" w:hAnchor="text" w:x="3731" w:y="9447"/>
        <w:widowControl w:val="0"/>
        <w:autoSpaceDE w:val="0"/>
        <w:autoSpaceDN w:val="0"/>
        <w:spacing w:before="0" w:after="0" w:line="420" w:lineRule="exact"/>
        <w:ind w:left="629" w:right="0"/>
        <w:jc w:val="left"/>
        <w:rPr>
          <w:rFonts w:ascii="SKJVQB+å®ä½" w:hAnsi="SKJVQB+å®ä½" w:cs="SKJVQB+å®ä½"/>
          <w:color w:val="000000"/>
          <w:spacing w:val="0"/>
          <w:sz w:val="21"/>
        </w:rPr>
      </w:pPr>
      <w:r>
        <w:rPr>
          <w:rFonts w:ascii="GGHCMB+å®ä½"/>
          <w:color w:val="000000"/>
          <w:spacing w:val="0"/>
          <w:sz w:val="21"/>
        </w:rPr>
        <w:t>M</w:t>
      </w:r>
      <w:r>
        <w:rPr>
          <w:rFonts w:ascii="SKJVQB+å®ä½" w:hAnsi="SKJVQB+å®ä½" w:cs="SKJVQB+å®ä½"/>
          <w:color w:val="000000"/>
          <w:spacing w:val="0"/>
          <w:sz w:val="21"/>
        </w:rPr>
        <w:t>＜</w:t>
      </w:r>
      <w:r>
        <w:rPr>
          <w:rFonts w:ascii="GGHCMB+å®ä½"/>
          <w:color w:val="000000"/>
          <w:spacing w:val="0"/>
          <w:sz w:val="21"/>
        </w:rPr>
        <w:t>100</w:t>
      </w:r>
      <w:r>
        <w:rPr>
          <w:rFonts w:ascii="SKJVQB+å®ä½" w:hAnsi="SKJVQB+å®ä½" w:cs="SKJVQB+å®ä½"/>
          <w:color w:val="000000"/>
          <w:spacing w:val="0"/>
          <w:sz w:val="21"/>
        </w:rPr>
        <w:t>万</w:t>
      </w:r>
    </w:p>
    <w:p>
      <w:pPr>
        <w:framePr w:w="1157" w:wrap="around" w:vAnchor="margin" w:hAnchor="text" w:x="6856" w:y="944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申购费率</w:t>
      </w:r>
    </w:p>
    <w:p>
      <w:pPr>
        <w:framePr w:w="1157" w:wrap="around" w:vAnchor="margin" w:hAnchor="text" w:x="6856" w:y="9447"/>
        <w:widowControl w:val="0"/>
        <w:autoSpaceDE w:val="0"/>
        <w:autoSpaceDN w:val="0"/>
        <w:spacing w:before="0" w:after="0" w:line="420" w:lineRule="exact"/>
        <w:ind w:left="211" w:right="0"/>
        <w:jc w:val="left"/>
        <w:rPr>
          <w:rFonts w:ascii="GGHCMB+å®ä½"/>
          <w:color w:val="000000"/>
          <w:spacing w:val="0"/>
          <w:sz w:val="21"/>
        </w:rPr>
      </w:pPr>
      <w:r>
        <w:rPr>
          <w:rFonts w:ascii="GGHCMB+å®ä½"/>
          <w:color w:val="000000"/>
          <w:spacing w:val="0"/>
          <w:sz w:val="21"/>
        </w:rPr>
        <w:t>0.8%</w:t>
      </w:r>
    </w:p>
    <w:p>
      <w:pPr>
        <w:framePr w:w="2103" w:wrap="around" w:vAnchor="margin" w:hAnchor="text" w:x="3913" w:y="10285"/>
        <w:widowControl w:val="0"/>
        <w:autoSpaceDE w:val="0"/>
        <w:autoSpaceDN w:val="0"/>
        <w:spacing w:before="0" w:after="0" w:line="211" w:lineRule="exact"/>
        <w:ind w:left="53" w:right="0"/>
        <w:jc w:val="left"/>
        <w:rPr>
          <w:rFonts w:ascii="SKJVQB+å®ä½" w:hAnsi="SKJVQB+å®ä½" w:cs="SKJVQB+å®ä½"/>
          <w:color w:val="000000"/>
          <w:spacing w:val="0"/>
          <w:sz w:val="21"/>
        </w:rPr>
      </w:pPr>
      <w:r>
        <w:rPr>
          <w:rFonts w:ascii="GGHCMB+å®ä½"/>
          <w:color w:val="000000"/>
          <w:spacing w:val="0"/>
          <w:sz w:val="21"/>
        </w:rPr>
        <w:t>100</w:t>
      </w:r>
      <w:r>
        <w:rPr>
          <w:rFonts w:ascii="SKJVQB+å®ä½" w:hAnsi="SKJVQB+å®ä½" w:cs="SKJVQB+å®ä½"/>
          <w:color w:val="000000"/>
          <w:spacing w:val="0"/>
          <w:sz w:val="21"/>
        </w:rPr>
        <w:t>万≤</w:t>
      </w:r>
      <w:r>
        <w:rPr>
          <w:rFonts w:ascii="GGHCMB+å®ä½"/>
          <w:color w:val="000000"/>
          <w:spacing w:val="0"/>
          <w:sz w:val="21"/>
        </w:rPr>
        <w:t>M</w:t>
      </w:r>
      <w:r>
        <w:rPr>
          <w:rFonts w:ascii="SKJVQB+å®ä½" w:hAnsi="SKJVQB+å®ä½" w:cs="SKJVQB+å®ä½"/>
          <w:color w:val="000000"/>
          <w:spacing w:val="0"/>
          <w:sz w:val="21"/>
        </w:rPr>
        <w:t>＜</w:t>
      </w:r>
      <w:r>
        <w:rPr>
          <w:rFonts w:ascii="GGHCMB+å®ä½"/>
          <w:color w:val="000000"/>
          <w:spacing w:val="0"/>
          <w:sz w:val="21"/>
        </w:rPr>
        <w:t>500</w:t>
      </w:r>
      <w:r>
        <w:rPr>
          <w:rFonts w:ascii="SKJVQB+å®ä½" w:hAnsi="SKJVQB+å®ä½" w:cs="SKJVQB+å®ä½"/>
          <w:color w:val="000000"/>
          <w:spacing w:val="0"/>
          <w:sz w:val="21"/>
        </w:rPr>
        <w:t>万</w:t>
      </w:r>
    </w:p>
    <w:p>
      <w:pPr>
        <w:framePr w:w="2103" w:wrap="around" w:vAnchor="margin" w:hAnchor="text" w:x="3913" w:y="10285"/>
        <w:widowControl w:val="0"/>
        <w:autoSpaceDE w:val="0"/>
        <w:autoSpaceDN w:val="0"/>
        <w:spacing w:before="0" w:after="0" w:line="418" w:lineRule="exact"/>
        <w:ind w:left="0" w:right="0"/>
        <w:jc w:val="left"/>
        <w:rPr>
          <w:rFonts w:ascii="SKJVQB+å®ä½" w:hAnsi="SKJVQB+å®ä½" w:cs="SKJVQB+å®ä½"/>
          <w:color w:val="000000"/>
          <w:spacing w:val="0"/>
          <w:sz w:val="21"/>
        </w:rPr>
      </w:pPr>
      <w:r>
        <w:rPr>
          <w:rFonts w:ascii="GGHCMB+å®ä½"/>
          <w:color w:val="000000"/>
          <w:spacing w:val="0"/>
          <w:sz w:val="21"/>
        </w:rPr>
        <w:t>500</w:t>
      </w:r>
      <w:r>
        <w:rPr>
          <w:rFonts w:ascii="SKJVQB+å®ä½" w:hAnsi="SKJVQB+å®ä½" w:cs="SKJVQB+å®ä½"/>
          <w:color w:val="000000"/>
          <w:spacing w:val="0"/>
          <w:sz w:val="21"/>
        </w:rPr>
        <w:t>万≤M＜</w:t>
      </w:r>
      <w:r>
        <w:rPr>
          <w:rFonts w:ascii="GGHCMB+å®ä½"/>
          <w:color w:val="000000"/>
          <w:spacing w:val="0"/>
          <w:sz w:val="21"/>
        </w:rPr>
        <w:t>1000</w:t>
      </w:r>
      <w:r>
        <w:rPr>
          <w:rFonts w:ascii="SKJVQB+å®ä½" w:hAnsi="SKJVQB+å®ä½" w:cs="SKJVQB+å®ä½"/>
          <w:color w:val="000000"/>
          <w:spacing w:val="0"/>
          <w:sz w:val="21"/>
        </w:rPr>
        <w:t>万</w:t>
      </w:r>
    </w:p>
    <w:p>
      <w:pPr>
        <w:framePr w:w="2103" w:wrap="around" w:vAnchor="margin" w:hAnchor="text" w:x="3913" w:y="10285"/>
        <w:widowControl w:val="0"/>
        <w:autoSpaceDE w:val="0"/>
        <w:autoSpaceDN w:val="0"/>
        <w:spacing w:before="0" w:after="0" w:line="420" w:lineRule="exact"/>
        <w:ind w:left="394" w:right="0"/>
        <w:jc w:val="left"/>
        <w:rPr>
          <w:rFonts w:ascii="SKJVQB+å®ä½" w:hAnsi="SKJVQB+å®ä½" w:cs="SKJVQB+å®ä½"/>
          <w:color w:val="000000"/>
          <w:spacing w:val="0"/>
          <w:sz w:val="21"/>
        </w:rPr>
      </w:pPr>
      <w:r>
        <w:rPr>
          <w:rFonts w:ascii="GGHCMB+å®ä½"/>
          <w:color w:val="000000"/>
          <w:spacing w:val="0"/>
          <w:sz w:val="21"/>
        </w:rPr>
        <w:t>M</w:t>
      </w:r>
      <w:r>
        <w:rPr>
          <w:rFonts w:ascii="SKJVQB+å®ä½" w:hAnsi="SKJVQB+å®ä½" w:cs="SKJVQB+å®ä½"/>
          <w:color w:val="000000"/>
          <w:spacing w:val="0"/>
          <w:sz w:val="21"/>
        </w:rPr>
        <w:t>≥</w:t>
      </w:r>
      <w:r>
        <w:rPr>
          <w:rFonts w:ascii="GGHCMB+å®ä½"/>
          <w:color w:val="000000"/>
          <w:spacing w:val="0"/>
          <w:sz w:val="21"/>
        </w:rPr>
        <w:t>1000</w:t>
      </w:r>
      <w:r>
        <w:rPr>
          <w:rFonts w:ascii="SKJVQB+å®ä½" w:hAnsi="SKJVQB+å®ä½" w:cs="SKJVQB+å®ä½"/>
          <w:color w:val="000000"/>
          <w:spacing w:val="0"/>
          <w:sz w:val="21"/>
        </w:rPr>
        <w:t>万</w:t>
      </w:r>
    </w:p>
    <w:p>
      <w:pPr>
        <w:framePr w:w="737" w:wrap="around" w:vAnchor="margin" w:hAnchor="text" w:x="7067" w:y="10285"/>
        <w:widowControl w:val="0"/>
        <w:autoSpaceDE w:val="0"/>
        <w:autoSpaceDN w:val="0"/>
        <w:spacing w:before="0" w:after="0" w:line="211" w:lineRule="exact"/>
        <w:ind w:left="0" w:right="0"/>
        <w:jc w:val="left"/>
        <w:rPr>
          <w:rFonts w:ascii="GGHCMB+å®ä½"/>
          <w:color w:val="000000"/>
          <w:spacing w:val="0"/>
          <w:sz w:val="21"/>
        </w:rPr>
      </w:pPr>
      <w:r>
        <w:rPr>
          <w:rFonts w:ascii="GGHCMB+å®ä½"/>
          <w:color w:val="000000"/>
          <w:spacing w:val="0"/>
          <w:sz w:val="21"/>
        </w:rPr>
        <w:t>0.5%</w:t>
      </w:r>
    </w:p>
    <w:p>
      <w:pPr>
        <w:framePr w:w="737" w:wrap="around" w:vAnchor="margin" w:hAnchor="text" w:x="7067" w:y="10703"/>
        <w:widowControl w:val="0"/>
        <w:autoSpaceDE w:val="0"/>
        <w:autoSpaceDN w:val="0"/>
        <w:spacing w:before="0" w:after="0" w:line="211" w:lineRule="exact"/>
        <w:ind w:left="0" w:right="0"/>
        <w:jc w:val="left"/>
        <w:rPr>
          <w:rFonts w:ascii="GGHCMB+å®ä½"/>
          <w:color w:val="000000"/>
          <w:spacing w:val="0"/>
          <w:sz w:val="21"/>
        </w:rPr>
      </w:pPr>
      <w:r>
        <w:rPr>
          <w:rFonts w:ascii="GGHCMB+å®ä½"/>
          <w:color w:val="000000"/>
          <w:spacing w:val="0"/>
          <w:sz w:val="21"/>
        </w:rPr>
        <w:t>0.3%</w:t>
      </w:r>
    </w:p>
    <w:p>
      <w:pPr>
        <w:framePr w:w="1578" w:wrap="around" w:vAnchor="margin" w:hAnchor="text" w:x="6647" w:y="1112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每笔</w:t>
      </w:r>
      <w:r>
        <w:rPr>
          <w:rFonts w:ascii="GGHCMB+å®ä½"/>
          <w:color w:val="000000"/>
          <w:spacing w:val="0"/>
          <w:sz w:val="21"/>
        </w:rPr>
        <w:t>1,000</w:t>
      </w:r>
      <w:r>
        <w:rPr>
          <w:rFonts w:ascii="SKJVQB+å®ä½" w:hAnsi="SKJVQB+å®ä½" w:cs="SKJVQB+å®ä½"/>
          <w:color w:val="000000"/>
          <w:spacing w:val="0"/>
          <w:sz w:val="21"/>
        </w:rPr>
        <w:t>元</w:t>
      </w:r>
    </w:p>
    <w:p>
      <w:pPr>
        <w:framePr w:w="5599" w:wrap="around" w:vAnchor="margin" w:hAnchor="text" w:x="2220" w:y="11896"/>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对于申购本基金 </w:t>
      </w:r>
      <w:r>
        <w:rPr>
          <w:rFonts w:ascii="Times New Roman"/>
          <w:color w:val="000000"/>
          <w:spacing w:val="0"/>
          <w:sz w:val="21"/>
        </w:rPr>
        <w:t>C</w:t>
      </w:r>
      <w:r>
        <w:rPr>
          <w:rFonts w:ascii="SKJVQB+å®ä½" w:hAnsi="SKJVQB+å®ä½" w:cs="SKJVQB+å®ä½"/>
          <w:color w:val="000000"/>
          <w:spacing w:val="0"/>
          <w:sz w:val="21"/>
        </w:rPr>
        <w:t>类份额的投资人，申购费率为零。</w:t>
      </w:r>
    </w:p>
    <w:p>
      <w:pPr>
        <w:framePr w:w="9076" w:wrap="around" w:vAnchor="margin" w:hAnchor="text" w:x="2220" w:y="1231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投资人重复申购，须按每次申购所对应的费率档次分别计费。</w:t>
      </w:r>
    </w:p>
    <w:p>
      <w:pPr>
        <w:framePr w:w="9076" w:wrap="around" w:vAnchor="margin" w:hAnchor="text" w:x="2220" w:y="12311"/>
        <w:widowControl w:val="0"/>
        <w:autoSpaceDE w:val="0"/>
        <w:autoSpaceDN w:val="0"/>
        <w:spacing w:before="0" w:after="0" w:line="40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申购费用由投资人承担，不列入基金财产，主要用于本基金的市场推广、销售、注册登</w:t>
      </w:r>
    </w:p>
    <w:p>
      <w:pPr>
        <w:framePr w:w="1789" w:wrap="around" w:vAnchor="margin" w:hAnchor="text" w:x="1800" w:y="1312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记等各项费用。</w:t>
      </w:r>
    </w:p>
    <w:p>
      <w:pPr>
        <w:framePr w:w="2312" w:wrap="around" w:vAnchor="margin" w:hAnchor="text" w:x="2220" w:y="1394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GGHCMB+å®ä½"/>
          <w:color w:val="000000"/>
          <w:spacing w:val="0"/>
          <w:sz w:val="21"/>
        </w:rPr>
        <w:t>2</w:t>
      </w:r>
      <w:r>
        <w:rPr>
          <w:rFonts w:ascii="SKJVQB+å®ä½" w:hAnsi="SKJVQB+å®ä½" w:cs="SKJVQB+å®ä½"/>
          <w:color w:val="000000"/>
          <w:spacing w:val="0"/>
          <w:sz w:val="21"/>
        </w:rPr>
        <w:t>、本基金的赎回费：</w:t>
      </w:r>
    </w:p>
    <w:p>
      <w:pPr>
        <w:framePr w:w="9557" w:wrap="around" w:vAnchor="margin" w:hAnchor="text" w:x="1800" w:y="14354"/>
        <w:widowControl w:val="0"/>
        <w:autoSpaceDE w:val="0"/>
        <w:autoSpaceDN w:val="0"/>
        <w:spacing w:before="0" w:after="0" w:line="211" w:lineRule="exact"/>
        <w:ind w:left="420" w:right="0"/>
        <w:jc w:val="left"/>
        <w:rPr>
          <w:rFonts w:ascii="SKJVQB+å®ä½" w:hAnsi="SKJVQB+å®ä½" w:cs="SKJVQB+å®ä½"/>
          <w:color w:val="000000"/>
          <w:spacing w:val="0"/>
          <w:sz w:val="21"/>
        </w:rPr>
      </w:pPr>
      <w:r>
        <w:rPr>
          <w:rFonts w:ascii="SKJVQB+å®ä½" w:hAnsi="SKJVQB+å®ä½" w:cs="SKJVQB+å®ä½"/>
          <w:color w:val="000000"/>
          <w:spacing w:val="0"/>
          <w:sz w:val="21"/>
        </w:rPr>
        <w:t>本基金的赎回费率最高不超过</w:t>
      </w:r>
      <w:r>
        <w:rPr>
          <w:rFonts w:ascii="GGHCMB+å®ä½"/>
          <w:color w:val="000000"/>
          <w:spacing w:val="0"/>
          <w:sz w:val="21"/>
        </w:rPr>
        <w:t>1.5</w:t>
      </w:r>
      <w:r>
        <w:rPr>
          <w:rFonts w:ascii="SKJVQB+å®ä½" w:hAnsi="SKJVQB+å®ä½" w:cs="SKJVQB+å®ä½"/>
          <w:color w:val="000000"/>
          <w:spacing w:val="0"/>
          <w:sz w:val="21"/>
        </w:rPr>
        <w:t>％，随申请份额持有时间增加而递减，如下表所示（其</w:t>
      </w:r>
    </w:p>
    <w:p>
      <w:pPr>
        <w:framePr w:w="9557" w:wrap="around" w:vAnchor="margin" w:hAnchor="text" w:x="1800" w:y="14354"/>
        <w:widowControl w:val="0"/>
        <w:autoSpaceDE w:val="0"/>
        <w:autoSpaceDN w:val="0"/>
        <w:spacing w:before="0" w:after="0" w:line="40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w:t>
      </w:r>
      <w:r>
        <w:rPr>
          <w:rFonts w:ascii="GGHCMB+å®ä½"/>
          <w:color w:val="000000"/>
          <w:spacing w:val="0"/>
          <w:sz w:val="21"/>
        </w:rPr>
        <w:t>6</w:t>
      </w:r>
      <w:r>
        <w:rPr>
          <w:rFonts w:ascii="SKJVQB+å®ä½" w:hAnsi="SKJVQB+å®ä½" w:cs="SKJVQB+å®ä½"/>
          <w:color w:val="000000"/>
          <w:spacing w:val="0"/>
          <w:sz w:val="21"/>
        </w:rPr>
        <w:t>个月指</w:t>
      </w:r>
      <w:r>
        <w:rPr>
          <w:rFonts w:ascii="GGHCMB+å®ä½"/>
          <w:color w:val="000000"/>
          <w:spacing w:val="0"/>
          <w:sz w:val="21"/>
        </w:rPr>
        <w:t>180</w:t>
      </w:r>
      <w:r>
        <w:rPr>
          <w:rFonts w:ascii="SKJVQB+å®ä½" w:hAnsi="SKJVQB+å®ä½" w:cs="SKJVQB+å®ä½"/>
          <w:color w:val="000000"/>
          <w:spacing w:val="0"/>
          <w:sz w:val="21"/>
        </w:rPr>
        <w:t>天，</w:t>
      </w:r>
      <w:r>
        <w:rPr>
          <w:rFonts w:ascii="GGHCMB+å®ä½"/>
          <w:color w:val="000000"/>
          <w:spacing w:val="0"/>
          <w:sz w:val="21"/>
        </w:rPr>
        <w:t>1</w:t>
      </w:r>
      <w:r>
        <w:rPr>
          <w:rFonts w:ascii="SKJVQB+å®ä½" w:hAnsi="SKJVQB+å®ä½" w:cs="SKJVQB+å®ä½"/>
          <w:color w:val="000000"/>
          <w:spacing w:val="0"/>
          <w:sz w:val="21"/>
        </w:rPr>
        <w:t>年指</w:t>
      </w:r>
      <w:r>
        <w:rPr>
          <w:rFonts w:ascii="GGHCMB+å®ä½"/>
          <w:color w:val="000000"/>
          <w:spacing w:val="0"/>
          <w:sz w:val="21"/>
        </w:rPr>
        <w:t>365</w:t>
      </w:r>
      <w:r>
        <w:rPr>
          <w:rFonts w:ascii="SKJVQB+å®ä½" w:hAnsi="SKJVQB+å®ä½" w:cs="SKJVQB+å®ä½"/>
          <w:color w:val="000000"/>
          <w:spacing w:val="0"/>
          <w:sz w:val="21"/>
        </w:rPr>
        <w:t>天）：</w:t>
      </w:r>
    </w:p>
    <w:p>
      <w:pPr>
        <w:framePr w:w="535" w:wrap="around" w:vAnchor="margin" w:hAnchor="text" w:x="9845"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117</w:t>
      </w:r>
    </w:p>
    <w:p>
      <w:pPr>
        <w:spacing w:before="0" w:after="0" w:line="0" w:lineRule="exact"/>
        <w:ind w:left="0" w:right="0"/>
        <w:jc w:val="left"/>
        <w:rPr>
          <w:rFonts w:ascii="Arial"/>
          <w:color w:val="FF0000"/>
          <w:spacing w:val="0"/>
          <w:sz w:val="2"/>
        </w:rPr>
      </w:pPr>
      <w:r>
        <w:pict>
          <v:shape id="_x0000242" o:spid="_x0000_s1268"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15" o:title=""/>
            <o:lock v:ext="edit" aspectratio="t"/>
          </v:shape>
        </w:pict>
      </w:r>
      <w:r>
        <w:pict>
          <v:shape id="_x0000243" o:spid="_x0000_s1269" o:spt="75" type="#_x0000_t75" style="position:absolute;left:0pt;margin-left:88.6pt;margin-top:71.1pt;height:262.75pt;width:418.3pt;mso-position-horizontal-relative:page;mso-position-vertical-relative:page;z-index:-1024;mso-width-relative:page;mso-height-relative:page;" filled="f" coordsize="21600,21600">
            <v:path/>
            <v:fill on="f" focussize="0,0"/>
            <v:stroke/>
            <v:imagedata r:id="rId216" o:title=""/>
            <o:lock v:ext="edit" aspectratio="t"/>
          </v:shape>
        </w:pict>
      </w:r>
      <w:r>
        <w:pict>
          <v:shape id="_x0000244" o:spid="_x0000_s1270" o:spt="75" type="#_x0000_t75" style="position:absolute;left:0pt;margin-left:173.95pt;margin-top:470.4pt;height:105.15pt;width:247.5pt;mso-position-horizontal-relative:page;mso-position-vertical-relative:page;z-index:-1024;mso-width-relative:page;mso-height-relative:page;" filled="f" coordsize="21600,21600">
            <v:path/>
            <v:fill on="f" focussize="0,0"/>
            <v:stroke/>
            <v:imagedata r:id="rId21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01" w:wrap="around" w:vAnchor="margin" w:hAnchor="text" w:x="3829" w:y="14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申请份额持有时间（</w:t>
      </w:r>
      <w:r>
        <w:rPr>
          <w:rFonts w:ascii="GGHCMB+å®ä½"/>
          <w:color w:val="000000"/>
          <w:spacing w:val="0"/>
          <w:sz w:val="21"/>
        </w:rPr>
        <w:t>N</w:t>
      </w:r>
      <w:r>
        <w:rPr>
          <w:rFonts w:ascii="SKJVQB+å®ä½" w:hAnsi="SKJVQB+å®ä½" w:cs="SKJVQB+å®ä½"/>
          <w:color w:val="000000"/>
          <w:spacing w:val="0"/>
          <w:sz w:val="21"/>
        </w:rPr>
        <w:t>）</w:t>
      </w:r>
    </w:p>
    <w:p>
      <w:pPr>
        <w:framePr w:w="1157" w:wrap="around" w:vAnchor="margin" w:hAnchor="text" w:x="6673" w:y="14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赎回费率</w:t>
      </w:r>
    </w:p>
    <w:p>
      <w:pPr>
        <w:framePr w:w="1157" w:wrap="around" w:vAnchor="margin" w:hAnchor="text" w:x="6673" w:y="1461"/>
        <w:widowControl w:val="0"/>
        <w:autoSpaceDE w:val="0"/>
        <w:autoSpaceDN w:val="0"/>
        <w:spacing w:before="0" w:after="0" w:line="420" w:lineRule="exact"/>
        <w:ind w:left="211" w:right="0"/>
        <w:jc w:val="left"/>
        <w:rPr>
          <w:rFonts w:ascii="GGHCMB+å®ä½"/>
          <w:color w:val="000000"/>
          <w:spacing w:val="0"/>
          <w:sz w:val="21"/>
        </w:rPr>
      </w:pPr>
      <w:r>
        <w:rPr>
          <w:rFonts w:ascii="GGHCMB+å®ä½"/>
          <w:color w:val="000000"/>
          <w:spacing w:val="0"/>
          <w:sz w:val="21"/>
        </w:rPr>
        <w:t>1.5%</w:t>
      </w:r>
    </w:p>
    <w:p>
      <w:pPr>
        <w:framePr w:w="1157" w:wrap="around" w:vAnchor="margin" w:hAnchor="text" w:x="6673" w:y="1461"/>
        <w:widowControl w:val="0"/>
        <w:autoSpaceDE w:val="0"/>
        <w:autoSpaceDN w:val="0"/>
        <w:spacing w:before="0" w:after="0" w:line="418" w:lineRule="exact"/>
        <w:ind w:left="211" w:right="0"/>
        <w:jc w:val="left"/>
        <w:rPr>
          <w:rFonts w:ascii="GGHCMB+å®ä½"/>
          <w:color w:val="000000"/>
          <w:spacing w:val="0"/>
          <w:sz w:val="21"/>
        </w:rPr>
      </w:pPr>
      <w:r>
        <w:rPr>
          <w:rFonts w:ascii="GGHCMB+å®ä½"/>
          <w:color w:val="000000"/>
          <w:spacing w:val="0"/>
          <w:sz w:val="21"/>
        </w:rPr>
        <w:t>0.5%</w:t>
      </w:r>
    </w:p>
    <w:p>
      <w:pPr>
        <w:framePr w:w="1157" w:wrap="around" w:vAnchor="margin" w:hAnchor="text" w:x="6673" w:y="1461"/>
        <w:widowControl w:val="0"/>
        <w:autoSpaceDE w:val="0"/>
        <w:autoSpaceDN w:val="0"/>
        <w:spacing w:before="0" w:after="0" w:line="418" w:lineRule="exact"/>
        <w:ind w:left="158" w:right="0"/>
        <w:jc w:val="left"/>
        <w:rPr>
          <w:rFonts w:ascii="GGHCMB+å®ä½"/>
          <w:color w:val="000000"/>
          <w:spacing w:val="0"/>
          <w:sz w:val="21"/>
        </w:rPr>
      </w:pPr>
      <w:r>
        <w:rPr>
          <w:rFonts w:ascii="GGHCMB+å®ä½"/>
          <w:color w:val="000000"/>
          <w:spacing w:val="0"/>
          <w:sz w:val="21"/>
        </w:rPr>
        <w:t>0.25%</w:t>
      </w:r>
    </w:p>
    <w:p>
      <w:pPr>
        <w:framePr w:w="1157" w:wrap="around" w:vAnchor="margin" w:hAnchor="text" w:x="6673" w:y="1461"/>
        <w:widowControl w:val="0"/>
        <w:autoSpaceDE w:val="0"/>
        <w:autoSpaceDN w:val="0"/>
        <w:spacing w:before="0" w:after="0" w:line="420" w:lineRule="exact"/>
        <w:ind w:left="367" w:right="0"/>
        <w:jc w:val="left"/>
        <w:rPr>
          <w:rFonts w:ascii="GGHCMB+å®ä½"/>
          <w:color w:val="000000"/>
          <w:spacing w:val="0"/>
          <w:sz w:val="21"/>
        </w:rPr>
      </w:pPr>
      <w:r>
        <w:rPr>
          <w:rFonts w:ascii="GGHCMB+å®ä½"/>
          <w:color w:val="000000"/>
          <w:spacing w:val="0"/>
          <w:sz w:val="21"/>
        </w:rPr>
        <w:t>0</w:t>
      </w:r>
    </w:p>
    <w:p>
      <w:pPr>
        <w:framePr w:w="1834" w:wrap="around" w:vAnchor="margin" w:hAnchor="text" w:x="4103" w:y="1875"/>
        <w:widowControl w:val="0"/>
        <w:autoSpaceDE w:val="0"/>
        <w:autoSpaceDN w:val="0"/>
        <w:spacing w:before="0" w:after="0" w:line="234" w:lineRule="exact"/>
        <w:ind w:left="394" w:right="0"/>
        <w:jc w:val="left"/>
        <w:rPr>
          <w:rFonts w:ascii="SKJVQB+å®ä½" w:hAnsi="SKJVQB+å®ä½" w:cs="SKJVQB+å®ä½"/>
          <w:color w:val="000000"/>
          <w:spacing w:val="0"/>
          <w:sz w:val="21"/>
        </w:rPr>
      </w:pPr>
      <w:r>
        <w:rPr>
          <w:rFonts w:ascii="Times New Roman"/>
          <w:color w:val="000000"/>
          <w:spacing w:val="0"/>
          <w:sz w:val="21"/>
        </w:rPr>
        <w:t>N</w:t>
      </w:r>
      <w:r>
        <w:rPr>
          <w:rFonts w:ascii="SKJVQB+å®ä½" w:hAnsi="SKJVQB+å®ä½" w:cs="SKJVQB+å®ä½"/>
          <w:color w:val="000000"/>
          <w:spacing w:val="0"/>
          <w:sz w:val="21"/>
        </w:rPr>
        <w:t>＜</w:t>
      </w:r>
      <w:r>
        <w:rPr>
          <w:rFonts w:ascii="Times New Roman"/>
          <w:color w:val="000000"/>
          <w:spacing w:val="0"/>
          <w:sz w:val="21"/>
        </w:rPr>
        <w:t>7</w:t>
      </w:r>
      <w:r>
        <w:rPr>
          <w:rFonts w:ascii="SKJVQB+å®ä½" w:hAnsi="SKJVQB+å®ä½" w:cs="SKJVQB+å®ä½"/>
          <w:color w:val="000000"/>
          <w:spacing w:val="0"/>
          <w:sz w:val="21"/>
        </w:rPr>
        <w:t>日</w:t>
      </w:r>
    </w:p>
    <w:p>
      <w:pPr>
        <w:framePr w:w="1834" w:wrap="around" w:vAnchor="margin" w:hAnchor="text" w:x="4103" w:y="1875"/>
        <w:widowControl w:val="0"/>
        <w:autoSpaceDE w:val="0"/>
        <w:autoSpaceDN w:val="0"/>
        <w:spacing w:before="0" w:after="0" w:line="418" w:lineRule="exact"/>
        <w:ind w:left="0" w:right="0"/>
        <w:jc w:val="left"/>
        <w:rPr>
          <w:rFonts w:ascii="SKJVQB+å®ä½" w:hAnsi="SKJVQB+å®ä½" w:cs="SKJVQB+å®ä½"/>
          <w:color w:val="000000"/>
          <w:spacing w:val="0"/>
          <w:sz w:val="21"/>
        </w:rPr>
      </w:pPr>
      <w:r>
        <w:rPr>
          <w:rFonts w:ascii="GGHCMB+å®ä½"/>
          <w:color w:val="000000"/>
          <w:spacing w:val="0"/>
          <w:sz w:val="21"/>
        </w:rPr>
        <w:t>7</w:t>
      </w:r>
      <w:r>
        <w:rPr>
          <w:rFonts w:ascii="SKJVQB+å®ä½" w:hAnsi="SKJVQB+å®ä½" w:cs="SKJVQB+å®ä½"/>
          <w:color w:val="000000"/>
          <w:spacing w:val="0"/>
          <w:sz w:val="21"/>
        </w:rPr>
        <w:t>日≤</w:t>
      </w:r>
      <w:r>
        <w:rPr>
          <w:rFonts w:ascii="Times New Roman"/>
          <w:color w:val="000000"/>
          <w:spacing w:val="0"/>
          <w:sz w:val="21"/>
        </w:rPr>
        <w:t>N</w:t>
      </w:r>
      <w:r>
        <w:rPr>
          <w:rFonts w:ascii="SKJVQB+å®ä½" w:hAnsi="SKJVQB+å®ä½" w:cs="SKJVQB+å®ä½"/>
          <w:color w:val="000000"/>
          <w:spacing w:val="0"/>
          <w:sz w:val="21"/>
        </w:rPr>
        <w:t>＜</w:t>
      </w:r>
      <w:r>
        <w:rPr>
          <w:rFonts w:ascii="Times New Roman"/>
          <w:color w:val="000000"/>
          <w:spacing w:val="0"/>
          <w:sz w:val="21"/>
        </w:rPr>
        <w:t>6</w:t>
      </w:r>
      <w:r>
        <w:rPr>
          <w:rFonts w:ascii="SKJVQB+å®ä½" w:hAnsi="SKJVQB+å®ä½" w:cs="SKJVQB+å®ä½"/>
          <w:color w:val="000000"/>
          <w:spacing w:val="0"/>
          <w:sz w:val="21"/>
        </w:rPr>
        <w:t>个月</w:t>
      </w:r>
    </w:p>
    <w:p>
      <w:pPr>
        <w:framePr w:w="1834" w:wrap="around" w:vAnchor="margin" w:hAnchor="text" w:x="4103" w:y="1875"/>
        <w:widowControl w:val="0"/>
        <w:autoSpaceDE w:val="0"/>
        <w:autoSpaceDN w:val="0"/>
        <w:spacing w:before="0" w:after="0" w:line="418" w:lineRule="exact"/>
        <w:ind w:left="0" w:right="0"/>
        <w:jc w:val="left"/>
        <w:rPr>
          <w:rFonts w:ascii="SKJVQB+å®ä½" w:hAnsi="SKJVQB+å®ä½" w:cs="SKJVQB+å®ä½"/>
          <w:color w:val="000000"/>
          <w:spacing w:val="0"/>
          <w:sz w:val="21"/>
        </w:rPr>
      </w:pPr>
      <w:r>
        <w:rPr>
          <w:rFonts w:ascii="Times New Roman"/>
          <w:color w:val="000000"/>
          <w:spacing w:val="0"/>
          <w:sz w:val="21"/>
        </w:rPr>
        <w:t>6</w:t>
      </w:r>
      <w:r>
        <w:rPr>
          <w:rFonts w:ascii="SKJVQB+å®ä½" w:hAnsi="SKJVQB+å®ä½" w:cs="SKJVQB+å®ä½"/>
          <w:color w:val="000000"/>
          <w:spacing w:val="0"/>
          <w:sz w:val="21"/>
        </w:rPr>
        <w:t>个月≤</w:t>
      </w:r>
      <w:r>
        <w:rPr>
          <w:rFonts w:ascii="Times New Roman"/>
          <w:color w:val="000000"/>
          <w:spacing w:val="0"/>
          <w:sz w:val="21"/>
        </w:rPr>
        <w:t>N</w:t>
      </w:r>
      <w:r>
        <w:rPr>
          <w:rFonts w:ascii="SKJVQB+å®ä½" w:hAnsi="SKJVQB+å®ä½" w:cs="SKJVQB+å®ä½"/>
          <w:color w:val="000000"/>
          <w:spacing w:val="0"/>
          <w:sz w:val="21"/>
        </w:rPr>
        <w:t>＜</w:t>
      </w:r>
      <w:r>
        <w:rPr>
          <w:rFonts w:ascii="Times New Roman"/>
          <w:color w:val="000000"/>
          <w:spacing w:val="0"/>
          <w:sz w:val="21"/>
        </w:rPr>
        <w:t>1</w:t>
      </w:r>
      <w:r>
        <w:rPr>
          <w:rFonts w:ascii="SKJVQB+å®ä½" w:hAnsi="SKJVQB+å®ä½" w:cs="SKJVQB+å®ä½"/>
          <w:color w:val="000000"/>
          <w:spacing w:val="0"/>
          <w:sz w:val="21"/>
        </w:rPr>
        <w:t>年</w:t>
      </w:r>
    </w:p>
    <w:p>
      <w:pPr>
        <w:framePr w:w="1834" w:wrap="around" w:vAnchor="margin" w:hAnchor="text" w:x="4103" w:y="1875"/>
        <w:widowControl w:val="0"/>
        <w:autoSpaceDE w:val="0"/>
        <w:autoSpaceDN w:val="0"/>
        <w:spacing w:before="0" w:after="0" w:line="420" w:lineRule="exact"/>
        <w:ind w:left="394" w:right="0"/>
        <w:jc w:val="left"/>
        <w:rPr>
          <w:rFonts w:ascii="SKJVQB+å®ä½" w:hAnsi="SKJVQB+å®ä½" w:cs="SKJVQB+å®ä½"/>
          <w:color w:val="000000"/>
          <w:spacing w:val="0"/>
          <w:sz w:val="21"/>
        </w:rPr>
      </w:pPr>
      <w:r>
        <w:rPr>
          <w:rFonts w:ascii="Times New Roman"/>
          <w:color w:val="000000"/>
          <w:spacing w:val="0"/>
          <w:sz w:val="21"/>
        </w:rPr>
        <w:t>N</w:t>
      </w:r>
      <w:r>
        <w:rPr>
          <w:rFonts w:ascii="SKJVQB+å®ä½" w:hAnsi="SKJVQB+å®ä½" w:cs="SKJVQB+å®ä½"/>
          <w:color w:val="000000"/>
          <w:spacing w:val="0"/>
          <w:sz w:val="21"/>
        </w:rPr>
        <w:t>≥</w:t>
      </w:r>
      <w:r>
        <w:rPr>
          <w:rFonts w:ascii="Times New Roman"/>
          <w:color w:val="000000"/>
          <w:spacing w:val="0"/>
          <w:sz w:val="21"/>
        </w:rPr>
        <w:t>1</w:t>
      </w:r>
      <w:r>
        <w:rPr>
          <w:rFonts w:ascii="SKJVQB+å®ä½" w:hAnsi="SKJVQB+å®ä½" w:cs="SKJVQB+å®ä½"/>
          <w:color w:val="000000"/>
          <w:spacing w:val="0"/>
          <w:sz w:val="21"/>
        </w:rPr>
        <w:t>年</w:t>
      </w:r>
    </w:p>
    <w:p>
      <w:pPr>
        <w:framePr w:w="9559" w:wrap="around" w:vAnchor="margin" w:hAnchor="text" w:x="1800" w:y="3554"/>
        <w:widowControl w:val="0"/>
        <w:autoSpaceDE w:val="0"/>
        <w:autoSpaceDN w:val="0"/>
        <w:spacing w:before="0" w:after="0" w:line="211" w:lineRule="exact"/>
        <w:ind w:left="420" w:right="0"/>
        <w:jc w:val="left"/>
        <w:rPr>
          <w:rFonts w:ascii="SKJVQB+å®ä½" w:hAnsi="SKJVQB+å®ä½" w:cs="SKJVQB+å®ä½"/>
          <w:color w:val="000000"/>
          <w:spacing w:val="0"/>
          <w:sz w:val="21"/>
        </w:rPr>
      </w:pPr>
      <w:r>
        <w:rPr>
          <w:rFonts w:ascii="SKJVQB+å®ä½" w:hAnsi="SKJVQB+å®ä½" w:cs="SKJVQB+å®ä½"/>
          <w:color w:val="000000"/>
          <w:spacing w:val="0"/>
          <w:sz w:val="21"/>
        </w:rPr>
        <w:t>本基金赎回费用由赎回基金份额的基金份额持有人承担，在基金份额持有人赎回基金份</w:t>
      </w:r>
    </w:p>
    <w:p>
      <w:pPr>
        <w:framePr w:w="9559" w:wrap="around" w:vAnchor="margin" w:hAnchor="text" w:x="1800" w:y="3554"/>
        <w:widowControl w:val="0"/>
        <w:autoSpaceDE w:val="0"/>
        <w:autoSpaceDN w:val="0"/>
        <w:spacing w:before="0" w:after="0" w:line="40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额时收取。本基金的赎回费用全部归入基金财产。</w:t>
      </w:r>
    </w:p>
    <w:p>
      <w:pPr>
        <w:framePr w:w="9560" w:wrap="around" w:vAnchor="margin" w:hAnchor="text" w:x="1800" w:y="4373"/>
        <w:widowControl w:val="0"/>
        <w:autoSpaceDE w:val="0"/>
        <w:autoSpaceDN w:val="0"/>
        <w:spacing w:before="0" w:after="0" w:line="211" w:lineRule="exact"/>
        <w:ind w:left="420" w:right="0"/>
        <w:jc w:val="left"/>
        <w:rPr>
          <w:rFonts w:ascii="SKJVQB+å®ä½" w:hAnsi="SKJVQB+å®ä½" w:cs="SKJVQB+å®ä½"/>
          <w:color w:val="000000"/>
          <w:spacing w:val="0"/>
          <w:sz w:val="21"/>
        </w:rPr>
      </w:pPr>
      <w:r>
        <w:rPr>
          <w:rFonts w:ascii="GGHCMB+å®ä½"/>
          <w:color w:val="000000"/>
          <w:spacing w:val="0"/>
          <w:sz w:val="21"/>
        </w:rPr>
        <w:t>3</w:t>
      </w:r>
      <w:r>
        <w:rPr>
          <w:rFonts w:ascii="SKJVQB+å®ä½" w:hAnsi="SKJVQB+å®ä½" w:cs="SKJVQB+å®ä½"/>
          <w:color w:val="000000"/>
          <w:spacing w:val="0"/>
          <w:sz w:val="21"/>
        </w:rPr>
        <w:t>、基金管理人可以在基金合同约定的范围内调整费率或收费方式，并最迟应于新的费</w:t>
      </w:r>
    </w:p>
    <w:p>
      <w:pPr>
        <w:framePr w:w="9560" w:wrap="around" w:vAnchor="margin" w:hAnchor="text" w:x="1800" w:y="4373"/>
        <w:widowControl w:val="0"/>
        <w:autoSpaceDE w:val="0"/>
        <w:autoSpaceDN w:val="0"/>
        <w:spacing w:before="0" w:after="0" w:line="40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率或收费方式实施日前依照《信息披露办法》的有关规定在指定媒介上公告。</w:t>
      </w:r>
    </w:p>
    <w:p>
      <w:pPr>
        <w:framePr w:w="9560" w:wrap="around" w:vAnchor="margin" w:hAnchor="text" w:x="1800" w:y="4373"/>
        <w:widowControl w:val="0"/>
        <w:autoSpaceDE w:val="0"/>
        <w:autoSpaceDN w:val="0"/>
        <w:spacing w:before="0" w:after="0" w:line="408" w:lineRule="exact"/>
        <w:ind w:left="420" w:right="0"/>
        <w:jc w:val="left"/>
        <w:rPr>
          <w:rFonts w:ascii="SKJVQB+å®ä½" w:hAnsi="SKJVQB+å®ä½" w:cs="SKJVQB+å®ä½"/>
          <w:color w:val="000000"/>
          <w:spacing w:val="0"/>
          <w:sz w:val="21"/>
        </w:rPr>
      </w:pPr>
      <w:r>
        <w:rPr>
          <w:rFonts w:ascii="Times New Roman"/>
          <w:color w:val="000000"/>
          <w:spacing w:val="0"/>
          <w:sz w:val="21"/>
        </w:rPr>
        <w:t>4</w:t>
      </w:r>
      <w:r>
        <w:rPr>
          <w:rFonts w:ascii="SKJVQB+å®ä½" w:hAnsi="SKJVQB+å®ä½" w:cs="SKJVQB+å®ä½"/>
          <w:color w:val="000000"/>
          <w:spacing w:val="0"/>
          <w:sz w:val="21"/>
        </w:rPr>
        <w:t>、基金管理人及其他基金销售机构可以在不违背法律法规规定及《基金合同》约定的</w:t>
      </w:r>
    </w:p>
    <w:p>
      <w:pPr>
        <w:framePr w:w="9560" w:wrap="around" w:vAnchor="margin" w:hAnchor="text" w:x="1800" w:y="4373"/>
        <w:widowControl w:val="0"/>
        <w:autoSpaceDE w:val="0"/>
        <w:autoSpaceDN w:val="0"/>
        <w:spacing w:before="0" w:after="0" w:line="40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情形下，对基金销售费用实行一定的优惠，费率优惠的相关规则和流程详见基金管理人或其</w:t>
      </w:r>
    </w:p>
    <w:p>
      <w:pPr>
        <w:framePr w:w="9560" w:wrap="around" w:vAnchor="margin" w:hAnchor="text" w:x="1800" w:y="4373"/>
        <w:widowControl w:val="0"/>
        <w:autoSpaceDE w:val="0"/>
        <w:autoSpaceDN w:val="0"/>
        <w:spacing w:before="0" w:after="0" w:line="408"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他基金销售机构届时发布的相关公告或通知。</w:t>
      </w:r>
    </w:p>
    <w:p>
      <w:pPr>
        <w:framePr w:w="3882" w:wrap="around" w:vAnchor="margin" w:hAnchor="text" w:x="1800" w:y="7180"/>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8.7</w:t>
      </w:r>
      <w:r>
        <w:rPr>
          <w:rFonts w:ascii="SKJVQB+å®ä½" w:hAnsi="SKJVQB+å®ä½" w:cs="SKJVQB+å®ä½"/>
          <w:color w:val="222222"/>
          <w:spacing w:val="0"/>
          <w:sz w:val="24"/>
        </w:rPr>
        <w:t>申购份额与赎回金额的计算</w:t>
      </w:r>
    </w:p>
    <w:p>
      <w:pPr>
        <w:framePr w:w="3746" w:wrap="around" w:vAnchor="margin" w:hAnchor="text" w:x="2220" w:y="776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、基金申购份额的计算方法如下：</w:t>
      </w:r>
    </w:p>
    <w:p>
      <w:pPr>
        <w:framePr w:w="7735" w:wrap="around" w:vAnchor="margin" w:hAnchor="text" w:x="2220" w:y="817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本基金的申购金额包括申购费用和净申购金额。申购份额的计算公式为：</w:t>
      </w:r>
    </w:p>
    <w:p>
      <w:pPr>
        <w:framePr w:w="7735" w:wrap="around" w:vAnchor="margin" w:hAnchor="text" w:x="2220" w:y="8175"/>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净申购金额＝申购金额</w:t>
      </w:r>
      <w:r>
        <w:rPr>
          <w:rFonts w:ascii="GGHCMB+å®ä½"/>
          <w:color w:val="222222"/>
          <w:spacing w:val="0"/>
          <w:sz w:val="21"/>
        </w:rPr>
        <w:t>/ (1</w:t>
      </w:r>
      <w:r>
        <w:rPr>
          <w:rFonts w:ascii="SKJVQB+å®ä½" w:hAnsi="SKJVQB+å®ä½" w:cs="SKJVQB+å®ä½"/>
          <w:color w:val="222222"/>
          <w:spacing w:val="0"/>
          <w:sz w:val="21"/>
        </w:rPr>
        <w:t>＋申购费率</w:t>
      </w:r>
      <w:r>
        <w:rPr>
          <w:rFonts w:ascii="GGHCMB+å®ä½"/>
          <w:color w:val="222222"/>
          <w:spacing w:val="0"/>
          <w:sz w:val="21"/>
        </w:rPr>
        <w:t>)</w:t>
      </w:r>
    </w:p>
    <w:p>
      <w:pPr>
        <w:framePr w:w="3627" w:wrap="around" w:vAnchor="margin" w:hAnchor="text" w:x="2220" w:y="899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申购费用＝申购金额－净申购金额</w:t>
      </w:r>
    </w:p>
    <w:p>
      <w:pPr>
        <w:framePr w:w="4958" w:wrap="around" w:vAnchor="margin" w:hAnchor="text" w:x="2220" w:y="940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申购份额＝净申购金额</w:t>
      </w:r>
      <w:r>
        <w:rPr>
          <w:rFonts w:ascii="GGHCMB+å®ä½"/>
          <w:color w:val="222222"/>
          <w:spacing w:val="0"/>
          <w:sz w:val="21"/>
        </w:rPr>
        <w:t>/</w:t>
      </w:r>
      <w:r>
        <w:rPr>
          <w:rFonts w:ascii="SKJVQB+å®ä½" w:hAnsi="SKJVQB+å®ä½" w:cs="SKJVQB+å®ä½"/>
          <w:color w:val="222222"/>
          <w:spacing w:val="0"/>
          <w:sz w:val="21"/>
        </w:rPr>
        <w:t>申购当日基金份额净值</w:t>
      </w:r>
    </w:p>
    <w:p>
      <w:pPr>
        <w:framePr w:w="9557" w:wrap="around" w:vAnchor="margin" w:hAnchor="text" w:x="1800" w:y="980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例：某投资人投资</w:t>
      </w:r>
      <w:r>
        <w:rPr>
          <w:rFonts w:ascii="GGHCMB+å®ä½"/>
          <w:color w:val="222222"/>
          <w:spacing w:val="0"/>
          <w:sz w:val="21"/>
        </w:rPr>
        <w:t>10</w:t>
      </w:r>
      <w:r>
        <w:rPr>
          <w:rFonts w:ascii="SKJVQB+å®ä½" w:hAnsi="SKJVQB+å®ä½" w:cs="SKJVQB+å®ä½"/>
          <w:color w:val="222222"/>
          <w:spacing w:val="0"/>
          <w:sz w:val="21"/>
        </w:rPr>
        <w:t>万元申购本基金</w:t>
      </w:r>
      <w:r>
        <w:rPr>
          <w:rFonts w:ascii="GGHCMB+å®ä½"/>
          <w:color w:val="222222"/>
          <w:spacing w:val="0"/>
          <w:sz w:val="21"/>
        </w:rPr>
        <w:t>A</w:t>
      </w:r>
      <w:r>
        <w:rPr>
          <w:rFonts w:ascii="SKJVQB+å®ä½" w:hAnsi="SKJVQB+å®ä½" w:cs="SKJVQB+å®ä½"/>
          <w:color w:val="222222"/>
          <w:spacing w:val="0"/>
          <w:sz w:val="21"/>
        </w:rPr>
        <w:t>类份额，对应申购费率为</w:t>
      </w:r>
      <w:r>
        <w:rPr>
          <w:rFonts w:ascii="GGHCMB+å®ä½"/>
          <w:color w:val="222222"/>
          <w:spacing w:val="0"/>
          <w:sz w:val="21"/>
        </w:rPr>
        <w:t>0.8%</w:t>
      </w:r>
      <w:r>
        <w:rPr>
          <w:rFonts w:ascii="SKJVQB+å®ä½" w:hAnsi="SKJVQB+å®ä½" w:cs="SKJVQB+å®ä½"/>
          <w:color w:val="222222"/>
          <w:spacing w:val="0"/>
          <w:sz w:val="21"/>
        </w:rPr>
        <w:t>，假设申购当日</w:t>
      </w:r>
    </w:p>
    <w:p>
      <w:pPr>
        <w:framePr w:w="9557" w:wrap="around" w:vAnchor="margin" w:hAnchor="text" w:x="1800" w:y="980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基金份额净值为</w:t>
      </w:r>
      <w:r>
        <w:rPr>
          <w:rFonts w:ascii="GGHCMB+å®ä½"/>
          <w:color w:val="222222"/>
          <w:spacing w:val="0"/>
          <w:sz w:val="21"/>
        </w:rPr>
        <w:t>1.016</w:t>
      </w:r>
      <w:r>
        <w:rPr>
          <w:rFonts w:ascii="SKJVQB+å®ä½" w:hAnsi="SKJVQB+å®ä½" w:cs="SKJVQB+å®ä½"/>
          <w:color w:val="222222"/>
          <w:spacing w:val="0"/>
          <w:sz w:val="21"/>
        </w:rPr>
        <w:t>元，则其可得到的申购份额为：</w:t>
      </w:r>
    </w:p>
    <w:p>
      <w:pPr>
        <w:framePr w:w="9557" w:wrap="around" w:vAnchor="margin" w:hAnchor="text" w:x="1800" w:y="9809"/>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净申购金额＝</w:t>
      </w:r>
      <w:r>
        <w:rPr>
          <w:rFonts w:ascii="GGHCMB+å®ä½"/>
          <w:color w:val="222222"/>
          <w:spacing w:val="0"/>
          <w:sz w:val="21"/>
        </w:rPr>
        <w:t>100,000/ (1</w:t>
      </w:r>
      <w:r>
        <w:rPr>
          <w:rFonts w:ascii="SKJVQB+å®ä½" w:hAnsi="SKJVQB+å®ä½" w:cs="SKJVQB+å®ä½"/>
          <w:color w:val="222222"/>
          <w:spacing w:val="0"/>
          <w:sz w:val="21"/>
        </w:rPr>
        <w:t>＋</w:t>
      </w:r>
      <w:r>
        <w:rPr>
          <w:rFonts w:ascii="GGHCMB+å®ä½"/>
          <w:color w:val="222222"/>
          <w:spacing w:val="0"/>
          <w:sz w:val="21"/>
        </w:rPr>
        <w:t>0.8%)</w:t>
      </w:r>
      <w:r>
        <w:rPr>
          <w:rFonts w:ascii="SKJVQB+å®ä½" w:hAnsi="SKJVQB+å®ä½" w:cs="SKJVQB+å®ä½"/>
          <w:color w:val="222222"/>
          <w:spacing w:val="0"/>
          <w:sz w:val="21"/>
        </w:rPr>
        <w:t>＝</w:t>
      </w:r>
      <w:r>
        <w:rPr>
          <w:rFonts w:ascii="GGHCMB+å®ä½"/>
          <w:color w:val="222222"/>
          <w:spacing w:val="0"/>
          <w:sz w:val="21"/>
        </w:rPr>
        <w:t>99,206.35</w:t>
      </w:r>
      <w:r>
        <w:rPr>
          <w:rFonts w:ascii="SKJVQB+å®ä½" w:hAnsi="SKJVQB+å®ä½" w:cs="SKJVQB+å®ä½"/>
          <w:color w:val="222222"/>
          <w:spacing w:val="0"/>
          <w:sz w:val="21"/>
        </w:rPr>
        <w:t>元</w:t>
      </w:r>
    </w:p>
    <w:p>
      <w:pPr>
        <w:framePr w:w="9557" w:wrap="around" w:vAnchor="margin" w:hAnchor="text" w:x="1800" w:y="9809"/>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申购费用＝</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99,206.35</w:t>
      </w:r>
      <w:r>
        <w:rPr>
          <w:rFonts w:ascii="SKJVQB+å®ä½" w:hAnsi="SKJVQB+å®ä½" w:cs="SKJVQB+å®ä½"/>
          <w:color w:val="222222"/>
          <w:spacing w:val="0"/>
          <w:sz w:val="21"/>
        </w:rPr>
        <w:t>＝</w:t>
      </w:r>
      <w:r>
        <w:rPr>
          <w:rFonts w:ascii="GGHCMB+å®ä½"/>
          <w:color w:val="222222"/>
          <w:spacing w:val="0"/>
          <w:sz w:val="21"/>
        </w:rPr>
        <w:t>793.65</w:t>
      </w:r>
      <w:r>
        <w:rPr>
          <w:rFonts w:ascii="SKJVQB+å®ä½" w:hAnsi="SKJVQB+å®ä½" w:cs="SKJVQB+å®ä½"/>
          <w:color w:val="222222"/>
          <w:spacing w:val="0"/>
          <w:sz w:val="21"/>
        </w:rPr>
        <w:t>元</w:t>
      </w:r>
    </w:p>
    <w:p>
      <w:pPr>
        <w:framePr w:w="4652" w:wrap="around" w:vAnchor="margin" w:hAnchor="text" w:x="2220" w:y="1144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申购份额＝</w:t>
      </w:r>
      <w:r>
        <w:rPr>
          <w:rFonts w:ascii="GGHCMB+å®ä½"/>
          <w:color w:val="222222"/>
          <w:spacing w:val="0"/>
          <w:sz w:val="21"/>
        </w:rPr>
        <w:t>99,206.35/1.016</w:t>
      </w:r>
      <w:r>
        <w:rPr>
          <w:rFonts w:ascii="SKJVQB+å®ä½" w:hAnsi="SKJVQB+å®ä½" w:cs="SKJVQB+å®ä½"/>
          <w:color w:val="222222"/>
          <w:spacing w:val="0"/>
          <w:sz w:val="21"/>
        </w:rPr>
        <w:t>＝</w:t>
      </w:r>
      <w:r>
        <w:rPr>
          <w:rFonts w:ascii="GGHCMB+å®ä½"/>
          <w:color w:val="222222"/>
          <w:spacing w:val="0"/>
          <w:sz w:val="21"/>
        </w:rPr>
        <w:t>97,644.04</w:t>
      </w:r>
      <w:r>
        <w:rPr>
          <w:rFonts w:ascii="SKJVQB+å®ä½" w:hAnsi="SKJVQB+å®ä½" w:cs="SKJVQB+å®ä½"/>
          <w:color w:val="222222"/>
          <w:spacing w:val="0"/>
          <w:sz w:val="21"/>
        </w:rPr>
        <w:t>份</w:t>
      </w:r>
    </w:p>
    <w:p>
      <w:pPr>
        <w:framePr w:w="9557" w:wrap="around" w:vAnchor="margin" w:hAnchor="text" w:x="1800" w:y="11852"/>
        <w:widowControl w:val="0"/>
        <w:autoSpaceDE w:val="0"/>
        <w:autoSpaceDN w:val="0"/>
        <w:spacing w:before="0" w:after="0" w:line="211" w:lineRule="exact"/>
        <w:ind w:left="420" w:right="0"/>
        <w:jc w:val="left"/>
        <w:rPr>
          <w:rFonts w:ascii="GGHCMB+å®ä½"/>
          <w:color w:val="222222"/>
          <w:spacing w:val="0"/>
          <w:sz w:val="21"/>
        </w:rPr>
      </w:pPr>
      <w:r>
        <w:rPr>
          <w:rFonts w:ascii="SKJVQB+å®ä½" w:hAnsi="SKJVQB+å®ä½" w:cs="SKJVQB+å®ä½"/>
          <w:color w:val="222222"/>
          <w:spacing w:val="0"/>
          <w:sz w:val="21"/>
        </w:rPr>
        <w:t xml:space="preserve">例：某投资人投资 </w:t>
      </w:r>
      <w:r>
        <w:rPr>
          <w:rFonts w:ascii="GGHCMB+å®ä½"/>
          <w:color w:val="222222"/>
          <w:spacing w:val="0"/>
          <w:sz w:val="21"/>
        </w:rPr>
        <w:t>10</w:t>
      </w:r>
      <w:r>
        <w:rPr>
          <w:rFonts w:ascii="SKJVQB+å®ä½" w:hAnsi="SKJVQB+å®ä½" w:cs="SKJVQB+å®ä½"/>
          <w:color w:val="222222"/>
          <w:spacing w:val="0"/>
          <w:sz w:val="21"/>
        </w:rPr>
        <w:t xml:space="preserve">万元申购本基金 </w:t>
      </w:r>
      <w:r>
        <w:rPr>
          <w:rFonts w:ascii="GGHCMB+å®ä½"/>
          <w:color w:val="222222"/>
          <w:spacing w:val="0"/>
          <w:sz w:val="21"/>
        </w:rPr>
        <w:t>C</w:t>
      </w:r>
      <w:r>
        <w:rPr>
          <w:rFonts w:ascii="SKJVQB+å®ä½" w:hAnsi="SKJVQB+å®ä½" w:cs="SKJVQB+å®ä½"/>
          <w:color w:val="222222"/>
          <w:spacing w:val="0"/>
          <w:sz w:val="21"/>
        </w:rPr>
        <w:t xml:space="preserve">类份额，假设申购当日基金份额净值为 </w:t>
      </w:r>
      <w:r>
        <w:rPr>
          <w:rFonts w:ascii="GGHCMB+å®ä½"/>
          <w:color w:val="222222"/>
          <w:spacing w:val="0"/>
          <w:sz w:val="21"/>
        </w:rPr>
        <w:t xml:space="preserve"> 1.016</w:t>
      </w:r>
    </w:p>
    <w:p>
      <w:pPr>
        <w:framePr w:w="9557" w:wrap="around" w:vAnchor="margin" w:hAnchor="text" w:x="1800" w:y="118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元。则其可得到的申购份额为：</w:t>
      </w:r>
    </w:p>
    <w:p>
      <w:pPr>
        <w:framePr w:w="4530" w:wrap="around" w:vAnchor="margin" w:hAnchor="text" w:x="2220" w:y="1266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申购份额＝</w:t>
      </w:r>
      <w:r>
        <w:rPr>
          <w:rFonts w:ascii="GGHCMB+å®ä½"/>
          <w:color w:val="222222"/>
          <w:spacing w:val="0"/>
          <w:sz w:val="21"/>
        </w:rPr>
        <w:t>100,000/1.016 = 98,425.19</w:t>
      </w:r>
      <w:r>
        <w:rPr>
          <w:rFonts w:ascii="SKJVQB+å®ä½" w:hAnsi="SKJVQB+å®ä½" w:cs="SKJVQB+å®ä½"/>
          <w:color w:val="222222"/>
          <w:spacing w:val="0"/>
          <w:sz w:val="21"/>
        </w:rPr>
        <w:t>份</w:t>
      </w:r>
    </w:p>
    <w:p>
      <w:pPr>
        <w:framePr w:w="2540" w:wrap="around" w:vAnchor="margin" w:hAnchor="text" w:x="2220" w:y="1307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、基金赎回金额的计算</w:t>
      </w:r>
    </w:p>
    <w:p>
      <w:pPr>
        <w:framePr w:w="3870" w:wrap="around" w:vAnchor="margin" w:hAnchor="text" w:x="2220" w:y="1348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在本基金的赎回金额的计算公式为：</w:t>
      </w:r>
    </w:p>
    <w:p>
      <w:pPr>
        <w:framePr w:w="9557" w:wrap="around" w:vAnchor="margin" w:hAnchor="text" w:x="1800" w:y="1389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赎回费用＝赎回份额×赎回当日基金份额净值×赎回费率</w:t>
      </w:r>
    </w:p>
    <w:p>
      <w:pPr>
        <w:framePr w:w="9557" w:wrap="around" w:vAnchor="margin" w:hAnchor="text" w:x="1800" w:y="1389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赎回金额＝赎回份额×赎回当日基金份额净值—赎回费用</w:t>
      </w:r>
    </w:p>
    <w:p>
      <w:pPr>
        <w:framePr w:w="9557" w:wrap="around" w:vAnchor="margin" w:hAnchor="text" w:x="1800" w:y="13895"/>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例：某投资人持有</w:t>
      </w:r>
      <w:r>
        <w:rPr>
          <w:rFonts w:ascii="GGHCMB+å®ä½"/>
          <w:color w:val="222222"/>
          <w:spacing w:val="0"/>
          <w:sz w:val="21"/>
        </w:rPr>
        <w:t>3</w:t>
      </w:r>
      <w:r>
        <w:rPr>
          <w:rFonts w:ascii="SKJVQB+å®ä½" w:hAnsi="SKJVQB+å®ä½" w:cs="SKJVQB+å®ä½"/>
          <w:color w:val="222222"/>
          <w:spacing w:val="0"/>
          <w:sz w:val="21"/>
        </w:rPr>
        <w:t>个月赎回本基金</w:t>
      </w:r>
      <w:r>
        <w:rPr>
          <w:rFonts w:ascii="GGHCMB+å®ä½"/>
          <w:color w:val="222222"/>
          <w:spacing w:val="0"/>
          <w:sz w:val="21"/>
        </w:rPr>
        <w:t>10</w:t>
      </w:r>
      <w:r>
        <w:rPr>
          <w:rFonts w:ascii="SKJVQB+å®ä½" w:hAnsi="SKJVQB+å®ä½" w:cs="SKJVQB+å®ä½"/>
          <w:color w:val="222222"/>
          <w:spacing w:val="0"/>
          <w:sz w:val="21"/>
        </w:rPr>
        <w:t>万份，对应的赎回费率为</w:t>
      </w:r>
      <w:r>
        <w:rPr>
          <w:rFonts w:ascii="GGHCMB+å®ä½"/>
          <w:color w:val="222222"/>
          <w:spacing w:val="0"/>
          <w:sz w:val="21"/>
        </w:rPr>
        <w:t>0.5%</w:t>
      </w:r>
      <w:r>
        <w:rPr>
          <w:rFonts w:ascii="SKJVQB+å®ä½" w:hAnsi="SKJVQB+å®ä½" w:cs="SKJVQB+å®ä½"/>
          <w:color w:val="222222"/>
          <w:spacing w:val="0"/>
          <w:sz w:val="21"/>
        </w:rPr>
        <w:t>，假设赎回当日</w:t>
      </w:r>
    </w:p>
    <w:p>
      <w:pPr>
        <w:framePr w:w="9557" w:wrap="around" w:vAnchor="margin" w:hAnchor="text" w:x="1800" w:y="1389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基金份额净值是</w:t>
      </w:r>
      <w:r>
        <w:rPr>
          <w:rFonts w:ascii="GGHCMB+å®ä½"/>
          <w:color w:val="222222"/>
          <w:spacing w:val="0"/>
          <w:sz w:val="21"/>
        </w:rPr>
        <w:t>1.017</w:t>
      </w:r>
      <w:r>
        <w:rPr>
          <w:rFonts w:ascii="SKJVQB+å®ä½" w:hAnsi="SKJVQB+å®ä½" w:cs="SKJVQB+å®ä½"/>
          <w:color w:val="222222"/>
          <w:spacing w:val="0"/>
          <w:sz w:val="21"/>
        </w:rPr>
        <w:t>元，则其可得到的赎回金额为：</w:t>
      </w:r>
    </w:p>
    <w:p>
      <w:pPr>
        <w:framePr w:w="535" w:wrap="around" w:vAnchor="margin" w:hAnchor="text" w:x="9845"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118</w:t>
      </w:r>
    </w:p>
    <w:p>
      <w:pPr>
        <w:spacing w:before="0" w:after="0" w:line="0" w:lineRule="exact"/>
        <w:ind w:left="0" w:right="0"/>
        <w:jc w:val="left"/>
        <w:rPr>
          <w:rFonts w:ascii="Arial"/>
          <w:color w:val="FF0000"/>
          <w:spacing w:val="0"/>
          <w:sz w:val="2"/>
        </w:rPr>
      </w:pPr>
      <w:r>
        <w:pict>
          <v:shape id="_x0000245" o:spid="_x0000_s1271"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18" o:title=""/>
            <o:lock v:ext="edit" aspectratio="t"/>
          </v:shape>
        </w:pict>
      </w:r>
      <w:r>
        <w:pict>
          <v:shape id="_x0000246" o:spid="_x0000_s1272" o:spt="75" type="#_x0000_t75" style="position:absolute;left:0pt;margin-left:185.8pt;margin-top:71.1pt;height:105.15pt;width:223.75pt;mso-position-horizontal-relative:page;mso-position-vertical-relative:page;z-index:-1024;mso-width-relative:page;mso-height-relative:page;" filled="f" coordsize="21600,21600">
            <v:path/>
            <v:fill on="f" focussize="0,0"/>
            <v:stroke/>
            <v:imagedata r:id="rId219" o:title=""/>
            <o:lock v:ext="edit" aspectratio="t"/>
          </v:shape>
        </w:pict>
      </w:r>
      <w:r>
        <w:pict>
          <v:shape id="_x0000247" o:spid="_x0000_s1273" o:spt="75" type="#_x0000_t75" style="position:absolute;left:0pt;margin-left:88.6pt;margin-top:348.95pt;height:426.05pt;width:418.3pt;mso-position-horizontal-relative:page;mso-position-vertical-relative:page;z-index:-1024;mso-width-relative:page;mso-height-relative:page;" filled="f" coordsize="21600,21600">
            <v:path/>
            <v:fill on="f" focussize="0,0"/>
            <v:stroke/>
            <v:imagedata r:id="rId22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4895"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赎回费用＝</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0.5%</w:t>
      </w:r>
      <w:r>
        <w:rPr>
          <w:rFonts w:ascii="SKJVQB+å®ä½" w:hAnsi="SKJVQB+å®ä½" w:cs="SKJVQB+å®ä½"/>
          <w:color w:val="222222"/>
          <w:spacing w:val="0"/>
          <w:sz w:val="21"/>
        </w:rPr>
        <w:t>＝</w:t>
      </w:r>
      <w:r>
        <w:rPr>
          <w:rFonts w:ascii="GGHCMB+å®ä½"/>
          <w:color w:val="222222"/>
          <w:spacing w:val="0"/>
          <w:sz w:val="21"/>
        </w:rPr>
        <w:t>508.50</w:t>
      </w:r>
      <w:r>
        <w:rPr>
          <w:rFonts w:ascii="SKJVQB+å®ä½" w:hAnsi="SKJVQB+å®ä½" w:cs="SKJVQB+å®ä½"/>
          <w:color w:val="222222"/>
          <w:spacing w:val="0"/>
          <w:sz w:val="21"/>
        </w:rPr>
        <w:t>元</w:t>
      </w:r>
    </w:p>
    <w:p>
      <w:pPr>
        <w:framePr w:w="9557" w:wrap="around" w:vAnchor="margin" w:hAnchor="text" w:x="1800" w:y="186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赎回金额＝</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508.50</w:t>
      </w:r>
      <w:r>
        <w:rPr>
          <w:rFonts w:ascii="SKJVQB+å®ä½" w:hAnsi="SKJVQB+å®ä½" w:cs="SKJVQB+å®ä½"/>
          <w:color w:val="222222"/>
          <w:spacing w:val="0"/>
          <w:sz w:val="21"/>
        </w:rPr>
        <w:t>＝</w:t>
      </w:r>
      <w:r>
        <w:rPr>
          <w:rFonts w:ascii="GGHCMB+å®ä½"/>
          <w:color w:val="222222"/>
          <w:spacing w:val="0"/>
          <w:sz w:val="21"/>
        </w:rPr>
        <w:t>101,191.50</w:t>
      </w:r>
      <w:r>
        <w:rPr>
          <w:rFonts w:ascii="SKJVQB+å®ä½" w:hAnsi="SKJVQB+å®ä½" w:cs="SKJVQB+å®ä½"/>
          <w:color w:val="222222"/>
          <w:spacing w:val="0"/>
          <w:sz w:val="21"/>
        </w:rPr>
        <w:t>元</w:t>
      </w:r>
    </w:p>
    <w:p>
      <w:pPr>
        <w:framePr w:w="9557" w:wrap="around" w:vAnchor="margin" w:hAnchor="text" w:x="1800" w:y="1860"/>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例：某投资人持有 </w:t>
      </w:r>
      <w:r>
        <w:rPr>
          <w:rFonts w:ascii="GGHCMB+å®ä½"/>
          <w:color w:val="222222"/>
          <w:spacing w:val="0"/>
          <w:sz w:val="21"/>
        </w:rPr>
        <w:t>9</w:t>
      </w:r>
      <w:r>
        <w:rPr>
          <w:rFonts w:ascii="SKJVQB+å®ä½" w:hAnsi="SKJVQB+å®ä½" w:cs="SKJVQB+å®ä½"/>
          <w:color w:val="222222"/>
          <w:spacing w:val="0"/>
          <w:sz w:val="21"/>
        </w:rPr>
        <w:t xml:space="preserve">个月赎回本基金 </w:t>
      </w:r>
      <w:r>
        <w:rPr>
          <w:rFonts w:ascii="GGHCMB+å®ä½"/>
          <w:color w:val="222222"/>
          <w:spacing w:val="0"/>
          <w:sz w:val="21"/>
        </w:rPr>
        <w:t>10</w:t>
      </w:r>
      <w:r>
        <w:rPr>
          <w:rFonts w:ascii="SKJVQB+å®ä½" w:hAnsi="SKJVQB+å®ä½" w:cs="SKJVQB+å®ä½"/>
          <w:color w:val="222222"/>
          <w:spacing w:val="0"/>
          <w:sz w:val="21"/>
        </w:rPr>
        <w:t xml:space="preserve">万份，对应的赎回费率为 </w:t>
      </w:r>
      <w:r>
        <w:rPr>
          <w:rFonts w:ascii="GGHCMB+å®ä½"/>
          <w:color w:val="222222"/>
          <w:spacing w:val="0"/>
          <w:sz w:val="21"/>
        </w:rPr>
        <w:t>0.25%</w:t>
      </w:r>
      <w:r>
        <w:rPr>
          <w:rFonts w:ascii="SKJVQB+å®ä½" w:hAnsi="SKJVQB+å®ä½" w:cs="SKJVQB+å®ä½"/>
          <w:color w:val="222222"/>
          <w:spacing w:val="0"/>
          <w:sz w:val="21"/>
        </w:rPr>
        <w:t>，假设赎回当</w:t>
      </w:r>
    </w:p>
    <w:p>
      <w:pPr>
        <w:framePr w:w="9557" w:wrap="around" w:vAnchor="margin" w:hAnchor="text" w:x="1800" w:y="186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日基金份额净值是</w:t>
      </w:r>
      <w:r>
        <w:rPr>
          <w:rFonts w:ascii="GGHCMB+å®ä½"/>
          <w:color w:val="222222"/>
          <w:spacing w:val="0"/>
          <w:sz w:val="21"/>
        </w:rPr>
        <w:t>1.017</w:t>
      </w:r>
      <w:r>
        <w:rPr>
          <w:rFonts w:ascii="SKJVQB+å®ä½" w:hAnsi="SKJVQB+å®ä½" w:cs="SKJVQB+å®ä½"/>
          <w:color w:val="222222"/>
          <w:spacing w:val="0"/>
          <w:sz w:val="21"/>
        </w:rPr>
        <w:t>元，则其可得到的赎回金额为：</w:t>
      </w:r>
    </w:p>
    <w:p>
      <w:pPr>
        <w:framePr w:w="5013" w:wrap="around" w:vAnchor="margin" w:hAnchor="text" w:x="2220" w:y="30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赎回费用＝</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0.25%</w:t>
      </w:r>
      <w:r>
        <w:rPr>
          <w:rFonts w:ascii="SKJVQB+å®ä½" w:hAnsi="SKJVQB+å®ä½" w:cs="SKJVQB+å®ä½"/>
          <w:color w:val="222222"/>
          <w:spacing w:val="0"/>
          <w:sz w:val="21"/>
        </w:rPr>
        <w:t>＝</w:t>
      </w:r>
      <w:r>
        <w:rPr>
          <w:rFonts w:ascii="GGHCMB+å®ä½"/>
          <w:color w:val="222222"/>
          <w:spacing w:val="0"/>
          <w:sz w:val="21"/>
        </w:rPr>
        <w:t>254.25</w:t>
      </w:r>
      <w:r>
        <w:rPr>
          <w:rFonts w:ascii="SKJVQB+å®ä½" w:hAnsi="SKJVQB+å®ä½" w:cs="SKJVQB+å®ä½"/>
          <w:color w:val="222222"/>
          <w:spacing w:val="0"/>
          <w:sz w:val="21"/>
        </w:rPr>
        <w:t>元</w:t>
      </w:r>
    </w:p>
    <w:p>
      <w:pPr>
        <w:framePr w:w="5618" w:wrap="around" w:vAnchor="margin" w:hAnchor="text" w:x="2220" w:y="34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赎回金额＝</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254.25</w:t>
      </w:r>
      <w:r>
        <w:rPr>
          <w:rFonts w:ascii="SKJVQB+å®ä½" w:hAnsi="SKJVQB+å®ä½" w:cs="SKJVQB+å®ä½"/>
          <w:color w:val="222222"/>
          <w:spacing w:val="0"/>
          <w:sz w:val="21"/>
        </w:rPr>
        <w:t>＝</w:t>
      </w:r>
      <w:r>
        <w:rPr>
          <w:rFonts w:ascii="GGHCMB+å®ä½"/>
          <w:color w:val="222222"/>
          <w:spacing w:val="0"/>
          <w:sz w:val="21"/>
        </w:rPr>
        <w:t>101,445.75</w:t>
      </w:r>
      <w:r>
        <w:rPr>
          <w:rFonts w:ascii="SKJVQB+å®ä½" w:hAnsi="SKJVQB+å®ä½" w:cs="SKJVQB+å®ä½"/>
          <w:color w:val="222222"/>
          <w:spacing w:val="0"/>
          <w:sz w:val="21"/>
        </w:rPr>
        <w:t>元</w:t>
      </w:r>
    </w:p>
    <w:p>
      <w:pPr>
        <w:framePr w:w="9557"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例：某投资人持有</w:t>
      </w:r>
      <w:r>
        <w:rPr>
          <w:rFonts w:ascii="GGHCMB+å®ä½"/>
          <w:color w:val="222222"/>
          <w:spacing w:val="0"/>
          <w:sz w:val="21"/>
        </w:rPr>
        <w:t>2</w:t>
      </w:r>
      <w:r>
        <w:rPr>
          <w:rFonts w:ascii="SKJVQB+å®ä½" w:hAnsi="SKJVQB+å®ä½" w:cs="SKJVQB+å®ä½"/>
          <w:color w:val="222222"/>
          <w:spacing w:val="0"/>
          <w:sz w:val="21"/>
        </w:rPr>
        <w:t>年赎回本基金</w:t>
      </w:r>
      <w:r>
        <w:rPr>
          <w:rFonts w:ascii="GGHCMB+å®ä½"/>
          <w:color w:val="222222"/>
          <w:spacing w:val="0"/>
          <w:sz w:val="21"/>
        </w:rPr>
        <w:t>10</w:t>
      </w:r>
      <w:r>
        <w:rPr>
          <w:rFonts w:ascii="SKJVQB+å®ä½" w:hAnsi="SKJVQB+å®ä½" w:cs="SKJVQB+å®ä½"/>
          <w:color w:val="222222"/>
          <w:spacing w:val="0"/>
          <w:sz w:val="21"/>
        </w:rPr>
        <w:t>万份，对应的赎回费率为</w:t>
      </w:r>
      <w:r>
        <w:rPr>
          <w:rFonts w:ascii="GGHCMB+å®ä½"/>
          <w:color w:val="222222"/>
          <w:spacing w:val="0"/>
          <w:sz w:val="21"/>
        </w:rPr>
        <w:t>0%</w:t>
      </w:r>
      <w:r>
        <w:rPr>
          <w:rFonts w:ascii="SKJVQB+å®ä½" w:hAnsi="SKJVQB+å®ä½" w:cs="SKJVQB+å®ä½"/>
          <w:color w:val="222222"/>
          <w:spacing w:val="0"/>
          <w:sz w:val="21"/>
        </w:rPr>
        <w:t>，假设赎回当日基金</w:t>
      </w:r>
    </w:p>
    <w:p>
      <w:pPr>
        <w:framePr w:w="9557"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份额净值是</w:t>
      </w:r>
      <w:r>
        <w:rPr>
          <w:rFonts w:ascii="GGHCMB+å®ä½"/>
          <w:color w:val="222222"/>
          <w:spacing w:val="0"/>
          <w:sz w:val="21"/>
        </w:rPr>
        <w:t>1.017</w:t>
      </w:r>
      <w:r>
        <w:rPr>
          <w:rFonts w:ascii="SKJVQB+å®ä½" w:hAnsi="SKJVQB+å®ä½" w:cs="SKJVQB+å®ä½"/>
          <w:color w:val="222222"/>
          <w:spacing w:val="0"/>
          <w:sz w:val="21"/>
        </w:rPr>
        <w:t>元，则其可得到的赎回金额为：</w:t>
      </w:r>
    </w:p>
    <w:p>
      <w:pPr>
        <w:framePr w:w="4652" w:wrap="around" w:vAnchor="margin" w:hAnchor="text" w:x="2220" w:y="47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赎回金额＝</w:t>
      </w:r>
      <w:r>
        <w:rPr>
          <w:rFonts w:ascii="GGHCMB+å®ä½"/>
          <w:color w:val="222222"/>
          <w:spacing w:val="0"/>
          <w:sz w:val="21"/>
        </w:rPr>
        <w:t>100,000</w:t>
      </w:r>
      <w:r>
        <w:rPr>
          <w:rFonts w:ascii="SKJVQB+å®ä½" w:hAnsi="SKJVQB+å®ä½" w:cs="SKJVQB+å®ä½"/>
          <w:color w:val="222222"/>
          <w:spacing w:val="0"/>
          <w:sz w:val="21"/>
        </w:rPr>
        <w:t>×</w:t>
      </w:r>
      <w:r>
        <w:rPr>
          <w:rFonts w:ascii="GGHCMB+å®ä½"/>
          <w:color w:val="222222"/>
          <w:spacing w:val="0"/>
          <w:sz w:val="21"/>
        </w:rPr>
        <w:t>1.017</w:t>
      </w:r>
      <w:r>
        <w:rPr>
          <w:rFonts w:ascii="SKJVQB+å®ä½" w:hAnsi="SKJVQB+å®ä½" w:cs="SKJVQB+å®ä½"/>
          <w:color w:val="222222"/>
          <w:spacing w:val="0"/>
          <w:sz w:val="21"/>
        </w:rPr>
        <w:t>＝</w:t>
      </w:r>
      <w:r>
        <w:rPr>
          <w:rFonts w:ascii="GGHCMB+å®ä½"/>
          <w:color w:val="222222"/>
          <w:spacing w:val="0"/>
          <w:sz w:val="21"/>
        </w:rPr>
        <w:t>101,700.00</w:t>
      </w:r>
      <w:r>
        <w:rPr>
          <w:rFonts w:ascii="SKJVQB+å®ä½" w:hAnsi="SKJVQB+å®ä½" w:cs="SKJVQB+å®ä½"/>
          <w:color w:val="222222"/>
          <w:spacing w:val="0"/>
          <w:sz w:val="21"/>
        </w:rPr>
        <w:t>元</w:t>
      </w:r>
    </w:p>
    <w:p>
      <w:pPr>
        <w:framePr w:w="2540"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、基金份额净值的计算</w:t>
      </w:r>
    </w:p>
    <w:p>
      <w:pPr>
        <w:framePr w:w="9560"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本基金份额净值的计算，保留到小数点后</w:t>
      </w:r>
      <w:r>
        <w:rPr>
          <w:rFonts w:ascii="GGHCMB+å®ä½"/>
          <w:color w:val="222222"/>
          <w:spacing w:val="0"/>
          <w:sz w:val="21"/>
        </w:rPr>
        <w:t>3</w:t>
      </w:r>
      <w:r>
        <w:rPr>
          <w:rFonts w:ascii="SKJVQB+å®ä½" w:hAnsi="SKJVQB+å®ä½" w:cs="SKJVQB+å®ä½"/>
          <w:color w:val="222222"/>
          <w:spacing w:val="0"/>
          <w:sz w:val="21"/>
        </w:rPr>
        <w:t>位，小数点后第</w:t>
      </w:r>
      <w:r>
        <w:rPr>
          <w:rFonts w:ascii="GGHCMB+å®ä½"/>
          <w:color w:val="222222"/>
          <w:spacing w:val="0"/>
          <w:sz w:val="21"/>
        </w:rPr>
        <w:t>4</w:t>
      </w:r>
      <w:r>
        <w:rPr>
          <w:rFonts w:ascii="SKJVQB+å®ä½" w:hAnsi="SKJVQB+å®ä½" w:cs="SKJVQB+å®ä½"/>
          <w:color w:val="222222"/>
          <w:spacing w:val="0"/>
          <w:sz w:val="21"/>
        </w:rPr>
        <w:t>位四舍五入，由此产生的</w:t>
      </w:r>
    </w:p>
    <w:p>
      <w:pPr>
        <w:framePr w:w="9560"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收益或损失由基金财产承担。</w:t>
      </w:r>
      <w:r>
        <w:rPr>
          <w:rFonts w:ascii="GGHCMB+å®ä½"/>
          <w:color w:val="222222"/>
          <w:spacing w:val="0"/>
          <w:sz w:val="21"/>
        </w:rPr>
        <w:t>T</w:t>
      </w:r>
      <w:r>
        <w:rPr>
          <w:rFonts w:ascii="SKJVQB+å®ä½" w:hAnsi="SKJVQB+å®ä½" w:cs="SKJVQB+å®ä½"/>
          <w:color w:val="222222"/>
          <w:spacing w:val="0"/>
          <w:sz w:val="21"/>
        </w:rPr>
        <w:t>日的基金份额净值在当天收市后计算，并在</w:t>
      </w:r>
      <w:r>
        <w:rPr>
          <w:rFonts w:ascii="GGHCMB+å®ä½"/>
          <w:color w:val="222222"/>
          <w:spacing w:val="0"/>
          <w:sz w:val="21"/>
        </w:rPr>
        <w:t>T+1</w:t>
      </w:r>
      <w:r>
        <w:rPr>
          <w:rFonts w:ascii="SKJVQB+å®ä½" w:hAnsi="SKJVQB+å®ä½" w:cs="SKJVQB+å®ä½"/>
          <w:color w:val="222222"/>
          <w:spacing w:val="0"/>
          <w:sz w:val="21"/>
        </w:rPr>
        <w:t>日内公告。</w:t>
      </w:r>
    </w:p>
    <w:p>
      <w:pPr>
        <w:framePr w:w="9560" w:wrap="around" w:vAnchor="margin" w:hAnchor="text" w:x="1800" w:y="553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遇特殊情况，经中国证监会同意，可以适当延迟计算或公告。</w:t>
      </w:r>
    </w:p>
    <w:p>
      <w:pPr>
        <w:framePr w:w="9560" w:wrap="around" w:vAnchor="margin" w:hAnchor="text" w:x="1800" w:y="553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、申购份额、余额的处理方式</w:t>
      </w:r>
    </w:p>
    <w:p>
      <w:pPr>
        <w:framePr w:w="9553"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申购的有效份额为按实际确认的申购金额在扣除相应的费用后，以当日基金份额净值</w:t>
      </w:r>
    </w:p>
    <w:p>
      <w:pPr>
        <w:framePr w:w="9553"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为基准计算。申购涉及金额的计算结果保留到小数点后两位，小数点后两位以后的部分四</w:t>
      </w:r>
    </w:p>
    <w:p>
      <w:pPr>
        <w:framePr w:w="9553"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舍五入，由此产生的误差计入基金财产。申购涉及份额的计算结果按舍去尾数的方法，保</w:t>
      </w:r>
    </w:p>
    <w:p>
      <w:pPr>
        <w:framePr w:w="9553" w:wrap="around" w:vAnchor="margin" w:hAnchor="text" w:x="1800" w:y="717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留到小数点后</w:t>
      </w:r>
      <w:r>
        <w:rPr>
          <w:rFonts w:ascii="GGHCMB+å®ä½"/>
          <w:color w:val="222222"/>
          <w:spacing w:val="0"/>
          <w:sz w:val="21"/>
        </w:rPr>
        <w:t>2</w:t>
      </w:r>
      <w:r>
        <w:rPr>
          <w:rFonts w:ascii="SKJVQB+å®ä½" w:hAnsi="SKJVQB+å®ä½" w:cs="SKJVQB+å®ä½"/>
          <w:color w:val="222222"/>
          <w:spacing w:val="0"/>
          <w:sz w:val="21"/>
        </w:rPr>
        <w:t>位，由此产生的收益或损失由基金财产承担。</w:t>
      </w:r>
    </w:p>
    <w:p>
      <w:pPr>
        <w:framePr w:w="9553" w:wrap="around" w:vAnchor="margin" w:hAnchor="text" w:x="1800" w:y="717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、赎回金额的处理方式</w:t>
      </w:r>
    </w:p>
    <w:p>
      <w:pPr>
        <w:framePr w:w="9552" w:wrap="around" w:vAnchor="margin" w:hAnchor="text" w:x="1800" w:y="921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赎回金额为按实际确认的有效赎回份额以当日基金份额净值为基准来计算并扣除相应</w:t>
      </w:r>
    </w:p>
    <w:p>
      <w:pPr>
        <w:framePr w:w="9552"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的费用，计算结果保留到小数点后两位，小数点后两位以后的部分四舍五入，由此产生的</w:t>
      </w:r>
    </w:p>
    <w:p>
      <w:pPr>
        <w:framePr w:w="9552" w:wrap="around" w:vAnchor="margin" w:hAnchor="text" w:x="1800" w:y="921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误差计入基金财产。</w:t>
      </w:r>
    </w:p>
    <w:p>
      <w:pPr>
        <w:framePr w:w="2773" w:wrap="around" w:vAnchor="margin" w:hAnchor="text" w:x="1800" w:y="10894"/>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8.8</w:t>
      </w:r>
      <w:r>
        <w:rPr>
          <w:rFonts w:ascii="SKJVQB+å®ä½" w:hAnsi="SKJVQB+å®ä½" w:cs="SKJVQB+å®ä½"/>
          <w:color w:val="222222"/>
          <w:spacing w:val="0"/>
          <w:sz w:val="24"/>
        </w:rPr>
        <w:t>申购与赎回的登记</w:t>
      </w:r>
    </w:p>
    <w:p>
      <w:pPr>
        <w:framePr w:w="9560" w:wrap="around" w:vAnchor="margin" w:hAnchor="text" w:x="1800" w:y="114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投资人申购基金成功后，基金登记机构在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日为投资人登记权益并办理登记手续，</w:t>
      </w:r>
    </w:p>
    <w:p>
      <w:pPr>
        <w:framePr w:w="9560" w:wrap="around" w:vAnchor="margin" w:hAnchor="text" w:x="1800" w:y="114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投资人自</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日（含该日）后有权赎回该部分基金份额。</w:t>
      </w:r>
    </w:p>
    <w:p>
      <w:pPr>
        <w:framePr w:w="9553" w:wrap="around" w:vAnchor="margin" w:hAnchor="text" w:x="1800" w:y="1229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投资人赎回基金成功后，基金登记机构在</w:t>
      </w:r>
      <w:r>
        <w:rPr>
          <w:rFonts w:ascii="GGHCMB+å®ä½"/>
          <w:color w:val="222222"/>
          <w:spacing w:val="0"/>
          <w:sz w:val="21"/>
        </w:rPr>
        <w:t>T</w:t>
      </w: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日为投资人办理扣除权益的登记手续。</w:t>
      </w:r>
    </w:p>
    <w:p>
      <w:pPr>
        <w:framePr w:w="9553" w:wrap="around" w:vAnchor="margin" w:hAnchor="text" w:x="1800" w:y="12297"/>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登记机构可以在法律法规允许的范围内，对上述登记办理时间进行调整，但不得实质</w:t>
      </w:r>
    </w:p>
    <w:p>
      <w:pPr>
        <w:framePr w:w="9553" w:wrap="around" w:vAnchor="margin" w:hAnchor="text" w:x="1800" w:y="1229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影响投资人的合法权益，并最迟于实施前依照《信息披露办法》的有关规定在指定媒介公</w:t>
      </w:r>
    </w:p>
    <w:p>
      <w:pPr>
        <w:framePr w:w="9553" w:wrap="around" w:vAnchor="margin" w:hAnchor="text" w:x="1800" w:y="1229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告。</w:t>
      </w:r>
    </w:p>
    <w:p>
      <w:pPr>
        <w:framePr w:w="4712" w:wrap="around" w:vAnchor="margin" w:hAnchor="text" w:x="1800" w:y="14384"/>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8.9</w:t>
      </w:r>
      <w:r>
        <w:rPr>
          <w:rFonts w:ascii="SKJVQB+å®ä½" w:hAnsi="SKJVQB+å®ä½" w:cs="SKJVQB+å®ä½"/>
          <w:color w:val="222222"/>
          <w:spacing w:val="0"/>
          <w:sz w:val="24"/>
        </w:rPr>
        <w:t>拒绝或暂停申购的情形及处理方式</w:t>
      </w:r>
    </w:p>
    <w:p>
      <w:pPr>
        <w:framePr w:w="7252" w:wrap="around" w:vAnchor="margin" w:hAnchor="text" w:x="2220" w:y="1497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发生下列情况时，基金管理人可拒绝或暂停接受投资人的申购申请：</w:t>
      </w:r>
    </w:p>
    <w:p>
      <w:pPr>
        <w:framePr w:w="535" w:wrap="around" w:vAnchor="margin" w:hAnchor="text" w:x="9845"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119</w:t>
      </w:r>
    </w:p>
    <w:p>
      <w:pPr>
        <w:spacing w:before="0" w:after="0" w:line="0" w:lineRule="exact"/>
        <w:ind w:left="0" w:right="0"/>
        <w:jc w:val="left"/>
        <w:rPr>
          <w:rFonts w:ascii="Arial"/>
          <w:color w:val="FF0000"/>
          <w:spacing w:val="0"/>
          <w:sz w:val="2"/>
        </w:rPr>
      </w:pPr>
      <w:r>
        <w:pict>
          <v:shape id="_x0000248" o:spid="_x0000_s1274"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1" o:title=""/>
            <o:lock v:ext="edit" aspectratio="t"/>
          </v:shape>
        </w:pict>
      </w:r>
      <w:r>
        <w:pict>
          <v:shape id="_x0000249" o:spid="_x0000_s1275" o:spt="75" type="#_x0000_t75" style="position:absolute;left:0pt;margin-left:88.6pt;margin-top:71.1pt;height:696.5pt;width:418.3pt;mso-position-horizontal-relative:page;mso-position-vertical-relative:page;z-index:-1024;mso-width-relative:page;mso-height-relative:page;" filled="f" coordsize="21600,21600">
            <v:path/>
            <v:fill on="f" focussize="0,0"/>
            <v:stroke/>
            <v:imagedata r:id="rId3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4229"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、因不可抗力导致基金无法正常运作。</w:t>
      </w:r>
    </w:p>
    <w:p>
      <w:pPr>
        <w:framePr w:w="9556" w:wrap="around" w:vAnchor="margin" w:hAnchor="text" w:x="1800" w:y="186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、发生基金合同规定的暂停基金资产估值情况时，基金管理人可暂停接受投资人的申</w:t>
      </w:r>
    </w:p>
    <w:p>
      <w:pPr>
        <w:framePr w:w="9556"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购申请。当前一估值日基金资产净值 </w:t>
      </w:r>
      <w:r>
        <w:rPr>
          <w:rFonts w:ascii="GGHCMB+å®ä½"/>
          <w:color w:val="222222"/>
          <w:spacing w:val="0"/>
          <w:sz w:val="21"/>
        </w:rPr>
        <w:t>50%</w:t>
      </w:r>
      <w:r>
        <w:rPr>
          <w:rFonts w:ascii="SKJVQB+å®ä½" w:hAnsi="SKJVQB+å®ä½" w:cs="SKJVQB+å®ä½"/>
          <w:color w:val="222222"/>
          <w:spacing w:val="0"/>
          <w:sz w:val="21"/>
        </w:rPr>
        <w:t>以上的资产出现无可参考的活跃市场价格且采用</w:t>
      </w:r>
    </w:p>
    <w:p>
      <w:pPr>
        <w:framePr w:w="9556" w:wrap="around" w:vAnchor="margin" w:hAnchor="text" w:x="1800" w:y="186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估值技术仍导致公允价值存在重大不确定性时，经与基金托管人协商确认后，基金管理人</w:t>
      </w:r>
    </w:p>
    <w:p>
      <w:pPr>
        <w:framePr w:w="9556"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应当暂停接受基金申购申请。</w:t>
      </w:r>
    </w:p>
    <w:p>
      <w:pPr>
        <w:framePr w:w="9556"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、证券、期货交易所交易时间非正常停市，导致基金管理人无法计算当日基金资产净</w:t>
      </w:r>
    </w:p>
    <w:p>
      <w:pPr>
        <w:framePr w:w="9556"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值或者无法办理申购业务。</w:t>
      </w:r>
    </w:p>
    <w:p>
      <w:pPr>
        <w:framePr w:w="9556"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、基金管理人认为接受某笔或某些申购申请可能会影响或损害现有基金份额持有人利</w:t>
      </w:r>
    </w:p>
    <w:p>
      <w:pPr>
        <w:framePr w:w="9556"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益时。</w:t>
      </w:r>
    </w:p>
    <w:p>
      <w:pPr>
        <w:framePr w:w="9560"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、基金资产规模过大，使基金管理人无法找到合适的投资品种，或其他可能对基金业</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绩产生负面影响，或基金管理人认定的其他损害现有基金份额持有人利益的情形。</w:t>
      </w:r>
    </w:p>
    <w:p>
      <w:pPr>
        <w:framePr w:w="9560"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、基金管理人、基金托管人、基金销售机构或登记结算机构因技术故障或异常情况导</w:t>
      </w:r>
    </w:p>
    <w:p>
      <w:pPr>
        <w:framePr w:w="9560" w:wrap="around" w:vAnchor="margin" w:hAnchor="text" w:x="1800" w:y="512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致基金销售系统、基金登记系统、基金会计系统或证券登记结算系统无法正常运行。</w:t>
      </w:r>
    </w:p>
    <w:p>
      <w:pPr>
        <w:framePr w:w="9560"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、因基金收益分配、基金投资组合内某个或某些证券即将上市等原因，使基金管理人</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认为短期内继续接受申购可能会影响或损害现有基金份额持有人利益的。</w:t>
      </w:r>
    </w:p>
    <w:p>
      <w:pPr>
        <w:framePr w:w="9560"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、基金管理人接受某笔或者某些申购申请有可能导致单一投资者持有基金份额的比例</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达到或者超过基金份额总数的</w:t>
      </w:r>
      <w:r>
        <w:rPr>
          <w:rFonts w:ascii="GGHCMB+å®ä½"/>
          <w:color w:val="222222"/>
          <w:spacing w:val="0"/>
          <w:sz w:val="21"/>
        </w:rPr>
        <w:t>50%</w:t>
      </w:r>
      <w:r>
        <w:rPr>
          <w:rFonts w:ascii="SKJVQB+å®ä½" w:hAnsi="SKJVQB+å®ä½" w:cs="SKJVQB+å®ä½"/>
          <w:color w:val="222222"/>
          <w:spacing w:val="0"/>
          <w:sz w:val="21"/>
        </w:rPr>
        <w:t>，或者有可能导致投资者变相规避前述</w:t>
      </w:r>
      <w:r>
        <w:rPr>
          <w:rFonts w:ascii="GGHCMB+å®ä½"/>
          <w:color w:val="222222"/>
          <w:spacing w:val="0"/>
          <w:sz w:val="21"/>
        </w:rPr>
        <w:t>50%</w:t>
      </w:r>
      <w:r>
        <w:rPr>
          <w:rFonts w:ascii="SKJVQB+å®ä½" w:hAnsi="SKJVQB+å®ä½" w:cs="SKJVQB+å®ä½"/>
          <w:color w:val="222222"/>
          <w:spacing w:val="0"/>
          <w:sz w:val="21"/>
        </w:rPr>
        <w:t>比例要求的情</w:t>
      </w:r>
    </w:p>
    <w:p>
      <w:pPr>
        <w:framePr w:w="9560" w:wrap="around" w:vAnchor="margin" w:hAnchor="text" w:x="1800" w:y="512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形。</w:t>
      </w:r>
    </w:p>
    <w:p>
      <w:pPr>
        <w:framePr w:w="5195" w:wrap="around" w:vAnchor="margin" w:hAnchor="text" w:x="2220" w:y="880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、法律法规规定或中国证监会认定的其他情形。</w:t>
      </w:r>
    </w:p>
    <w:p>
      <w:pPr>
        <w:framePr w:w="9800" w:wrap="around" w:vAnchor="margin" w:hAnchor="text" w:x="1800" w:y="921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发生上述第 </w:t>
      </w:r>
      <w:r>
        <w:rPr>
          <w:rFonts w:ascii="GGHCMB+å®ä½"/>
          <w:color w:val="222222"/>
          <w:spacing w:val="0"/>
          <w:sz w:val="21"/>
        </w:rPr>
        <w:t>1</w:t>
      </w: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项暂停申购情形之一且基金管理人决定暂停申购时，</w:t>
      </w:r>
    </w:p>
    <w:p>
      <w:pPr>
        <w:framePr w:w="9800"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基金管理人应当根据有关规定在指定媒介上刊登暂停申购公告。当发生上述第 </w:t>
      </w:r>
      <w:r>
        <w:rPr>
          <w:rFonts w:ascii="GGHCMB+å®ä½"/>
          <w:color w:val="222222"/>
          <w:spacing w:val="0"/>
          <w:sz w:val="21"/>
        </w:rPr>
        <w:t>8</w:t>
      </w:r>
      <w:r>
        <w:rPr>
          <w:rFonts w:ascii="SKJVQB+å®ä½" w:hAnsi="SKJVQB+å®ä½" w:cs="SKJVQB+å®ä½"/>
          <w:color w:val="222222"/>
          <w:spacing w:val="0"/>
          <w:sz w:val="21"/>
        </w:rPr>
        <w:t>项情形时，</w:t>
      </w:r>
    </w:p>
    <w:p>
      <w:pPr>
        <w:framePr w:w="9800" w:wrap="around" w:vAnchor="margin" w:hAnchor="text" w:x="1800" w:y="921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基金管理人可以采取比例确认等方式对该投资人的申购申请进行限制，基金管理人有权拒</w:t>
      </w:r>
    </w:p>
    <w:p>
      <w:pPr>
        <w:framePr w:w="9800"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绝该等全部或者部分申购申请。如果投资人的申购申请被拒绝，被拒绝的申购款项将退还</w:t>
      </w:r>
    </w:p>
    <w:p>
      <w:pPr>
        <w:framePr w:w="9800" w:wrap="around" w:vAnchor="margin" w:hAnchor="text" w:x="1800" w:y="921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给投资人。在暂停申购的情况消除时，基金管理人应及时恢复申购业务的办理。</w:t>
      </w:r>
    </w:p>
    <w:p>
      <w:pPr>
        <w:framePr w:w="6514" w:wrap="around" w:vAnchor="margin" w:hAnchor="text" w:x="1800" w:y="11710"/>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8.10</w:t>
      </w:r>
      <w:r>
        <w:rPr>
          <w:rFonts w:ascii="SKJVQB+å®ä½" w:hAnsi="SKJVQB+å®ä½" w:cs="SKJVQB+å®ä½"/>
          <w:color w:val="222222"/>
          <w:spacing w:val="0"/>
          <w:sz w:val="24"/>
        </w:rPr>
        <w:t>暂停赎回或延缓支付赎回款项的情形及处理方式</w:t>
      </w:r>
    </w:p>
    <w:p>
      <w:pPr>
        <w:framePr w:w="8704" w:wrap="around" w:vAnchor="margin" w:hAnchor="text" w:x="2220" w:y="1229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发生下列情形时，基金管理人可暂停接受投资人的赎回申请或延缓支付赎回款项：</w:t>
      </w:r>
    </w:p>
    <w:p>
      <w:pPr>
        <w:framePr w:w="8704" w:wrap="around" w:vAnchor="margin" w:hAnchor="text" w:x="2220" w:y="1229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、因不可抗力导致基金管理人不能支付赎回款项。</w:t>
      </w:r>
    </w:p>
    <w:p>
      <w:pPr>
        <w:framePr w:w="9556" w:wrap="around" w:vAnchor="margin" w:hAnchor="text" w:x="1800" w:y="1311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、发生基金合同规定的暂停基金资产估值情况时，基金管理人可暂停接受投资人的赎</w:t>
      </w:r>
    </w:p>
    <w:p>
      <w:pPr>
        <w:framePr w:w="9556" w:wrap="around" w:vAnchor="margin" w:hAnchor="text" w:x="1800" w:y="131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回申请或延缓支付赎回款项。当前一估值日基金资产净值  </w:t>
      </w:r>
      <w:r>
        <w:rPr>
          <w:rFonts w:ascii="GGHCMB+å®ä½"/>
          <w:color w:val="222222"/>
          <w:spacing w:val="0"/>
          <w:sz w:val="21"/>
        </w:rPr>
        <w:t>50%</w:t>
      </w:r>
      <w:r>
        <w:rPr>
          <w:rFonts w:ascii="SKJVQB+å®ä½" w:hAnsi="SKJVQB+å®ä½" w:cs="SKJVQB+å®ä½"/>
          <w:color w:val="222222"/>
          <w:spacing w:val="0"/>
          <w:sz w:val="21"/>
        </w:rPr>
        <w:t>以上的资产出现无可参考的</w:t>
      </w:r>
    </w:p>
    <w:p>
      <w:pPr>
        <w:framePr w:w="9556" w:wrap="around" w:vAnchor="margin" w:hAnchor="text" w:x="1800" w:y="131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活跃市场价格且采用估值技术仍导致公允价值存在重大不确定性时，经与基金托管人协商</w:t>
      </w:r>
    </w:p>
    <w:p>
      <w:pPr>
        <w:framePr w:w="9556" w:wrap="around" w:vAnchor="margin" w:hAnchor="text" w:x="1800" w:y="1311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确认后，基金管理人应当暂停接受基金赎回申请或延缓支付赎回款项。</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120</w:t>
      </w:r>
    </w:p>
    <w:p>
      <w:pPr>
        <w:spacing w:before="0" w:after="0" w:line="0" w:lineRule="exact"/>
        <w:ind w:left="0" w:right="0"/>
        <w:jc w:val="left"/>
        <w:rPr>
          <w:rFonts w:ascii="Arial"/>
          <w:color w:val="FF0000"/>
          <w:spacing w:val="0"/>
          <w:sz w:val="2"/>
        </w:rPr>
      </w:pPr>
      <w:r>
        <w:pict>
          <v:shape id="_x0000250" o:spid="_x0000_s1276"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221" o:title=""/>
            <o:lock v:ext="edit" aspectratio="t"/>
          </v:shape>
        </w:pict>
      </w:r>
      <w:r>
        <w:pict>
          <v:shape id="_x0000251" o:spid="_x0000_s1277" o:spt="75" type="#_x0000_t75" style="position:absolute;left:0pt;margin-left:88.6pt;margin-top:71.1pt;height:664.9pt;width:418.3pt;mso-position-horizontal-relative:page;mso-position-vertical-relative:page;z-index:-1024;mso-width-relative:page;mso-height-relative:page;" filled="f" coordsize="21600,21600">
            <v:path/>
            <v:fill on="f" focussize="0,0"/>
            <v:stroke/>
            <v:imagedata r:id="rId22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6"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、证券、期货交易所交易时间非正常停市，导致基金管理人无法计算当日基金资产净</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值或者无法办理赎回业务。</w:t>
      </w:r>
    </w:p>
    <w:p>
      <w:pPr>
        <w:framePr w:w="4955" w:wrap="around" w:vAnchor="margin" w:hAnchor="text" w:x="2220" w:y="226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、连续两个或两个以上开放日发生巨额赎回。</w:t>
      </w:r>
    </w:p>
    <w:p>
      <w:pPr>
        <w:framePr w:w="9556"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、基金管理人、基金托管人、基金销售机构或登记结算机构因技术故障或异常情况导</w:t>
      </w:r>
    </w:p>
    <w:p>
      <w:pPr>
        <w:framePr w:w="9556"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致基金销售系统、基金登记系统、基金会计系统或证券登记结算系统无法正常运行。</w:t>
      </w:r>
    </w:p>
    <w:p>
      <w:pPr>
        <w:framePr w:w="9556" w:wrap="around" w:vAnchor="margin" w:hAnchor="text" w:x="1800" w:y="267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、遵循基金份额持有人利益优先原则，发生损害持有人利益的情形时，可暂停接受投</w:t>
      </w:r>
    </w:p>
    <w:p>
      <w:pPr>
        <w:framePr w:w="9556"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资人的赎回申请。</w:t>
      </w:r>
    </w:p>
    <w:p>
      <w:pPr>
        <w:framePr w:w="5195" w:wrap="around" w:vAnchor="margin" w:hAnchor="text" w:x="2220" w:y="43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、法律法规规定或中国证监会认定的其他情形。</w:t>
      </w:r>
    </w:p>
    <w:p>
      <w:pPr>
        <w:framePr w:w="9559"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发生上述情形之一且基金管理人决定暂停接受基金份额持有人的赎回申请或者延缓支</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付赎回款项时，基金管理人应在当日报中国证监会备案，已确认的赎回申请，基金管理人</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应足额支付；如暂时不能足额支付，应将可支付部分按单个账户申请量占申请总量的比例</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分配给赎回申请人，未支付部分可延期支付。若出现上述第 </w:t>
      </w:r>
      <w:r>
        <w:rPr>
          <w:rFonts w:ascii="GGHCMB+å®ä½"/>
          <w:color w:val="222222"/>
          <w:spacing w:val="0"/>
          <w:sz w:val="21"/>
        </w:rPr>
        <w:t>4</w:t>
      </w:r>
      <w:r>
        <w:rPr>
          <w:rFonts w:ascii="SKJVQB+å®ä½" w:hAnsi="SKJVQB+å®ä½" w:cs="SKJVQB+å®ä½"/>
          <w:color w:val="222222"/>
          <w:spacing w:val="0"/>
          <w:sz w:val="21"/>
        </w:rPr>
        <w:t>项所述情形，按基金合同的</w:t>
      </w:r>
    </w:p>
    <w:p>
      <w:pPr>
        <w:framePr w:w="9559" w:wrap="around" w:vAnchor="margin" w:hAnchor="text" w:x="1800" w:y="472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相关条款处理。基金份额持有人在申请赎回时可事先选择将当日可能未获受理部分予以撤</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销。在暂停赎回的情况消除时，基金管理人应及时恢复赎回业务的办理并公告。</w:t>
      </w:r>
    </w:p>
    <w:p>
      <w:pPr>
        <w:framePr w:w="4020" w:wrap="around" w:vAnchor="margin" w:hAnchor="text" w:x="1800" w:y="7625"/>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8.11</w:t>
      </w:r>
      <w:r>
        <w:rPr>
          <w:rFonts w:ascii="SKJVQB+å®ä½" w:hAnsi="SKJVQB+å®ä½" w:cs="SKJVQB+å®ä½"/>
          <w:color w:val="222222"/>
          <w:spacing w:val="0"/>
          <w:sz w:val="24"/>
        </w:rPr>
        <w:t>巨额赎回的情形及处理方式</w:t>
      </w:r>
    </w:p>
    <w:p>
      <w:pPr>
        <w:framePr w:w="2103" w:wrap="around" w:vAnchor="margin" w:hAnchor="text" w:x="2220" w:y="821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、巨额赎回的认定</w:t>
      </w:r>
    </w:p>
    <w:p>
      <w:pPr>
        <w:framePr w:w="9557" w:wrap="around" w:vAnchor="margin" w:hAnchor="text" w:x="1800" w:y="86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若本基金单个开放日内的基金份额净赎回申请</w:t>
      </w:r>
      <w:r>
        <w:rPr>
          <w:rFonts w:ascii="GGHCMB+å®ä½"/>
          <w:color w:val="222222"/>
          <w:spacing w:val="0"/>
          <w:sz w:val="21"/>
        </w:rPr>
        <w:t>(</w:t>
      </w:r>
      <w:r>
        <w:rPr>
          <w:rFonts w:ascii="SKJVQB+å®ä½" w:hAnsi="SKJVQB+å®ä½" w:cs="SKJVQB+å®ä½"/>
          <w:color w:val="222222"/>
          <w:spacing w:val="0"/>
          <w:sz w:val="21"/>
        </w:rPr>
        <w:t>赎回申请份额总数加上基金转换中转出</w:t>
      </w:r>
    </w:p>
    <w:p>
      <w:pPr>
        <w:framePr w:w="9557" w:wrap="around" w:vAnchor="margin" w:hAnchor="text" w:x="1800" w:y="86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申请份额总数后扣除申购申请份额总数及基金转换中转入申请份额总数后的余额</w:t>
      </w:r>
      <w:r>
        <w:rPr>
          <w:rFonts w:ascii="GGHCMB+å®ä½"/>
          <w:color w:val="222222"/>
          <w:spacing w:val="0"/>
          <w:sz w:val="21"/>
        </w:rPr>
        <w:t>)</w:t>
      </w:r>
      <w:r>
        <w:rPr>
          <w:rFonts w:ascii="SKJVQB+å®ä½" w:hAnsi="SKJVQB+å®ä½" w:cs="SKJVQB+å®ä½"/>
          <w:color w:val="222222"/>
          <w:spacing w:val="0"/>
          <w:sz w:val="21"/>
        </w:rPr>
        <w:t>超过前一</w:t>
      </w:r>
    </w:p>
    <w:p>
      <w:pPr>
        <w:framePr w:w="9557" w:wrap="around" w:vAnchor="margin" w:hAnchor="text" w:x="1800" w:y="86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开放日的基金总份额的</w:t>
      </w:r>
      <w:r>
        <w:rPr>
          <w:rFonts w:ascii="GGHCMB+å®ä½"/>
          <w:color w:val="222222"/>
          <w:spacing w:val="0"/>
          <w:sz w:val="21"/>
        </w:rPr>
        <w:t>10%</w:t>
      </w:r>
      <w:r>
        <w:rPr>
          <w:rFonts w:ascii="SKJVQB+å®ä½" w:hAnsi="SKJVQB+å®ä½" w:cs="SKJVQB+å®ä½"/>
          <w:color w:val="222222"/>
          <w:spacing w:val="0"/>
          <w:sz w:val="21"/>
        </w:rPr>
        <w:t>，即认为是发生了巨额赎回。</w:t>
      </w:r>
    </w:p>
    <w:p>
      <w:pPr>
        <w:framePr w:w="2540" w:wrap="around" w:vAnchor="margin" w:hAnchor="text" w:x="2220" w:y="984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、巨额赎回的处理方式</w:t>
      </w:r>
    </w:p>
    <w:p>
      <w:pPr>
        <w:framePr w:w="9553" w:wrap="around" w:vAnchor="margin" w:hAnchor="text" w:x="1800" w:y="1025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当基金出现巨额赎回时，基金管理人可以根据基金当时的资产组合状况决定全额赎回</w:t>
      </w:r>
    </w:p>
    <w:p>
      <w:pPr>
        <w:framePr w:w="9553" w:wrap="around" w:vAnchor="margin" w:hAnchor="text" w:x="1800" w:y="10253"/>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或部分延期赎回。</w:t>
      </w:r>
    </w:p>
    <w:p>
      <w:pPr>
        <w:framePr w:w="9556" w:wrap="around" w:vAnchor="margin" w:hAnchor="text" w:x="1800" w:y="1107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）全额赎回：当基金管理人认为有能力支付投资人的全部赎回申请时，按正常赎回</w:t>
      </w:r>
    </w:p>
    <w:p>
      <w:pPr>
        <w:framePr w:w="9556" w:wrap="around" w:vAnchor="margin" w:hAnchor="text" w:x="1800" w:y="1107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程序执行。</w:t>
      </w:r>
    </w:p>
    <w:p>
      <w:pPr>
        <w:framePr w:w="9786" w:wrap="around" w:vAnchor="margin" w:hAnchor="text" w:x="1800" w:y="118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）部分延期赎回：当基金管理人认为支付投资人的赎回申请有困难或认为因支付投</w:t>
      </w:r>
    </w:p>
    <w:p>
      <w:pPr>
        <w:framePr w:w="978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资人的赎回申请而进行的财产变现可能会对基金资产净值造成较大波动时，基金管理人在</w:t>
      </w:r>
    </w:p>
    <w:p>
      <w:pPr>
        <w:framePr w:w="9786" w:wrap="around" w:vAnchor="margin" w:hAnchor="text" w:x="1800" w:y="118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当日接受赎回比例不低于上一开放日基金总份额的  </w:t>
      </w:r>
      <w:r>
        <w:rPr>
          <w:rFonts w:ascii="GGHCMB+å®ä½"/>
          <w:color w:val="222222"/>
          <w:spacing w:val="0"/>
          <w:sz w:val="21"/>
        </w:rPr>
        <w:t>10%</w:t>
      </w:r>
      <w:r>
        <w:rPr>
          <w:rFonts w:ascii="SKJVQB+å®ä½" w:hAnsi="SKJVQB+å®ä½" w:cs="SKJVQB+å®ä½"/>
          <w:color w:val="222222"/>
          <w:spacing w:val="0"/>
          <w:sz w:val="21"/>
        </w:rPr>
        <w:t>的前提下，可对其余赎回申请延期</w:t>
      </w:r>
    </w:p>
    <w:p>
      <w:pPr>
        <w:framePr w:w="978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办理。对于当日的赎回申请，应当按单个账户赎回申请量占赎回申请总量的比例，确定当</w:t>
      </w:r>
    </w:p>
    <w:p>
      <w:pPr>
        <w:framePr w:w="978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日受理的赎回份额；对于未能赎回部分，投资人在提交赎回申请时可以选择延期赎回或取</w:t>
      </w:r>
    </w:p>
    <w:p>
      <w:pPr>
        <w:framePr w:w="978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消赎回。选择延期赎回的，将自动转入下一个开放日继续赎回，直到全部赎回为止；选择</w:t>
      </w:r>
    </w:p>
    <w:p>
      <w:pPr>
        <w:framePr w:w="9786" w:wrap="around" w:vAnchor="margin" w:hAnchor="text" w:x="1800" w:y="118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取消赎回的，当日未获受理的部分赎回申请将被撤销。延期的赎回申请与下一开放日赎回</w:t>
      </w:r>
    </w:p>
    <w:p>
      <w:pPr>
        <w:framePr w:w="9786" w:wrap="around" w:vAnchor="margin" w:hAnchor="text" w:x="1800" w:y="118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申请一并处理，无优先权并以下一开放日的基金份额净值为基础计算赎回金额，以此类推，</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121</w:t>
      </w:r>
    </w:p>
    <w:p>
      <w:pPr>
        <w:spacing w:before="0" w:after="0" w:line="0" w:lineRule="exact"/>
        <w:ind w:left="0" w:right="0"/>
        <w:jc w:val="left"/>
        <w:rPr>
          <w:rFonts w:ascii="Arial"/>
          <w:color w:val="FF0000"/>
          <w:spacing w:val="0"/>
          <w:sz w:val="2"/>
        </w:rPr>
      </w:pPr>
      <w:r>
        <w:pict>
          <v:shape id="_x0000252" o:spid="_x0000_s1278"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31" o:title=""/>
            <o:lock v:ext="edit" aspectratio="t"/>
          </v:shape>
        </w:pict>
      </w:r>
      <w:r>
        <w:pict>
          <v:shape id="_x0000253" o:spid="_x0000_s1279" o:spt="75" type="#_x0000_t75" style="position:absolute;left:0pt;margin-left:88.6pt;margin-top:71.1pt;height:685.3pt;width:418.3pt;mso-position-horizontal-relative:page;mso-position-vertical-relative:page;z-index:-1024;mso-width-relative:page;mso-height-relative:page;" filled="f" coordsize="21600,21600">
            <v:path/>
            <v:fill on="f" focussize="0,0"/>
            <v:stroke/>
            <v:imagedata r:id="rId3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48"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直到全部赎回为止。如投资人在提交赎回申请时未作明确选择，投资人未能赎回部分作自</w:t>
      </w:r>
    </w:p>
    <w:p>
      <w:pPr>
        <w:framePr w:w="954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动延期赎回处理。</w:t>
      </w:r>
    </w:p>
    <w:p>
      <w:pPr>
        <w:framePr w:w="9559"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当基金发生巨额赎回，在单个基金份额持有人超过基金总份额  </w:t>
      </w:r>
      <w:r>
        <w:rPr>
          <w:rFonts w:ascii="GGHCMB+å®ä½"/>
          <w:color w:val="222222"/>
          <w:spacing w:val="0"/>
          <w:sz w:val="21"/>
        </w:rPr>
        <w:t>50%</w:t>
      </w:r>
      <w:r>
        <w:rPr>
          <w:rFonts w:ascii="SKJVQB+å®ä½" w:hAnsi="SKJVQB+å®ä½" w:cs="SKJVQB+å®ä½"/>
          <w:color w:val="222222"/>
          <w:spacing w:val="0"/>
          <w:sz w:val="21"/>
        </w:rPr>
        <w:t>以上的赎回申请情</w:t>
      </w:r>
    </w:p>
    <w:p>
      <w:pPr>
        <w:framePr w:w="9559"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形下，基金管理人可以延期办理赎回申请。如基金管理人对于其超过基金总份额  </w:t>
      </w:r>
      <w:r>
        <w:rPr>
          <w:rFonts w:ascii="GGHCMB+å®ä½"/>
          <w:color w:val="222222"/>
          <w:spacing w:val="0"/>
          <w:sz w:val="21"/>
        </w:rPr>
        <w:t>50%</w:t>
      </w:r>
      <w:r>
        <w:rPr>
          <w:rFonts w:ascii="SKJVQB+å®ä½" w:hAnsi="SKJVQB+å®ä½" w:cs="SKJVQB+å®ä½"/>
          <w:color w:val="222222"/>
          <w:spacing w:val="0"/>
          <w:sz w:val="21"/>
        </w:rPr>
        <w:t>以上</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部分的赎回申请实施延期办理，延期的赎回申请与下一开放日赎回申请一并处理，无优先</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权并以下一开放日的基金份额净值为基础计算赎回金额，以此类推，直到全部赎回为止；</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如基金管理人只接受其基金总份额 </w:t>
      </w:r>
      <w:r>
        <w:rPr>
          <w:rFonts w:ascii="GGHCMB+å®ä½"/>
          <w:color w:val="222222"/>
          <w:spacing w:val="0"/>
          <w:sz w:val="21"/>
        </w:rPr>
        <w:t>50%</w:t>
      </w:r>
      <w:r>
        <w:rPr>
          <w:rFonts w:ascii="SKJVQB+å®ä½" w:hAnsi="SKJVQB+å®ä½" w:cs="SKJVQB+å®ä½"/>
          <w:color w:val="222222"/>
          <w:spacing w:val="0"/>
          <w:sz w:val="21"/>
        </w:rPr>
        <w:t>部分作为当日有效赎回申请，基金管理人可以根据</w:t>
      </w:r>
    </w:p>
    <w:p>
      <w:pPr>
        <w:framePr w:w="9559"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前述“（</w:t>
      </w:r>
      <w:r>
        <w:rPr>
          <w:rFonts w:ascii="GGHCMB+å®ä½"/>
          <w:color w:val="222222"/>
          <w:spacing w:val="0"/>
          <w:sz w:val="21"/>
        </w:rPr>
        <w:t>1</w:t>
      </w:r>
      <w:r>
        <w:rPr>
          <w:rFonts w:ascii="SKJVQB+å®ä½" w:hAnsi="SKJVQB+å®ä½" w:cs="SKJVQB+å®ä½"/>
          <w:color w:val="222222"/>
          <w:spacing w:val="0"/>
          <w:sz w:val="21"/>
        </w:rPr>
        <w:t>）全额赎回”或“（</w:t>
      </w:r>
      <w:r>
        <w:rPr>
          <w:rFonts w:ascii="GGHCMB+å®ä½"/>
          <w:color w:val="222222"/>
          <w:spacing w:val="0"/>
          <w:sz w:val="21"/>
        </w:rPr>
        <w:t>2</w:t>
      </w:r>
      <w:r>
        <w:rPr>
          <w:rFonts w:ascii="SKJVQB+å®ä½" w:hAnsi="SKJVQB+å®ä½" w:cs="SKJVQB+å®ä½"/>
          <w:color w:val="222222"/>
          <w:spacing w:val="0"/>
          <w:sz w:val="21"/>
        </w:rPr>
        <w:t>）部分延期赎回”的约定方式对该部分有效赎回申请与其他</w:t>
      </w:r>
    </w:p>
    <w:p>
      <w:pPr>
        <w:framePr w:w="9559" w:wrap="around" w:vAnchor="margin" w:hAnchor="text" w:x="1800" w:y="2268"/>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基金份额持有人的赎回申请一并办理。基金份额持有人在申请赎回时可事先选择将当日可</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能未获受理部分予以撤销；延期部分如选择取消赎回的，当日未获受理的部分赎回申请将</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被撤销。如投资人在提交赎回申请时未作明确选择，投资人未能赎回部分作自动延期赎回</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处理。</w:t>
      </w:r>
    </w:p>
    <w:p>
      <w:pPr>
        <w:framePr w:w="9560"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）暂停赎回：连续</w:t>
      </w:r>
      <w:r>
        <w:rPr>
          <w:rFonts w:ascii="GGHCMB+å®ä½"/>
          <w:color w:val="222222"/>
          <w:spacing w:val="0"/>
          <w:sz w:val="21"/>
        </w:rPr>
        <w:t>2</w:t>
      </w:r>
      <w:r>
        <w:rPr>
          <w:rFonts w:ascii="SKJVQB+å®ä½" w:hAnsi="SKJVQB+å®ä½" w:cs="SKJVQB+å®ä½"/>
          <w:color w:val="222222"/>
          <w:spacing w:val="0"/>
          <w:sz w:val="21"/>
        </w:rPr>
        <w:t>个开放日以上</w:t>
      </w:r>
      <w:r>
        <w:rPr>
          <w:rFonts w:ascii="GGHCMB+å®ä½"/>
          <w:color w:val="222222"/>
          <w:spacing w:val="0"/>
          <w:sz w:val="21"/>
        </w:rPr>
        <w:t>(</w:t>
      </w:r>
      <w:r>
        <w:rPr>
          <w:rFonts w:ascii="SKJVQB+å®ä½" w:hAnsi="SKJVQB+å®ä½" w:cs="SKJVQB+å®ä½"/>
          <w:color w:val="222222"/>
          <w:spacing w:val="0"/>
          <w:sz w:val="21"/>
        </w:rPr>
        <w:t>含本数</w:t>
      </w:r>
      <w:r>
        <w:rPr>
          <w:rFonts w:ascii="GGHCMB+å®ä½"/>
          <w:color w:val="222222"/>
          <w:spacing w:val="0"/>
          <w:sz w:val="21"/>
        </w:rPr>
        <w:t>)</w:t>
      </w:r>
      <w:r>
        <w:rPr>
          <w:rFonts w:ascii="SKJVQB+å®ä½" w:hAnsi="SKJVQB+å®ä½" w:cs="SKJVQB+å®ä½"/>
          <w:color w:val="222222"/>
          <w:spacing w:val="0"/>
          <w:sz w:val="21"/>
        </w:rPr>
        <w:t>发生巨额赎回，如基金管理人认为有必</w:t>
      </w:r>
    </w:p>
    <w:p>
      <w:pPr>
        <w:framePr w:w="9560"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要，可暂停接受基金的赎回申请；已经接受的赎回申请可以延缓支付赎回款项，但不得超</w:t>
      </w:r>
    </w:p>
    <w:p>
      <w:pPr>
        <w:framePr w:w="9560"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过</w:t>
      </w:r>
      <w:r>
        <w:rPr>
          <w:rFonts w:ascii="GGHCMB+å®ä½"/>
          <w:color w:val="222222"/>
          <w:spacing w:val="0"/>
          <w:sz w:val="21"/>
        </w:rPr>
        <w:t>20</w:t>
      </w:r>
      <w:r>
        <w:rPr>
          <w:rFonts w:ascii="SKJVQB+å®ä½" w:hAnsi="SKJVQB+å®ä½" w:cs="SKJVQB+å®ä½"/>
          <w:color w:val="222222"/>
          <w:spacing w:val="0"/>
          <w:sz w:val="21"/>
        </w:rPr>
        <w:t>个工作日，并应当在指定媒介上进行公告。</w:t>
      </w:r>
    </w:p>
    <w:p>
      <w:pPr>
        <w:framePr w:w="2103"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、巨额赎回的公告</w:t>
      </w:r>
    </w:p>
    <w:p>
      <w:pPr>
        <w:framePr w:w="9560"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当发生上述延期赎回并延期办理时，基金管理人应当通过邮寄、传真或者其他方式（包</w:t>
      </w:r>
    </w:p>
    <w:p>
      <w:pPr>
        <w:framePr w:w="9560"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括但不限于短信、电子邮件、公告或由基金销售机构通知等方式）在</w:t>
      </w:r>
      <w:r>
        <w:rPr>
          <w:rFonts w:ascii="GGHCMB+å®ä½"/>
          <w:color w:val="222222"/>
          <w:spacing w:val="0"/>
          <w:sz w:val="21"/>
        </w:rPr>
        <w:t>3</w:t>
      </w:r>
      <w:r>
        <w:rPr>
          <w:rFonts w:ascii="SKJVQB+å®ä½" w:hAnsi="SKJVQB+å®ä½" w:cs="SKJVQB+å®ä½"/>
          <w:color w:val="222222"/>
          <w:spacing w:val="0"/>
          <w:sz w:val="21"/>
        </w:rPr>
        <w:t>个交易日内通知基金</w:t>
      </w:r>
    </w:p>
    <w:p>
      <w:pPr>
        <w:framePr w:w="9560"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份额持有人，说明有关处理方法，并在两日内在指定媒介上刊登公告。</w:t>
      </w:r>
    </w:p>
    <w:p>
      <w:pPr>
        <w:framePr w:w="7066" w:wrap="around" w:vAnchor="margin" w:hAnchor="text" w:x="1800" w:y="9667"/>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8.12</w:t>
      </w:r>
      <w:r>
        <w:rPr>
          <w:rFonts w:ascii="SKJVQB+å®ä½" w:hAnsi="SKJVQB+å®ä½" w:cs="SKJVQB+å®ä½"/>
          <w:color w:val="222222"/>
          <w:spacing w:val="0"/>
          <w:sz w:val="24"/>
        </w:rPr>
        <w:t>暂停申购或赎回的公告和重新开放申购或赎回的公告</w:t>
      </w:r>
    </w:p>
    <w:p>
      <w:pPr>
        <w:framePr w:w="9556" w:wrap="around" w:vAnchor="margin" w:hAnchor="text" w:x="1800" w:y="1025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、发生上述暂停申购或赎回情况的，基金管理人应在规定期限内在指定媒介上刊登暂</w:t>
      </w:r>
    </w:p>
    <w:p>
      <w:pPr>
        <w:framePr w:w="9556" w:wrap="around" w:vAnchor="margin" w:hAnchor="text" w:x="1800" w:y="10253"/>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停公告。</w:t>
      </w:r>
    </w:p>
    <w:p>
      <w:pPr>
        <w:framePr w:w="9557" w:wrap="around" w:vAnchor="margin" w:hAnchor="text" w:x="1800" w:y="1107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、基金管理人可以根据暂停申购或赎回的时间，依照《信息披露办法》的有关规定，</w:t>
      </w:r>
    </w:p>
    <w:p>
      <w:pPr>
        <w:framePr w:w="9557" w:wrap="around" w:vAnchor="margin" w:hAnchor="text" w:x="1800" w:y="1107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最迟于重新开放日在指定媒介上刊登重新开放申购或赎回的公告；也可以根据实际情况在</w:t>
      </w:r>
    </w:p>
    <w:p>
      <w:pPr>
        <w:framePr w:w="9557" w:wrap="around" w:vAnchor="margin" w:hAnchor="text" w:x="1800" w:y="1107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暂停公告中明确重新开放申购或赎回的时间，届时不再另行发布重新开放的公告。</w:t>
      </w:r>
    </w:p>
    <w:p>
      <w:pPr>
        <w:framePr w:w="1927" w:wrap="around" w:vAnchor="margin" w:hAnchor="text" w:x="1800" w:y="12749"/>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8.13</w:t>
      </w:r>
      <w:r>
        <w:rPr>
          <w:rFonts w:ascii="SKJVQB+å®ä½" w:hAnsi="SKJVQB+å®ä½" w:cs="SKJVQB+å®ä½"/>
          <w:color w:val="222222"/>
          <w:spacing w:val="0"/>
          <w:sz w:val="24"/>
        </w:rPr>
        <w:t>基金转换</w:t>
      </w:r>
    </w:p>
    <w:p>
      <w:pPr>
        <w:framePr w:w="9800" w:wrap="around" w:vAnchor="margin" w:hAnchor="text" w:x="1800" w:y="1333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基金管理人已于</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20</w:t>
      </w:r>
      <w:r>
        <w:rPr>
          <w:rFonts w:ascii="SKJVQB+å®ä½" w:hAnsi="SKJVQB+å®ä½" w:cs="SKJVQB+å®ä½"/>
          <w:color w:val="222222"/>
          <w:spacing w:val="0"/>
          <w:sz w:val="21"/>
        </w:rPr>
        <w:t>日起开通本基金与公司旗下部分开放式基金间的转换，</w:t>
      </w:r>
    </w:p>
    <w:p>
      <w:pPr>
        <w:framePr w:w="9800" w:wrap="around" w:vAnchor="margin" w:hAnchor="text" w:x="1800" w:y="1333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具体内容详见</w:t>
      </w: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15</w:t>
      </w:r>
      <w:r>
        <w:rPr>
          <w:rFonts w:ascii="SKJVQB+å®ä½" w:hAnsi="SKJVQB+å®ä½" w:cs="SKJVQB+å®ä½"/>
          <w:color w:val="222222"/>
          <w:spacing w:val="0"/>
          <w:sz w:val="21"/>
        </w:rPr>
        <w:t>日发布的《南方双元债券型证券投资基金开放日常申购、赎回、</w:t>
      </w:r>
    </w:p>
    <w:p>
      <w:pPr>
        <w:framePr w:w="9800" w:wrap="around" w:vAnchor="margin" w:hAnchor="text" w:x="1800" w:y="1333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转换及定投业务的公告》和其他有关本基金转换公告。</w:t>
      </w:r>
    </w:p>
    <w:p>
      <w:pPr>
        <w:framePr w:w="2911" w:wrap="around" w:vAnchor="margin" w:hAnchor="text" w:x="1800" w:y="15015"/>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8.14</w:t>
      </w:r>
      <w:r>
        <w:rPr>
          <w:rFonts w:ascii="SKJVQB+å®ä½" w:hAnsi="SKJVQB+å®ä½" w:cs="SKJVQB+å®ä½"/>
          <w:color w:val="222222"/>
          <w:spacing w:val="0"/>
          <w:sz w:val="24"/>
        </w:rPr>
        <w:t>基金的非交易过户</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122</w:t>
      </w:r>
    </w:p>
    <w:p>
      <w:pPr>
        <w:spacing w:before="0" w:after="0" w:line="0" w:lineRule="exact"/>
        <w:ind w:left="0" w:right="0"/>
        <w:jc w:val="left"/>
        <w:rPr>
          <w:rFonts w:ascii="Arial"/>
          <w:color w:val="FF0000"/>
          <w:spacing w:val="0"/>
          <w:sz w:val="2"/>
        </w:rPr>
      </w:pPr>
      <w:r>
        <w:pict>
          <v:shape id="_x0000254" o:spid="_x0000_s1280" o:spt="75" type="#_x0000_t75" style="position:absolute;left:0pt;margin-left:88.6pt;margin-top:54.3pt;height:0.7pt;width:418.3pt;mso-position-horizontal-relative:page;mso-position-vertical-relative:page;z-index:-1024;mso-width-relative:page;mso-height-relative:page;" filled="f" coordsize="21600,21600">
            <v:path/>
            <v:fill on="f" focussize="0,0"/>
            <v:stroke/>
            <v:imagedata r:id="rId13" o:title=""/>
            <o:lock v:ext="edit" aspectratio="t"/>
          </v:shape>
        </w:pict>
      </w:r>
      <w:r>
        <w:pict>
          <v:shape id="_x0000255" o:spid="_x0000_s1281" o:spt="75" type="#_x0000_t75" style="position:absolute;left:0pt;margin-left:88.6pt;margin-top:71.1pt;height:693.6pt;width:418.3pt;mso-position-horizontal-relative:page;mso-position-vertical-relative:page;z-index:-1024;mso-width-relative:page;mso-height-relative:page;" filled="f" coordsize="21600,21600">
            <v:path/>
            <v:fill on="f" focussize="0,0"/>
            <v:stroke/>
            <v:imagedata r:id="rId22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786"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基金的非交易过户是指基金登记机构受理继承、捐赠和司法强制执行等情形而产生的</w:t>
      </w:r>
    </w:p>
    <w:p>
      <w:pPr>
        <w:framePr w:w="978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非交易过户以及登记机构认可、符合法律法规的其他非交易过户。无论在上述何种情况下，</w:t>
      </w:r>
    </w:p>
    <w:p>
      <w:pPr>
        <w:framePr w:w="978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接受划转的主体必须是依法可以持有本基金基金份额的投资人。</w:t>
      </w:r>
    </w:p>
    <w:p>
      <w:pPr>
        <w:framePr w:w="9554"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继承是指基金份额持有人死亡，其持有的基金份额由其合法的继承人继承；捐赠指基</w:t>
      </w:r>
    </w:p>
    <w:p>
      <w:pPr>
        <w:framePr w:w="9554"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金份额持有人将其合法持有的基金份额捐赠给福利性质的基金会或社会团体；司法强制执</w:t>
      </w:r>
    </w:p>
    <w:p>
      <w:pPr>
        <w:framePr w:w="9554"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行是指司法机构依据生效司法文书将基金份额持有人持有的基金份额强制划转给其他自然</w:t>
      </w:r>
    </w:p>
    <w:p>
      <w:pPr>
        <w:framePr w:w="9554"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人、法人或其他组织。办理非交易过户必须提供基金登记机构要求提供的相关资料，对于</w:t>
      </w:r>
    </w:p>
    <w:p>
      <w:pPr>
        <w:framePr w:w="9554" w:wrap="around" w:vAnchor="margin" w:hAnchor="text" w:x="1800" w:y="267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符合条件的非交易过户申请按基金登记机构的规定办理，并按基金登记机构规定的标准收</w:t>
      </w:r>
    </w:p>
    <w:p>
      <w:pPr>
        <w:framePr w:w="9554" w:wrap="around" w:vAnchor="margin" w:hAnchor="text" w:x="1800" w:y="2678"/>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费。</w:t>
      </w:r>
    </w:p>
    <w:p>
      <w:pPr>
        <w:framePr w:w="2409" w:wrap="around" w:vAnchor="margin" w:hAnchor="text" w:x="1800" w:y="5582"/>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8.15</w:t>
      </w:r>
      <w:r>
        <w:rPr>
          <w:rFonts w:ascii="SKJVQB+å®ä½" w:hAnsi="SKJVQB+å®ä½" w:cs="SKJVQB+å®ä½"/>
          <w:color w:val="222222"/>
          <w:spacing w:val="0"/>
          <w:sz w:val="24"/>
        </w:rPr>
        <w:t>基金的转托管</w:t>
      </w:r>
    </w:p>
    <w:p>
      <w:pPr>
        <w:framePr w:w="9553" w:wrap="around" w:vAnchor="margin" w:hAnchor="text" w:x="1800" w:y="61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基金份额持有人可办理已持有基金份额在不同销售机构之间的转托管，基金销售机构</w:t>
      </w:r>
    </w:p>
    <w:p>
      <w:pPr>
        <w:framePr w:w="9553" w:wrap="around" w:vAnchor="margin" w:hAnchor="text" w:x="1800" w:y="61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可以按照规定的标准收取转托管费。</w:t>
      </w:r>
    </w:p>
    <w:p>
      <w:pPr>
        <w:framePr w:w="1927" w:wrap="around" w:vAnchor="margin" w:hAnchor="text" w:x="1800" w:y="7440"/>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8.16</w:t>
      </w:r>
      <w:r>
        <w:rPr>
          <w:rFonts w:ascii="SKJVQB+å®ä½" w:hAnsi="SKJVQB+å®ä½" w:cs="SKJVQB+å®ä½"/>
          <w:color w:val="222222"/>
          <w:spacing w:val="0"/>
          <w:sz w:val="24"/>
        </w:rPr>
        <w:t>定投计划</w:t>
      </w:r>
    </w:p>
    <w:p>
      <w:pPr>
        <w:framePr w:w="9559" w:wrap="around" w:vAnchor="margin" w:hAnchor="text" w:x="1800" w:y="802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基金管理人已于 </w:t>
      </w:r>
      <w:r>
        <w:rPr>
          <w:rFonts w:ascii="GGHCMB+å®ä½"/>
          <w:color w:val="222222"/>
          <w:spacing w:val="0"/>
          <w:sz w:val="21"/>
        </w:rPr>
        <w:t>2015</w:t>
      </w:r>
      <w:r>
        <w:rPr>
          <w:rFonts w:ascii="SKJVQB+å®ä½" w:hAnsi="SKJVQB+å®ä½" w:cs="SKJVQB+å®ä½"/>
          <w:color w:val="222222"/>
          <w:spacing w:val="0"/>
          <w:sz w:val="21"/>
        </w:rPr>
        <w:t xml:space="preserve">年 </w:t>
      </w:r>
      <w:r>
        <w:rPr>
          <w:rFonts w:ascii="GGHCMB+å®ä½"/>
          <w:color w:val="222222"/>
          <w:spacing w:val="0"/>
          <w:sz w:val="21"/>
        </w:rPr>
        <w:t>4</w:t>
      </w:r>
      <w:r>
        <w:rPr>
          <w:rFonts w:ascii="SKJVQB+å®ä½" w:hAnsi="SKJVQB+å®ä½" w:cs="SKJVQB+å®ä½"/>
          <w:color w:val="222222"/>
          <w:spacing w:val="0"/>
          <w:sz w:val="21"/>
        </w:rPr>
        <w:t xml:space="preserve">月 </w:t>
      </w:r>
      <w:r>
        <w:rPr>
          <w:rFonts w:ascii="GGHCMB+å®ä½"/>
          <w:color w:val="222222"/>
          <w:spacing w:val="0"/>
          <w:sz w:val="21"/>
        </w:rPr>
        <w:t>20</w:t>
      </w:r>
      <w:r>
        <w:rPr>
          <w:rFonts w:ascii="SKJVQB+å®ä½" w:hAnsi="SKJVQB+å®ä½" w:cs="SKJVQB+å®ä½"/>
          <w:color w:val="222222"/>
          <w:spacing w:val="0"/>
          <w:sz w:val="21"/>
        </w:rPr>
        <w:t>日起开通本基金的定期定额投资业务，具体内容详见</w:t>
      </w:r>
    </w:p>
    <w:p>
      <w:pPr>
        <w:framePr w:w="9559" w:wrap="around" w:vAnchor="margin" w:hAnchor="text" w:x="1800" w:y="802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2015</w:t>
      </w:r>
      <w:r>
        <w:rPr>
          <w:rFonts w:ascii="SKJVQB+å®ä½" w:hAnsi="SKJVQB+å®ä½" w:cs="SKJVQB+å®ä½"/>
          <w:color w:val="222222"/>
          <w:spacing w:val="0"/>
          <w:sz w:val="21"/>
        </w:rPr>
        <w:t>年</w:t>
      </w:r>
      <w:r>
        <w:rPr>
          <w:rFonts w:ascii="GGHCMB+å®ä½"/>
          <w:color w:val="222222"/>
          <w:spacing w:val="0"/>
          <w:sz w:val="21"/>
        </w:rPr>
        <w:t>4</w:t>
      </w:r>
      <w:r>
        <w:rPr>
          <w:rFonts w:ascii="SKJVQB+å®ä½" w:hAnsi="SKJVQB+å®ä½" w:cs="SKJVQB+å®ä½"/>
          <w:color w:val="222222"/>
          <w:spacing w:val="0"/>
          <w:sz w:val="21"/>
        </w:rPr>
        <w:t>月</w:t>
      </w:r>
      <w:r>
        <w:rPr>
          <w:rFonts w:ascii="GGHCMB+å®ä½"/>
          <w:color w:val="222222"/>
          <w:spacing w:val="0"/>
          <w:sz w:val="21"/>
        </w:rPr>
        <w:t>15</w:t>
      </w:r>
      <w:r>
        <w:rPr>
          <w:rFonts w:ascii="SKJVQB+å®ä½" w:hAnsi="SKJVQB+å®ä½" w:cs="SKJVQB+å®ä½"/>
          <w:color w:val="222222"/>
          <w:spacing w:val="0"/>
          <w:sz w:val="21"/>
        </w:rPr>
        <w:t>日发布的《南方双元债券型证券投资基金开放日常申购、赎回、转换及定投</w:t>
      </w:r>
    </w:p>
    <w:p>
      <w:pPr>
        <w:framePr w:w="9559" w:wrap="around" w:vAnchor="margin" w:hAnchor="text" w:x="1800" w:y="802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业务的公告》和其他有关本基金定期定额投资的公告。</w:t>
      </w:r>
    </w:p>
    <w:p>
      <w:pPr>
        <w:framePr w:w="2911" w:wrap="around" w:vAnchor="margin" w:hAnchor="text" w:x="1800" w:y="9706"/>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8.17</w:t>
      </w:r>
      <w:r>
        <w:rPr>
          <w:rFonts w:ascii="SKJVQB+å®ä½" w:hAnsi="SKJVQB+å®ä½" w:cs="SKJVQB+å®ä½"/>
          <w:color w:val="222222"/>
          <w:spacing w:val="0"/>
          <w:sz w:val="24"/>
        </w:rPr>
        <w:t>基金的冻结和解冻</w:t>
      </w:r>
    </w:p>
    <w:p>
      <w:pPr>
        <w:framePr w:w="9555" w:wrap="around" w:vAnchor="margin" w:hAnchor="text" w:x="1800" w:y="1029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基金登记机构只受理国家有权机关依法要求的基金份额的冻结与解冻，以及登记机构</w:t>
      </w:r>
    </w:p>
    <w:p>
      <w:pPr>
        <w:framePr w:w="9555" w:wrap="around" w:vAnchor="margin" w:hAnchor="text" w:x="1800" w:y="1029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认可、符合法律法规的其他情况下的冻结与解冻。基金份额的冻结手续、冻结方式按照登</w:t>
      </w:r>
    </w:p>
    <w:p>
      <w:pPr>
        <w:framePr w:w="9555" w:wrap="around" w:vAnchor="margin" w:hAnchor="text" w:x="1800" w:y="102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记机构的相关规定办理。基金份额被冻结的，被冻结部分产生的权益按照我国法律法规、</w:t>
      </w:r>
    </w:p>
    <w:p>
      <w:pPr>
        <w:framePr w:w="9555" w:wrap="around" w:vAnchor="margin" w:hAnchor="text" w:x="1800" w:y="1029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监管规章及国家有权机关的要求以及登记机构业务规定来处理。</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123</w:t>
      </w:r>
    </w:p>
    <w:p>
      <w:pPr>
        <w:spacing w:before="0" w:after="0" w:line="0" w:lineRule="exact"/>
        <w:ind w:left="0" w:right="0"/>
        <w:jc w:val="left"/>
        <w:rPr>
          <w:rFonts w:ascii="Arial"/>
          <w:color w:val="FF0000"/>
          <w:spacing w:val="0"/>
          <w:sz w:val="2"/>
        </w:rPr>
      </w:pPr>
      <w:r>
        <w:pict>
          <v:shape id="_x0000256" o:spid="_x0000_s128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4" o:title=""/>
            <o:lock v:ext="edit" aspectratio="t"/>
          </v:shape>
        </w:pict>
      </w:r>
      <w:r>
        <w:pict>
          <v:shape id="_x0000257" o:spid="_x0000_s1283" o:spt="75" type="#_x0000_t75" style="position:absolute;left:0pt;margin-left:88.6pt;margin-top:71.1pt;height:523.8pt;width:418.3pt;mso-position-horizontal-relative:page;mso-position-vertical-relative:page;z-index:-2048;mso-width-relative:page;mso-height-relative:page;" filled="f" coordsize="21600,21600">
            <v:path/>
            <v:fill on="f" focussize="0,0"/>
            <v:stroke/>
            <v:imagedata r:id="rId22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388" w:wrap="around" w:vAnchor="margin" w:hAnchor="text" w:x="4969"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9</w:t>
      </w:r>
      <w:r>
        <w:rPr>
          <w:rFonts w:ascii="SKJVQB+å®ä½" w:hAnsi="SKJVQB+å®ä½" w:cs="SKJVQB+å®ä½"/>
          <w:color w:val="222222"/>
          <w:spacing w:val="0"/>
          <w:sz w:val="28"/>
        </w:rPr>
        <w:t>基金的投资</w:t>
      </w:r>
    </w:p>
    <w:p>
      <w:pPr>
        <w:framePr w:w="1807" w:wrap="around" w:vAnchor="margin" w:hAnchor="text" w:x="1800" w:y="253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9.1</w:t>
      </w:r>
      <w:r>
        <w:rPr>
          <w:rFonts w:ascii="SKJVQB+å®ä½" w:hAnsi="SKJVQB+å®ä½" w:cs="SKJVQB+å®ä½"/>
          <w:color w:val="222222"/>
          <w:spacing w:val="0"/>
          <w:sz w:val="24"/>
        </w:rPr>
        <w:t>投资目标</w:t>
      </w:r>
    </w:p>
    <w:p>
      <w:pPr>
        <w:framePr w:w="7978" w:wrap="around" w:vAnchor="margin" w:hAnchor="text" w:x="2220" w:y="311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本基金在严格控制风险的前提上，力求获得高于业绩比较基准的投资收益。</w:t>
      </w:r>
    </w:p>
    <w:p>
      <w:pPr>
        <w:framePr w:w="1807" w:wrap="around" w:vAnchor="margin" w:hAnchor="text" w:x="1800" w:y="3978"/>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9.2</w:t>
      </w:r>
      <w:r>
        <w:rPr>
          <w:rFonts w:ascii="SKJVQB+å®ä½" w:hAnsi="SKJVQB+å®ä½" w:cs="SKJVQB+å®ä½"/>
          <w:color w:val="222222"/>
          <w:spacing w:val="0"/>
          <w:sz w:val="24"/>
        </w:rPr>
        <w:t>投资范围</w:t>
      </w:r>
    </w:p>
    <w:p>
      <w:pPr>
        <w:framePr w:w="9798" w:wrap="around" w:vAnchor="margin" w:hAnchor="text" w:x="1800" w:y="45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本基金主要投资于国内依法发行和上市交易的国债、央行票据、金融债券、企业债券、</w:t>
      </w:r>
    </w:p>
    <w:p>
      <w:pPr>
        <w:framePr w:w="9798" w:wrap="around" w:vAnchor="margin" w:hAnchor="text" w:x="1800" w:y="45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公司债券、中期票据、短期融资券、超短期融资券、次级债券、政府机构债券、地方政府</w:t>
      </w:r>
    </w:p>
    <w:p>
      <w:pPr>
        <w:framePr w:w="9798" w:wrap="around" w:vAnchor="margin" w:hAnchor="text" w:x="1800" w:y="45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债券、资产支持证券、信贷资产支持证券、可交换债券、减记债券、中小企业私募债券、</w:t>
      </w:r>
    </w:p>
    <w:p>
      <w:pPr>
        <w:framePr w:w="9798" w:wrap="around" w:vAnchor="margin" w:hAnchor="text" w:x="1800" w:y="45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可转换债券（含分离交易可转债）、债券回购、银行存款（包括协议存款、定期存款及其他</w:t>
      </w:r>
    </w:p>
    <w:p>
      <w:pPr>
        <w:framePr w:w="9798" w:wrap="around" w:vAnchor="margin" w:hAnchor="text" w:x="1800" w:y="45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银行存款）、货币市场工具、国债期货以及经中国证监会允许基金投资的其他金融工具，但</w:t>
      </w:r>
    </w:p>
    <w:p>
      <w:pPr>
        <w:framePr w:w="9798" w:wrap="around" w:vAnchor="margin" w:hAnchor="text" w:x="1800" w:y="45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需符合中国证监会的相关规定。</w:t>
      </w:r>
    </w:p>
    <w:p>
      <w:pPr>
        <w:framePr w:w="9560" w:wrap="around" w:vAnchor="margin" w:hAnchor="text" w:x="1800" w:y="701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。其中，投资于信用债券和可转</w:t>
      </w:r>
    </w:p>
    <w:p>
      <w:pPr>
        <w:framePr w:w="9560" w:wrap="around" w:vAnchor="margin" w:hAnchor="text" w:x="1800" w:y="70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换债券的比例合计不低于债券资产的 </w:t>
      </w:r>
      <w:r>
        <w:rPr>
          <w:rFonts w:ascii="GGHCMB+å®ä½"/>
          <w:color w:val="222222"/>
          <w:spacing w:val="0"/>
          <w:sz w:val="21"/>
        </w:rPr>
        <w:t>80%</w:t>
      </w:r>
      <w:r>
        <w:rPr>
          <w:rFonts w:ascii="SKJVQB+å®ä½" w:hAnsi="SKJVQB+å®ä½" w:cs="SKJVQB+å®ä½"/>
          <w:color w:val="222222"/>
          <w:spacing w:val="0"/>
          <w:sz w:val="21"/>
        </w:rPr>
        <w:t>。每个交易日日终在扣除期货合约需缴纳的交易</w:t>
      </w:r>
    </w:p>
    <w:p>
      <w:pPr>
        <w:framePr w:w="9560" w:wrap="around" w:vAnchor="margin" w:hAnchor="text" w:x="1800" w:y="701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保证金后，现金或到期日在一年以内的政府债券的投资比例不低于基金资产净值的</w:t>
      </w:r>
      <w:r>
        <w:rPr>
          <w:rFonts w:ascii="GGHCMB+å®ä½"/>
          <w:color w:val="222222"/>
          <w:spacing w:val="0"/>
          <w:sz w:val="21"/>
        </w:rPr>
        <w:t>5</w:t>
      </w:r>
      <w:r>
        <w:rPr>
          <w:rFonts w:ascii="SKJVQB+å®ä½" w:hAnsi="SKJVQB+å®ä½" w:cs="SKJVQB+å®ä½"/>
          <w:color w:val="222222"/>
          <w:spacing w:val="0"/>
          <w:sz w:val="21"/>
        </w:rPr>
        <w:t>％。</w:t>
      </w:r>
    </w:p>
    <w:p>
      <w:pPr>
        <w:framePr w:w="9560" w:wrap="around" w:vAnchor="margin" w:hAnchor="text" w:x="1800" w:y="701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本基金不直接投资股票、权证等权益类资产，但可持有因可转换债券转股所形成的股</w:t>
      </w:r>
    </w:p>
    <w:p>
      <w:pPr>
        <w:framePr w:w="9560" w:wrap="around" w:vAnchor="margin" w:hAnchor="text" w:x="1800" w:y="70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票、因可交换债券换股所形成的股票、因所持股票所派发的权证以及因投资可分离债券而</w:t>
      </w:r>
    </w:p>
    <w:p>
      <w:pPr>
        <w:framePr w:w="9560" w:wrap="around" w:vAnchor="margin" w:hAnchor="text" w:x="1800" w:y="70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产生的权证等。因上述原因持有的股票和权证等资产，本基金将在其可交易之日起 </w:t>
      </w:r>
      <w:r>
        <w:rPr>
          <w:rFonts w:ascii="GGHCMB+å®ä½"/>
          <w:color w:val="222222"/>
          <w:spacing w:val="0"/>
          <w:sz w:val="21"/>
        </w:rPr>
        <w:t>10</w:t>
      </w:r>
      <w:r>
        <w:rPr>
          <w:rFonts w:ascii="SKJVQB+å®ä½" w:hAnsi="SKJVQB+å®ä½" w:cs="SKJVQB+å®ä½"/>
          <w:color w:val="222222"/>
          <w:spacing w:val="0"/>
          <w:sz w:val="21"/>
        </w:rPr>
        <w:t>个交</w:t>
      </w:r>
    </w:p>
    <w:p>
      <w:pPr>
        <w:framePr w:w="9560" w:wrap="around" w:vAnchor="margin" w:hAnchor="text" w:x="1800" w:y="70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易日内卖出。</w:t>
      </w:r>
    </w:p>
    <w:p>
      <w:pPr>
        <w:framePr w:w="9799" w:wrap="around" w:vAnchor="margin" w:hAnchor="text" w:x="1800" w:y="987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本基金所指信用债包括但不限于金融债券、企业债券、公司债券、中期票据、短期融</w:t>
      </w:r>
    </w:p>
    <w:p>
      <w:pPr>
        <w:framePr w:w="9799" w:wrap="around" w:vAnchor="margin" w:hAnchor="text" w:x="1800" w:y="98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资券、超短期融资券、次级债券、政府机构债券、地方政府债券、资产支持证券、信贷资</w:t>
      </w:r>
    </w:p>
    <w:p>
      <w:pPr>
        <w:framePr w:w="9799" w:wrap="around" w:vAnchor="margin" w:hAnchor="text" w:x="1800" w:y="9877"/>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产支持证券、可交换债券、减记债券、中小企业私募债券、可转换债券（含分离交易可转债）</w:t>
      </w:r>
    </w:p>
    <w:p>
      <w:pPr>
        <w:framePr w:w="9799" w:wrap="around" w:vAnchor="margin" w:hAnchor="text" w:x="1800" w:y="98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以及法律法规或中国证监会允许基金投资的其他信用债。</w:t>
      </w:r>
    </w:p>
    <w:p>
      <w:pPr>
        <w:framePr w:w="9553" w:wrap="around" w:vAnchor="margin" w:hAnchor="text" w:x="1800" w:y="1151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如法律法规或监管机构以后允许基金投资其他品种，基金管理人在履行适当程序后，</w:t>
      </w:r>
    </w:p>
    <w:p>
      <w:pPr>
        <w:framePr w:w="9553" w:wrap="around" w:vAnchor="margin" w:hAnchor="text" w:x="1800" w:y="1151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可以将其纳入投资范围。</w:t>
      </w:r>
    </w:p>
    <w:p>
      <w:pPr>
        <w:framePr w:w="1807" w:wrap="around" w:vAnchor="margin" w:hAnchor="text" w:x="1800" w:y="1278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9.3</w:t>
      </w:r>
      <w:r>
        <w:rPr>
          <w:rFonts w:ascii="SKJVQB+å®ä½" w:hAnsi="SKJVQB+å®ä½" w:cs="SKJVQB+å®ä½"/>
          <w:color w:val="222222"/>
          <w:spacing w:val="0"/>
          <w:sz w:val="24"/>
        </w:rPr>
        <w:t>投资策略</w:t>
      </w:r>
    </w:p>
    <w:p>
      <w:pPr>
        <w:framePr w:w="1892" w:wrap="around" w:vAnchor="margin" w:hAnchor="text" w:x="2220" w:y="1336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、资产配置策略</w:t>
      </w:r>
    </w:p>
    <w:p>
      <w:pPr>
        <w:framePr w:w="9558" w:wrap="around" w:vAnchor="margin" w:hAnchor="text" w:x="1800" w:y="137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本基金将密切关注经济运行趋势，把握领先指标，预测未来走势，深入分析国家推行</w:t>
      </w:r>
    </w:p>
    <w:p>
      <w:pPr>
        <w:framePr w:w="9558" w:wrap="around" w:vAnchor="margin" w:hAnchor="text" w:x="1800" w:y="137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的财政与货币政策对未来宏观经济运行以及投资环境的影响。本基金将根据宏观经济、基</w:t>
      </w:r>
    </w:p>
    <w:p>
      <w:pPr>
        <w:framePr w:w="9558" w:wrap="around" w:vAnchor="margin" w:hAnchor="text" w:x="1800" w:y="137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准利率水平，预测债券类、货币类等大类资产的预期收益率水平，结合各类别资产的波动</w:t>
      </w:r>
    </w:p>
    <w:p>
      <w:pPr>
        <w:framePr w:w="9558" w:wrap="around" w:vAnchor="margin" w:hAnchor="text" w:x="1800" w:y="137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性以及流动性状况分析，做出最佳的资产配置及风险控制。</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124</w:t>
      </w:r>
    </w:p>
    <w:p>
      <w:pPr>
        <w:spacing w:before="0" w:after="0" w:line="0" w:lineRule="exact"/>
        <w:ind w:left="0" w:right="0"/>
        <w:jc w:val="left"/>
        <w:rPr>
          <w:rFonts w:ascii="Arial"/>
          <w:color w:val="FF0000"/>
          <w:spacing w:val="0"/>
          <w:sz w:val="2"/>
        </w:rPr>
      </w:pPr>
      <w:r>
        <w:pict>
          <v:shape id="_x0000258" o:spid="_x0000_s128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1" o:title=""/>
            <o:lock v:ext="edit" aspectratio="t"/>
          </v:shape>
        </w:pict>
      </w:r>
      <w:r>
        <w:pict>
          <v:shape id="_x0000259" o:spid="_x0000_s1285" o:spt="75" type="#_x0000_t75" style="position:absolute;left:0pt;margin-left:88.6pt;margin-top:71.1pt;height:697.9pt;width:418.3pt;mso-position-horizontal-relative:page;mso-position-vertical-relative:page;z-index:-2048;mso-width-relative:page;mso-height-relative:page;" filled="f" coordsize="21600,21600">
            <v:path/>
            <v:fill on="f" focussize="0,0"/>
            <v:stroke/>
            <v:imagedata r:id="rId2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103"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、信用债投资策略</w:t>
      </w:r>
    </w:p>
    <w:p>
      <w:pPr>
        <w:framePr w:w="9553" w:wrap="around" w:vAnchor="margin" w:hAnchor="text" w:x="1800" w:y="186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本基金将重点投资信用类债券，以提高组合收益能力。信用债券相对央票、国债等利</w:t>
      </w:r>
    </w:p>
    <w:p>
      <w:pPr>
        <w:framePr w:w="9553"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率产品的信用利差是本基金获取较高投资收益的来源，本基金将在南方基金内部信用评级</w:t>
      </w:r>
    </w:p>
    <w:p>
      <w:pPr>
        <w:framePr w:w="9553" w:wrap="around" w:vAnchor="margin" w:hAnchor="text" w:x="1800" w:y="186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的基础上和内部信用风险控制的框架下，积极投资信用债券，获取信用利差带来的高投资</w:t>
      </w:r>
    </w:p>
    <w:p>
      <w:pPr>
        <w:framePr w:w="9553"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收益。</w:t>
      </w:r>
    </w:p>
    <w:p>
      <w:pPr>
        <w:framePr w:w="9553"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债券的信用利差主要受两个方面的影响，一是市场信用利差曲线的走势；二是债券本</w:t>
      </w:r>
    </w:p>
    <w:p>
      <w:pPr>
        <w:framePr w:w="9553"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身的信用变化。本基金依靠对宏观经济走势、行业信用状况、信用债券市场流动性风险、</w:t>
      </w:r>
    </w:p>
    <w:p>
      <w:pPr>
        <w:framePr w:w="9553"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信用债券供需情况等的分析，判断市场信用利差曲线整体及分行业走势，确定各期限、各</w:t>
      </w:r>
    </w:p>
    <w:p>
      <w:pPr>
        <w:framePr w:w="9553" w:wrap="around" w:vAnchor="margin" w:hAnchor="text" w:x="1800" w:y="349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类属信用债券的投资比例。依靠内部评级系统分析各信用债券的相对信用水平、违约风险</w:t>
      </w:r>
    </w:p>
    <w:p>
      <w:pPr>
        <w:framePr w:w="9553"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及理论信用利差，选择信用利差被高估、未来信用利差可能下降的信用债券进行投资，减</w:t>
      </w:r>
    </w:p>
    <w:p>
      <w:pPr>
        <w:framePr w:w="9553"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持信用利差被低估、未来信用利差可能上升的信用债券。</w:t>
      </w:r>
    </w:p>
    <w:p>
      <w:pPr>
        <w:framePr w:w="2103" w:wrap="around" w:vAnchor="margin" w:hAnchor="text" w:x="2220" w:y="594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、可转债投资策略</w:t>
      </w:r>
    </w:p>
    <w:p>
      <w:pPr>
        <w:framePr w:w="9553"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本基金的另一投资重点为可转债。本基金将着重对可转债对应的基础股票进行分析与</w:t>
      </w:r>
    </w:p>
    <w:p>
      <w:pPr>
        <w:framePr w:w="9553"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研究，对那些有着较好盈利能力或成长前景的上市公司的转债进行重点选择，并在对应可</w:t>
      </w:r>
    </w:p>
    <w:p>
      <w:pPr>
        <w:framePr w:w="9553"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转债估值合理的前提下集中投资，以分享正股上涨带来的收益。同时，本基金还将密切跟</w:t>
      </w:r>
    </w:p>
    <w:p>
      <w:pPr>
        <w:framePr w:w="9553"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踪上市公司的经营状况，从财务压力、融资安排、未来的投资计划等方面推测、并通过实</w:t>
      </w:r>
    </w:p>
    <w:p>
      <w:pPr>
        <w:framePr w:w="9553"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地调研等方式确认上市公司对转股价的修正和转股意愿。</w:t>
      </w:r>
    </w:p>
    <w:p>
      <w:pPr>
        <w:framePr w:w="2780" w:wrap="around" w:vAnchor="margin" w:hAnchor="text" w:x="2220" w:y="839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、资产支持证券投资策略</w:t>
      </w:r>
    </w:p>
    <w:p>
      <w:pPr>
        <w:framePr w:w="9560"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当前国内资产支持证券市场以信贷资产证券化产品为主（包括以银行贷款资产、住房抵</w:t>
      </w:r>
    </w:p>
    <w:p>
      <w:pPr>
        <w:framePr w:w="9560"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押贷款等作为基础资产），仍处于创新试点阶段。产品投资关键在于对基础资产质量及未来</w:t>
      </w:r>
    </w:p>
    <w:p>
      <w:pPr>
        <w:framePr w:w="9560"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现金流的分析，本基金将在国内资产证券化产品具体政策框架下，采用基本面分析和数量</w:t>
      </w:r>
    </w:p>
    <w:p>
      <w:pPr>
        <w:framePr w:w="9560" w:wrap="around" w:vAnchor="margin" w:hAnchor="text" w:x="1800" w:y="880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化模型相结合，对个券进行风险分析和价值评估后进行投资。本基金将严格控制资产支持</w:t>
      </w:r>
    </w:p>
    <w:p>
      <w:pPr>
        <w:framePr w:w="9560"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证券的总体投资规模并进行分散投资，以降低流动性风险。</w:t>
      </w:r>
    </w:p>
    <w:p>
      <w:pPr>
        <w:framePr w:w="3263"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、中小企业私募债券投资策略</w:t>
      </w:r>
    </w:p>
    <w:p>
      <w:pPr>
        <w:framePr w:w="9553"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由于中小企业私募债券采取非公开方式发行和交易，并限制投资人数量上限，整体流</w:t>
      </w:r>
    </w:p>
    <w:p>
      <w:pPr>
        <w:framePr w:w="9553"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动性相对较差。同时，受到发债主体资产规模较小、经营波动性较高、信用基本面稳定性</w:t>
      </w:r>
    </w:p>
    <w:p>
      <w:pPr>
        <w:framePr w:w="9553"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较差的影响，整体的信用风险相对较高。中小企业私募债券的这两个特点要求在具体的投</w:t>
      </w:r>
    </w:p>
    <w:p>
      <w:pPr>
        <w:framePr w:w="9553"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资过程中，应采取更为谨慎的投资策略。本基金认为，投资该类债券的核心要点是分析和</w:t>
      </w:r>
    </w:p>
    <w:p>
      <w:pPr>
        <w:framePr w:w="9553"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跟踪发债主体的信用基本面，并综合考虑信用基本面、债券收益率和流动性等要素，确定</w:t>
      </w:r>
    </w:p>
    <w:p>
      <w:pPr>
        <w:framePr w:w="9553"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最终的投资决策。</w:t>
      </w:r>
    </w:p>
    <w:p>
      <w:pPr>
        <w:framePr w:w="2312" w:wrap="around" w:vAnchor="margin" w:hAnchor="text" w:x="2220" w:y="137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、国债期货投资策略</w:t>
      </w:r>
    </w:p>
    <w:p>
      <w:pPr>
        <w:framePr w:w="9551" w:wrap="around" w:vAnchor="margin" w:hAnchor="text" w:x="1800" w:y="1411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本基金在进行国债期货投资时，将根据风险管理原则，以套期保值为主要目的，采用</w:t>
      </w:r>
    </w:p>
    <w:p>
      <w:pPr>
        <w:framePr w:w="9551"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流动性好、交易活跃的期货合约，通过对债券市场和期货市场运行趋势的研究，结合国债</w:t>
      </w:r>
    </w:p>
    <w:p>
      <w:pPr>
        <w:framePr w:w="9551"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期货的定价模型寻求其合理的估值水平，与现货资产进行匹配，通过多头或空头套期保值</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125</w:t>
      </w:r>
    </w:p>
    <w:p>
      <w:pPr>
        <w:spacing w:before="0" w:after="0" w:line="0" w:lineRule="exact"/>
        <w:ind w:left="0" w:right="0"/>
        <w:jc w:val="left"/>
        <w:rPr>
          <w:rFonts w:ascii="Arial"/>
          <w:color w:val="FF0000"/>
          <w:spacing w:val="0"/>
          <w:sz w:val="2"/>
        </w:rPr>
      </w:pPr>
      <w:r>
        <w:pict>
          <v:shape id="_x0000260" o:spid="_x0000_s128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261" o:spid="_x0000_s1287"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48"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等策略进行套期保值操作。基金管理人将充分考虑国债期货的收益性、流动性及风险性特</w:t>
      </w:r>
    </w:p>
    <w:p>
      <w:pPr>
        <w:framePr w:w="954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征，运用国债期货对冲系统性风险、对冲特殊情况下的流动性风险，如大额申购赎回等；</w:t>
      </w:r>
    </w:p>
    <w:p>
      <w:pPr>
        <w:framePr w:w="954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利用金融衍生品的杠杆作用，以达到降低投资组合的整体风险的目的。</w:t>
      </w:r>
    </w:p>
    <w:p>
      <w:pPr>
        <w:framePr w:w="9554"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今后，随着证券市场的发展、金融工具的丰富和交易方式的创新等，基金还将积极寻</w:t>
      </w:r>
    </w:p>
    <w:p>
      <w:pPr>
        <w:framePr w:w="9554"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求其他投资机会，如法律法规或监管机构以后允许基金投资其他品种，本基金将在履行适</w:t>
      </w:r>
    </w:p>
    <w:p>
      <w:pPr>
        <w:framePr w:w="9554"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当程序后，将其纳入投资范围以丰富组合投资策略。</w:t>
      </w:r>
    </w:p>
    <w:p>
      <w:pPr>
        <w:framePr w:w="3603" w:wrap="around" w:vAnchor="margin" w:hAnchor="text" w:x="1800" w:y="4356"/>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9.4</w:t>
      </w:r>
      <w:r>
        <w:rPr>
          <w:rFonts w:ascii="SKJVQB+å®ä½" w:hAnsi="SKJVQB+å®ä½" w:cs="SKJVQB+å®ä½"/>
          <w:color w:val="222222"/>
          <w:spacing w:val="0"/>
          <w:sz w:val="24"/>
        </w:rPr>
        <w:t>投资决策依据和决策程序</w:t>
      </w:r>
    </w:p>
    <w:p>
      <w:pPr>
        <w:framePr w:w="1472" w:wrap="around" w:vAnchor="margin" w:hAnchor="text" w:x="2220" w:y="494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、决策依据</w:t>
      </w:r>
    </w:p>
    <w:p>
      <w:pPr>
        <w:framePr w:w="9556" w:wrap="around" w:vAnchor="margin" w:hAnchor="text" w:x="1800" w:y="53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）国家有关法律、法规和本基金合同的有关规定。依法决策是本基金进行投资的前</w:t>
      </w:r>
    </w:p>
    <w:p>
      <w:pPr>
        <w:framePr w:w="9556" w:wrap="around" w:vAnchor="margin" w:hAnchor="text" w:x="1800" w:y="53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提；</w:t>
      </w:r>
    </w:p>
    <w:p>
      <w:pPr>
        <w:framePr w:w="9556" w:wrap="around" w:vAnchor="margin" w:hAnchor="text" w:x="1800" w:y="61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）宏观经济发展态势、微观经济运行环境和证券、期货市场走势。这是本基金投资</w:t>
      </w:r>
    </w:p>
    <w:p>
      <w:pPr>
        <w:framePr w:w="9556" w:wrap="around" w:vAnchor="margin" w:hAnchor="text" w:x="1800" w:y="61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决策的基础；</w:t>
      </w:r>
    </w:p>
    <w:p>
      <w:pPr>
        <w:framePr w:w="9556" w:wrap="around" w:vAnchor="margin" w:hAnchor="text" w:x="1800" w:y="698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）投资对象收益和风险的配比关系。在充分权衡投资对象的收益和风险的前提下做</w:t>
      </w:r>
    </w:p>
    <w:p>
      <w:pPr>
        <w:framePr w:w="9556" w:wrap="around" w:vAnchor="margin" w:hAnchor="text" w:x="1800" w:y="698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出投资决策，是本基金维护投资人利益的重要保障。</w:t>
      </w:r>
    </w:p>
    <w:p>
      <w:pPr>
        <w:framePr w:w="1472" w:wrap="around" w:vAnchor="margin" w:hAnchor="text" w:x="2220" w:y="780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、决策程序</w:t>
      </w:r>
    </w:p>
    <w:p>
      <w:pPr>
        <w:framePr w:w="9557" w:wrap="around" w:vAnchor="margin" w:hAnchor="text" w:x="1800" w:y="821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）决定主要投资原则：投资决策委员会决定基金的主要投资原则，并对基金投资组</w:t>
      </w:r>
    </w:p>
    <w:p>
      <w:pPr>
        <w:framePr w:w="9557" w:wrap="around" w:vAnchor="margin" w:hAnchor="text" w:x="1800" w:y="821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合的资产配置比例等提出指导性意见。</w:t>
      </w:r>
    </w:p>
    <w:p>
      <w:pPr>
        <w:framePr w:w="9556" w:wrap="around" w:vAnchor="margin" w:hAnchor="text" w:x="1800" w:y="90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）提出投资建议：固定收益部研究员以外部研究报告以及其他信息来源作为参考，</w:t>
      </w:r>
    </w:p>
    <w:p>
      <w:pPr>
        <w:framePr w:w="9556" w:wrap="around" w:vAnchor="margin" w:hAnchor="text" w:x="1800" w:y="90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对利率市场、信用市场进行研究，提出债券市场运行趋势的分析观点，在重点关注的投资</w:t>
      </w:r>
    </w:p>
    <w:p>
      <w:pPr>
        <w:framePr w:w="9556" w:wrap="around" w:vAnchor="margin" w:hAnchor="text" w:x="1800" w:y="90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产品范围内根据自己的研究选出有投资价值的各类债券向基金经理做出投资建议。研究员</w:t>
      </w:r>
    </w:p>
    <w:p>
      <w:pPr>
        <w:framePr w:w="9556" w:wrap="around" w:vAnchor="margin" w:hAnchor="text" w:x="1800" w:y="90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根据基金经理提出的要求对各类投资品种进行研究并提出投资建议。</w:t>
      </w:r>
    </w:p>
    <w:p>
      <w:pPr>
        <w:framePr w:w="9556" w:wrap="around" w:vAnchor="margin" w:hAnchor="text" w:x="1800" w:y="9029"/>
        <w:widowControl w:val="0"/>
        <w:autoSpaceDE w:val="0"/>
        <w:autoSpaceDN w:val="0"/>
        <w:spacing w:before="0" w:after="0" w:line="4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）制定投资决策：基金经理在遵守投资决策委员会制定的投资原则前提下，根据研</w:t>
      </w:r>
    </w:p>
    <w:p>
      <w:pPr>
        <w:framePr w:w="9556" w:wrap="around" w:vAnchor="margin" w:hAnchor="text" w:x="1800" w:y="90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究员提供的投资建议以及自己的分析判断，做出具体的投资决策。</w:t>
      </w:r>
    </w:p>
    <w:p>
      <w:pPr>
        <w:framePr w:w="9556" w:wrap="around" w:vAnchor="margin" w:hAnchor="text" w:x="1800" w:y="90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）进行风险评估：风险管理部门对公司旗下基金投资组合的风险进行监测和评估，</w:t>
      </w:r>
    </w:p>
    <w:p>
      <w:pPr>
        <w:framePr w:w="9556" w:wrap="around" w:vAnchor="margin" w:hAnchor="text" w:x="1800" w:y="90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并出具风险监控报告。</w:t>
      </w:r>
    </w:p>
    <w:p>
      <w:pPr>
        <w:framePr w:w="9556" w:wrap="around" w:vAnchor="margin" w:hAnchor="text" w:x="1800" w:y="1229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）评估和调整决策程序：基金管理人有权根据环境的变化和实际的需要调整决策的</w:t>
      </w:r>
    </w:p>
    <w:p>
      <w:pPr>
        <w:framePr w:w="9556" w:wrap="around" w:vAnchor="margin" w:hAnchor="text" w:x="1800" w:y="1229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程序。</w:t>
      </w:r>
    </w:p>
    <w:p>
      <w:pPr>
        <w:framePr w:w="1807" w:wrap="around" w:vAnchor="margin" w:hAnchor="text" w:x="1800" w:y="13568"/>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9.5</w:t>
      </w:r>
      <w:r>
        <w:rPr>
          <w:rFonts w:ascii="SKJVQB+å®ä½" w:hAnsi="SKJVQB+å®ä½" w:cs="SKJVQB+å®ä½"/>
          <w:color w:val="222222"/>
          <w:spacing w:val="0"/>
          <w:sz w:val="24"/>
        </w:rPr>
        <w:t>投资限制</w:t>
      </w:r>
    </w:p>
    <w:p>
      <w:pPr>
        <w:framePr w:w="1472" w:wrap="around" w:vAnchor="margin" w:hAnchor="text" w:x="2220" w:y="1415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、组合限制</w:t>
      </w:r>
    </w:p>
    <w:p>
      <w:pPr>
        <w:framePr w:w="3627" w:wrap="around" w:vAnchor="margin" w:hAnchor="text" w:x="2220" w:y="1456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基金的投资组合应遵循以下限制：</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126</w:t>
      </w:r>
    </w:p>
    <w:p>
      <w:pPr>
        <w:spacing w:before="0" w:after="0" w:line="0" w:lineRule="exact"/>
        <w:ind w:left="0" w:right="0"/>
        <w:jc w:val="left"/>
        <w:rPr>
          <w:rFonts w:ascii="Arial"/>
          <w:color w:val="FF0000"/>
          <w:spacing w:val="0"/>
          <w:sz w:val="2"/>
        </w:rPr>
      </w:pPr>
      <w:r>
        <w:pict>
          <v:shape id="_x0000262" o:spid="_x0000_s128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263" o:spid="_x0000_s1289" o:spt="75" type="#_x0000_t75" style="position:absolute;left:0pt;margin-left:88.6pt;margin-top:71.1pt;height:676.1pt;width:418.3pt;mso-position-horizontal-relative:page;mso-position-vertical-relative:page;z-index:-2048;mso-width-relative:page;mso-height-relative:page;" filled="f" coordsize="21600,21600">
            <v:path/>
            <v:fill on="f" focussize="0,0"/>
            <v:stroke/>
            <v:imagedata r:id="rId22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7"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w:t>
      </w:r>
    </w:p>
    <w:p>
      <w:pPr>
        <w:framePr w:w="9557"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可转换债券的比例合计不低于债券资产的 </w:t>
      </w:r>
      <w:r>
        <w:rPr>
          <w:rFonts w:ascii="GGHCMB+å®ä½"/>
          <w:color w:val="222222"/>
          <w:spacing w:val="0"/>
          <w:sz w:val="21"/>
        </w:rPr>
        <w:t>80%</w:t>
      </w:r>
      <w:r>
        <w:rPr>
          <w:rFonts w:ascii="SKJVQB+å®ä½" w:hAnsi="SKJVQB+å®ä½" w:cs="SKJVQB+å®ä½"/>
          <w:color w:val="222222"/>
          <w:spacing w:val="0"/>
          <w:sz w:val="21"/>
        </w:rPr>
        <w:t>。本基金不直接投资股票、权证等权益类资</w:t>
      </w:r>
    </w:p>
    <w:p>
      <w:pPr>
        <w:framePr w:w="9557"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产，但可持有因可转换债券转股所形成的股票、因可交换债券换股所形成的股票、因所持</w:t>
      </w:r>
    </w:p>
    <w:p>
      <w:pPr>
        <w:framePr w:w="9557"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股票所派发的权证以及因投资可分离债券而产生的权证等。因上述原因持有的股票和权证</w:t>
      </w:r>
    </w:p>
    <w:p>
      <w:pPr>
        <w:framePr w:w="9557"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等资产，本基金将在其可交易之日起</w:t>
      </w:r>
      <w:r>
        <w:rPr>
          <w:rFonts w:ascii="GGHCMB+å®ä½"/>
          <w:color w:val="222222"/>
          <w:spacing w:val="0"/>
          <w:sz w:val="21"/>
        </w:rPr>
        <w:t>10</w:t>
      </w:r>
      <w:r>
        <w:rPr>
          <w:rFonts w:ascii="SKJVQB+å®ä½" w:hAnsi="SKJVQB+å®ä½" w:cs="SKJVQB+å®ä½"/>
          <w:color w:val="222222"/>
          <w:spacing w:val="0"/>
          <w:sz w:val="21"/>
        </w:rPr>
        <w:t>个交易日内卖出；</w:t>
      </w:r>
    </w:p>
    <w:p>
      <w:pPr>
        <w:framePr w:w="9559"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）每个交易日日终在扣除期货合约需缴纳的交易保证金后，现金或到期日在一年以</w:t>
      </w:r>
    </w:p>
    <w:p>
      <w:pPr>
        <w:framePr w:w="9559"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内的政府债券的投资比例不低于基金资产净值的  </w:t>
      </w:r>
      <w:r>
        <w:rPr>
          <w:rFonts w:ascii="GGHCMB+å®ä½"/>
          <w:color w:val="222222"/>
          <w:spacing w:val="0"/>
          <w:sz w:val="21"/>
        </w:rPr>
        <w:t>5</w:t>
      </w:r>
      <w:r>
        <w:rPr>
          <w:rFonts w:ascii="SKJVQB+å®ä½" w:hAnsi="SKJVQB+å®ä½" w:cs="SKJVQB+å®ä½"/>
          <w:color w:val="222222"/>
          <w:spacing w:val="0"/>
          <w:sz w:val="21"/>
        </w:rPr>
        <w:t>％，其中现金不包括结算备付金、存出</w:t>
      </w:r>
    </w:p>
    <w:p>
      <w:pPr>
        <w:framePr w:w="9559"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保证金、应收申购款等；</w:t>
      </w:r>
    </w:p>
    <w:p>
      <w:pPr>
        <w:framePr w:w="9560"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）本基金管理人管理的全部基金持有一家公司发行的证券，不超过该证券的</w:t>
      </w:r>
      <w:r>
        <w:rPr>
          <w:rFonts w:ascii="GGHCMB+å®ä½"/>
          <w:color w:val="222222"/>
          <w:spacing w:val="0"/>
          <w:sz w:val="21"/>
        </w:rPr>
        <w:t>10</w:t>
      </w:r>
      <w:r>
        <w:rPr>
          <w:rFonts w:ascii="SKJVQB+å®ä½" w:hAnsi="SKJVQB+å®ä½" w:cs="SKJVQB+å®ä½"/>
          <w:color w:val="222222"/>
          <w:spacing w:val="0"/>
          <w:sz w:val="21"/>
        </w:rPr>
        <w:t>％；</w:t>
      </w:r>
    </w:p>
    <w:p>
      <w:pPr>
        <w:framePr w:w="9560" w:wrap="around" w:vAnchor="margin" w:hAnchor="text" w:x="1800" w:y="472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）本基金持有一家公司发行的证券，其市值不超过基金资产净值的</w:t>
      </w:r>
      <w:r>
        <w:rPr>
          <w:rFonts w:ascii="GGHCMB+å®ä½"/>
          <w:color w:val="222222"/>
          <w:spacing w:val="0"/>
          <w:sz w:val="21"/>
        </w:rPr>
        <w:t>10%</w:t>
      </w:r>
      <w:r>
        <w:rPr>
          <w:rFonts w:ascii="SKJVQB+å®ä½" w:hAnsi="SKJVQB+å®ä½" w:cs="SKJVQB+å®ä½"/>
          <w:color w:val="222222"/>
          <w:spacing w:val="0"/>
          <w:sz w:val="21"/>
        </w:rPr>
        <w:t>；</w:t>
      </w:r>
    </w:p>
    <w:p>
      <w:pPr>
        <w:framePr w:w="9560" w:wrap="around" w:vAnchor="margin" w:hAnchor="text" w:x="1800" w:y="472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）本基金投资于同一原始权益人的各类资产支持证券的比例，不得超过基金资产净</w:t>
      </w:r>
    </w:p>
    <w:p>
      <w:pPr>
        <w:framePr w:w="9560"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值的</w:t>
      </w:r>
      <w:r>
        <w:rPr>
          <w:rFonts w:ascii="GGHCMB+å®ä½"/>
          <w:color w:val="222222"/>
          <w:spacing w:val="0"/>
          <w:sz w:val="21"/>
        </w:rPr>
        <w:t>10</w:t>
      </w:r>
      <w:r>
        <w:rPr>
          <w:rFonts w:ascii="SKJVQB+å®ä½" w:hAnsi="SKJVQB+å®ä½" w:cs="SKJVQB+å®ä½"/>
          <w:color w:val="222222"/>
          <w:spacing w:val="0"/>
          <w:sz w:val="21"/>
        </w:rPr>
        <w:t>％；</w:t>
      </w:r>
    </w:p>
    <w:p>
      <w:pPr>
        <w:framePr w:w="9557"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）本基金持有的全部资产支持证券，其市值不得超过基金资产净值的</w:t>
      </w:r>
      <w:r>
        <w:rPr>
          <w:rFonts w:ascii="GGHCMB+å®ä½"/>
          <w:color w:val="222222"/>
          <w:spacing w:val="0"/>
          <w:sz w:val="21"/>
        </w:rPr>
        <w:t>20</w:t>
      </w:r>
      <w:r>
        <w:rPr>
          <w:rFonts w:ascii="SKJVQB+å®ä½" w:hAnsi="SKJVQB+å®ä½" w:cs="SKJVQB+å®ä½"/>
          <w:color w:val="222222"/>
          <w:spacing w:val="0"/>
          <w:sz w:val="21"/>
        </w:rPr>
        <w:t>％；</w:t>
      </w:r>
    </w:p>
    <w:p>
      <w:pPr>
        <w:framePr w:w="9557" w:wrap="around" w:vAnchor="margin" w:hAnchor="text" w:x="1800" w:y="635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）本基金持有的同一</w:t>
      </w:r>
      <w:r>
        <w:rPr>
          <w:rFonts w:ascii="GGHCMB+å®ä½"/>
          <w:color w:val="222222"/>
          <w:spacing w:val="0"/>
          <w:sz w:val="21"/>
        </w:rPr>
        <w:t>(</w:t>
      </w:r>
      <w:r>
        <w:rPr>
          <w:rFonts w:ascii="SKJVQB+å®ä½" w:hAnsi="SKJVQB+å®ä½" w:cs="SKJVQB+å®ä½"/>
          <w:color w:val="222222"/>
          <w:spacing w:val="0"/>
          <w:sz w:val="21"/>
        </w:rPr>
        <w:t>指同一信用级别</w:t>
      </w:r>
      <w:r>
        <w:rPr>
          <w:rFonts w:ascii="GGHCMB+å®ä½"/>
          <w:color w:val="222222"/>
          <w:spacing w:val="0"/>
          <w:sz w:val="21"/>
        </w:rPr>
        <w:t>)</w:t>
      </w:r>
      <w:r>
        <w:rPr>
          <w:rFonts w:ascii="SKJVQB+å®ä½" w:hAnsi="SKJVQB+å®ä½" w:cs="SKJVQB+å®ä½"/>
          <w:color w:val="222222"/>
          <w:spacing w:val="0"/>
          <w:sz w:val="21"/>
        </w:rPr>
        <w:t>资产支持证券的比例，不得超过该资产支持</w:t>
      </w:r>
    </w:p>
    <w:p>
      <w:pPr>
        <w:framePr w:w="9557"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证券规模的</w:t>
      </w:r>
      <w:r>
        <w:rPr>
          <w:rFonts w:ascii="GGHCMB+å®ä½"/>
          <w:color w:val="222222"/>
          <w:spacing w:val="0"/>
          <w:sz w:val="21"/>
        </w:rPr>
        <w:t>10</w:t>
      </w:r>
      <w:r>
        <w:rPr>
          <w:rFonts w:ascii="SKJVQB+å®ä½" w:hAnsi="SKJVQB+å®ä½" w:cs="SKJVQB+å®ä½"/>
          <w:color w:val="222222"/>
          <w:spacing w:val="0"/>
          <w:sz w:val="21"/>
        </w:rPr>
        <w:t>％；</w:t>
      </w:r>
    </w:p>
    <w:p>
      <w:pPr>
        <w:framePr w:w="9557" w:wrap="around" w:vAnchor="margin" w:hAnchor="text" w:x="1800" w:y="75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）本基金管理人管理的全部基金投资于同一原始权益人的各类资产支持证券，不得</w:t>
      </w:r>
    </w:p>
    <w:p>
      <w:pPr>
        <w:framePr w:w="9557"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超过其各类资产支持证券合计规模的</w:t>
      </w:r>
      <w:r>
        <w:rPr>
          <w:rFonts w:ascii="GGHCMB+å®ä½"/>
          <w:color w:val="222222"/>
          <w:spacing w:val="0"/>
          <w:sz w:val="21"/>
        </w:rPr>
        <w:t>10</w:t>
      </w:r>
      <w:r>
        <w:rPr>
          <w:rFonts w:ascii="SKJVQB+å®ä½" w:hAnsi="SKJVQB+å®ä½" w:cs="SKJVQB+å®ä½"/>
          <w:color w:val="222222"/>
          <w:spacing w:val="0"/>
          <w:sz w:val="21"/>
        </w:rPr>
        <w:t>％；</w:t>
      </w:r>
    </w:p>
    <w:p>
      <w:pPr>
        <w:framePr w:w="9560"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 xml:space="preserve">）本基金应投资于信用级别评级为 </w:t>
      </w:r>
      <w:r>
        <w:rPr>
          <w:rFonts w:ascii="GGHCMB+å®ä½"/>
          <w:color w:val="222222"/>
          <w:spacing w:val="0"/>
          <w:sz w:val="21"/>
        </w:rPr>
        <w:t>BBB</w:t>
      </w:r>
      <w:r>
        <w:rPr>
          <w:rFonts w:ascii="SKJVQB+å®ä½" w:hAnsi="SKJVQB+å®ä½" w:cs="SKJVQB+å®ä½"/>
          <w:color w:val="222222"/>
          <w:spacing w:val="0"/>
          <w:sz w:val="21"/>
        </w:rPr>
        <w:t>以上</w:t>
      </w:r>
      <w:r>
        <w:rPr>
          <w:rFonts w:ascii="GGHCMB+å®ä½"/>
          <w:color w:val="222222"/>
          <w:spacing w:val="0"/>
          <w:sz w:val="21"/>
        </w:rPr>
        <w:t>(</w:t>
      </w:r>
      <w:r>
        <w:rPr>
          <w:rFonts w:ascii="SKJVQB+å®ä½" w:hAnsi="SKJVQB+å®ä½" w:cs="SKJVQB+å®ä½"/>
          <w:color w:val="222222"/>
          <w:spacing w:val="0"/>
          <w:sz w:val="21"/>
        </w:rPr>
        <w:t xml:space="preserve">含 </w:t>
      </w:r>
      <w:r>
        <w:rPr>
          <w:rFonts w:ascii="GGHCMB+å®ä½"/>
          <w:color w:val="222222"/>
          <w:spacing w:val="0"/>
          <w:sz w:val="21"/>
        </w:rPr>
        <w:t>BBB)</w:t>
      </w:r>
      <w:r>
        <w:rPr>
          <w:rFonts w:ascii="SKJVQB+å®ä½" w:hAnsi="SKJVQB+å®ä½" w:cs="SKJVQB+å®ä½"/>
          <w:color w:val="222222"/>
          <w:spacing w:val="0"/>
          <w:sz w:val="21"/>
        </w:rPr>
        <w:t>的资产支持证券。基金持有资</w:t>
      </w:r>
    </w:p>
    <w:p>
      <w:pPr>
        <w:framePr w:w="9560" w:wrap="around" w:vAnchor="margin" w:hAnchor="text" w:x="1800" w:y="8398"/>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 xml:space="preserve">产支持证券期间，如果其信用等级下降、不再符合投资标准，应在评级报告发布之日起  </w:t>
      </w:r>
      <w:r>
        <w:rPr>
          <w:rFonts w:ascii="GGHCMB+å®ä½"/>
          <w:color w:val="222222"/>
          <w:spacing w:val="0"/>
          <w:sz w:val="21"/>
        </w:rPr>
        <w:t xml:space="preserve"> 3</w:t>
      </w:r>
    </w:p>
    <w:p>
      <w:pPr>
        <w:framePr w:w="9560"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个月内予以全部卖出；</w:t>
      </w:r>
    </w:p>
    <w:p>
      <w:pPr>
        <w:framePr w:w="9559" w:wrap="around" w:vAnchor="margin" w:hAnchor="text" w:x="1800" w:y="962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）本基金进入全国银行间同业市场进行债券回购的资金余额不得超过基金资产净值</w:t>
      </w:r>
    </w:p>
    <w:p>
      <w:pPr>
        <w:framePr w:w="9559" w:wrap="around" w:vAnchor="margin" w:hAnchor="text" w:x="180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40%</w:t>
      </w:r>
      <w:r>
        <w:rPr>
          <w:rFonts w:ascii="SKJVQB+å®ä½" w:hAnsi="SKJVQB+å®ä½" w:cs="SKJVQB+å®ä½"/>
          <w:color w:val="222222"/>
          <w:spacing w:val="0"/>
          <w:sz w:val="21"/>
        </w:rPr>
        <w:t>；</w:t>
      </w:r>
    </w:p>
    <w:p>
      <w:pPr>
        <w:framePr w:w="6045"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）基金总资产不超过基金净资产的百分之一百四十；</w:t>
      </w:r>
    </w:p>
    <w:p>
      <w:pPr>
        <w:framePr w:w="9560" w:wrap="around" w:vAnchor="margin" w:hAnchor="text" w:x="1800" w:y="1084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）本基金持有单只中小企业私募债券，其市值不得超过该基金资产净值的</w:t>
      </w:r>
      <w:r>
        <w:rPr>
          <w:rFonts w:ascii="GGHCMB+å®ä½"/>
          <w:color w:val="222222"/>
          <w:spacing w:val="0"/>
          <w:sz w:val="21"/>
        </w:rPr>
        <w:t>10</w:t>
      </w:r>
      <w:r>
        <w:rPr>
          <w:rFonts w:ascii="SKJVQB+å®ä½" w:hAnsi="SKJVQB+å®ä½" w:cs="SKJVQB+å®ä½"/>
          <w:color w:val="222222"/>
          <w:spacing w:val="0"/>
          <w:sz w:val="21"/>
        </w:rPr>
        <w:t>％；</w:t>
      </w:r>
    </w:p>
    <w:p>
      <w:pPr>
        <w:framePr w:w="9560" w:wrap="around" w:vAnchor="margin" w:hAnchor="text" w:x="1800" w:y="1084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）在任何交易日日终，持有的买入国债期货合约价值，不得超过基金资产净值的</w:t>
      </w:r>
    </w:p>
    <w:p>
      <w:pPr>
        <w:framePr w:w="9560"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；在任何交易日日终，持有的卖出国债期货合约价值不得超过基金持有的债券总市值的</w:t>
      </w:r>
    </w:p>
    <w:p>
      <w:pPr>
        <w:framePr w:w="9560" w:wrap="around" w:vAnchor="margin" w:hAnchor="text" w:x="1800" w:y="1084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GGHCMB+å®ä½"/>
          <w:color w:val="222222"/>
          <w:spacing w:val="0"/>
          <w:sz w:val="21"/>
        </w:rPr>
        <w:t>30%</w:t>
      </w:r>
      <w:r>
        <w:rPr>
          <w:rFonts w:ascii="SKJVQB+å®ä½" w:hAnsi="SKJVQB+å®ä½" w:cs="SKJVQB+å®ä½"/>
          <w:color w:val="222222"/>
          <w:spacing w:val="0"/>
          <w:sz w:val="21"/>
        </w:rPr>
        <w:t>；本基金所持有的债券（不含到期日在一年以内的政府债券）市值和买入、卖出国债期</w:t>
      </w:r>
    </w:p>
    <w:p>
      <w:pPr>
        <w:framePr w:w="9560"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货合约价值，合计（轧差计算）不低于基金资产的</w:t>
      </w:r>
      <w:r>
        <w:rPr>
          <w:rFonts w:ascii="GGHCMB+å®ä½"/>
          <w:color w:val="222222"/>
          <w:spacing w:val="0"/>
          <w:sz w:val="21"/>
        </w:rPr>
        <w:t>80%</w:t>
      </w:r>
      <w:r>
        <w:rPr>
          <w:rFonts w:ascii="SKJVQB+å®ä½" w:hAnsi="SKJVQB+å®ä½" w:cs="SKJVQB+å®ä½"/>
          <w:color w:val="222222"/>
          <w:spacing w:val="0"/>
          <w:sz w:val="21"/>
        </w:rPr>
        <w:t>；在任何交易日内交易（不包括平仓）</w:t>
      </w:r>
    </w:p>
    <w:p>
      <w:pPr>
        <w:framePr w:w="9560"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的国债期货合约的成交金额不得超过上一交易日基金资产净值的</w:t>
      </w:r>
      <w:r>
        <w:rPr>
          <w:rFonts w:ascii="GGHCMB+å®ä½"/>
          <w:color w:val="222222"/>
          <w:spacing w:val="0"/>
          <w:sz w:val="21"/>
        </w:rPr>
        <w:t>30%</w:t>
      </w:r>
      <w:r>
        <w:rPr>
          <w:rFonts w:ascii="SKJVQB+å®ä½" w:hAnsi="SKJVQB+å®ä½" w:cs="SKJVQB+å®ä½"/>
          <w:color w:val="222222"/>
          <w:spacing w:val="0"/>
          <w:sz w:val="21"/>
        </w:rPr>
        <w:t>；</w:t>
      </w:r>
    </w:p>
    <w:p>
      <w:pPr>
        <w:framePr w:w="9560" w:wrap="around" w:vAnchor="margin" w:hAnchor="text" w:x="1800" w:y="1084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）本基金管理人管理的全部开放式基金（包括开放式基金以及处于开放期的定期开</w:t>
      </w:r>
    </w:p>
    <w:p>
      <w:pPr>
        <w:framePr w:w="9560"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放基金）持有一家上市公司发行的可流通股票，不得超过该上市公司可流通股票的</w:t>
      </w:r>
      <w:r>
        <w:rPr>
          <w:rFonts w:ascii="GGHCMB+å®ä½"/>
          <w:color w:val="222222"/>
          <w:spacing w:val="0"/>
          <w:sz w:val="21"/>
        </w:rPr>
        <w:t>15%</w:t>
      </w:r>
      <w:r>
        <w:rPr>
          <w:rFonts w:ascii="SKJVQB+å®ä½" w:hAnsi="SKJVQB+å®ä½" w:cs="SKJVQB+å®ä½"/>
          <w:color w:val="222222"/>
          <w:spacing w:val="0"/>
          <w:sz w:val="21"/>
        </w:rPr>
        <w:t>；本</w:t>
      </w:r>
    </w:p>
    <w:p>
      <w:pPr>
        <w:framePr w:w="9560" w:wrap="around" w:vAnchor="margin" w:hAnchor="text" w:x="1800" w:y="1084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基金管理人管理的全部投资组合持有一家上市公司发行的可流通股票，不得超过该上市公</w:t>
      </w:r>
    </w:p>
    <w:p>
      <w:pPr>
        <w:framePr w:w="9560"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司可流通股票的</w:t>
      </w:r>
      <w:r>
        <w:rPr>
          <w:rFonts w:ascii="GGHCMB+å®ä½"/>
          <w:color w:val="222222"/>
          <w:spacing w:val="0"/>
          <w:sz w:val="21"/>
        </w:rPr>
        <w:t>30%</w:t>
      </w:r>
      <w:r>
        <w:rPr>
          <w:rFonts w:ascii="SKJVQB+å®ä½" w:hAnsi="SKJVQB+å®ä½" w:cs="SKJVQB+å®ä½"/>
          <w:color w:val="222222"/>
          <w:spacing w:val="0"/>
          <w:sz w:val="21"/>
        </w:rPr>
        <w:t>；</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127</w:t>
      </w:r>
    </w:p>
    <w:p>
      <w:pPr>
        <w:spacing w:before="0" w:after="0" w:line="0" w:lineRule="exact"/>
        <w:ind w:left="0" w:right="0"/>
        <w:jc w:val="left"/>
        <w:rPr>
          <w:rFonts w:ascii="Arial"/>
          <w:color w:val="FF0000"/>
          <w:spacing w:val="0"/>
          <w:sz w:val="2"/>
        </w:rPr>
      </w:pPr>
      <w:r>
        <w:pict>
          <v:shape id="_x0000264" o:spid="_x0000_s129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265" o:spid="_x0000_s1291"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60"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）本基金主动投资于流动性受限资产的市值合计不得超过基金资产净值的</w:t>
      </w:r>
      <w:r>
        <w:rPr>
          <w:rFonts w:ascii="GGHCMB+å®ä½"/>
          <w:color w:val="222222"/>
          <w:spacing w:val="0"/>
          <w:sz w:val="21"/>
        </w:rPr>
        <w:t>15%</w:t>
      </w:r>
      <w:r>
        <w:rPr>
          <w:rFonts w:ascii="SKJVQB+å®ä½" w:hAnsi="SKJVQB+å®ä½" w:cs="SKJVQB+å®ä½"/>
          <w:color w:val="222222"/>
          <w:spacing w:val="0"/>
          <w:sz w:val="21"/>
        </w:rPr>
        <w:t>；因</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证券市场波动、上市公司股票停牌、基金规模变动等基金管理人之外的因素致使基金不符</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合该比例限制的，基金管理人不得主动新增流动性受限资产的投资；</w:t>
      </w:r>
    </w:p>
    <w:p>
      <w:pPr>
        <w:framePr w:w="9560" w:wrap="around" w:vAnchor="margin" w:hAnchor="text" w:x="1800" w:y="145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）本基金与私募类证券资管产品及中国证监会认定的其他主体为交易对手开展逆回</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购交易的，可接受质押品的资质要求应当与基金合同约定的投资范围保持一致；</w:t>
      </w:r>
    </w:p>
    <w:p>
      <w:pPr>
        <w:framePr w:w="9560"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）法律法规及中国证监会规定的和《基金合同》约定的其他投资限制。</w:t>
      </w:r>
    </w:p>
    <w:p>
      <w:pPr>
        <w:framePr w:w="9560"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除上述第（</w:t>
      </w:r>
      <w:r>
        <w:rPr>
          <w:rFonts w:ascii="GGHCMB+å®ä½"/>
          <w:color w:val="222222"/>
          <w:spacing w:val="0"/>
          <w:sz w:val="21"/>
        </w:rPr>
        <w:t>2</w:t>
      </w: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）项另有约定外，因证券、期货市场波动、上市</w:t>
      </w:r>
    </w:p>
    <w:p>
      <w:pPr>
        <w:framePr w:w="9560"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公司合并、基金规模变动、股权分置改革中支付对价等基金管理人之外的因素致使基金投</w:t>
      </w:r>
    </w:p>
    <w:p>
      <w:pPr>
        <w:framePr w:w="9560" w:wrap="around" w:vAnchor="margin" w:hAnchor="text" w:x="1800" w:y="145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资比例不符合上述规定投资比例的，基金管理人应当在 </w:t>
      </w:r>
      <w:r>
        <w:rPr>
          <w:rFonts w:ascii="GGHCMB+å®ä½"/>
          <w:color w:val="222222"/>
          <w:spacing w:val="0"/>
          <w:sz w:val="21"/>
        </w:rPr>
        <w:t>10</w:t>
      </w:r>
      <w:r>
        <w:rPr>
          <w:rFonts w:ascii="SKJVQB+å®ä½" w:hAnsi="SKJVQB+å®ä½" w:cs="SKJVQB+å®ä½"/>
          <w:color w:val="222222"/>
          <w:spacing w:val="0"/>
          <w:sz w:val="21"/>
        </w:rPr>
        <w:t>个交易日内进行调整，但中国证</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监会规定的特殊情形除外。本基金投资公开发行可交换债的比例等投资限制、估值核算和</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信息披露参照可转债，且投资比例应当与可转债合并计算。</w:t>
      </w:r>
    </w:p>
    <w:p>
      <w:pPr>
        <w:framePr w:w="9798" w:wrap="around" w:vAnchor="margin" w:hAnchor="text" w:x="1800" w:y="59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基金管理人应当自基金合同生效之日起 </w:t>
      </w:r>
      <w:r>
        <w:rPr>
          <w:rFonts w:ascii="GGHCMB+å®ä½"/>
          <w:color w:val="222222"/>
          <w:spacing w:val="0"/>
          <w:sz w:val="21"/>
        </w:rPr>
        <w:t>6</w:t>
      </w:r>
      <w:r>
        <w:rPr>
          <w:rFonts w:ascii="SKJVQB+å®ä½" w:hAnsi="SKJVQB+å®ä½" w:cs="SKJVQB+å®ä½"/>
          <w:color w:val="222222"/>
          <w:spacing w:val="0"/>
          <w:sz w:val="21"/>
        </w:rPr>
        <w:t>个月内使基金的投资组合比例符合基金合同</w:t>
      </w:r>
    </w:p>
    <w:p>
      <w:pPr>
        <w:framePr w:w="9798"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的有关约定，在上述期间内，本基金的投资范围、投资策略应当符合基金合同的约定。基</w:t>
      </w:r>
    </w:p>
    <w:p>
      <w:pPr>
        <w:framePr w:w="9798"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金托管人对基金的投资的监督与检查自本基金合同生效之日起开始。</w:t>
      </w:r>
    </w:p>
    <w:p>
      <w:pPr>
        <w:framePr w:w="9798" w:wrap="around" w:vAnchor="margin" w:hAnchor="text" w:x="1800" w:y="594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如果法律法规或监管部门对上述投资组合比例限制进行变更的，以变更后的规定为准。</w:t>
      </w:r>
    </w:p>
    <w:p>
      <w:pPr>
        <w:framePr w:w="9798"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法律法规或监管部门取消上述限制，如适用于本基金，则本基金投资不再受相关限制。</w:t>
      </w:r>
    </w:p>
    <w:p>
      <w:pPr>
        <w:framePr w:w="9798" w:wrap="around" w:vAnchor="margin" w:hAnchor="text" w:x="1800" w:y="594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、禁止行为</w:t>
      </w:r>
    </w:p>
    <w:p>
      <w:pPr>
        <w:framePr w:w="7978" w:wrap="around" w:vAnchor="margin" w:hAnchor="text" w:x="2220" w:y="839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为维护基金份额持有人的合法权益，基金财产不得用于下列投资或者活动：</w:t>
      </w:r>
    </w:p>
    <w:p>
      <w:pPr>
        <w:framePr w:w="7978" w:wrap="around" w:vAnchor="margin" w:hAnchor="text" w:x="222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）承销证券；</w:t>
      </w:r>
    </w:p>
    <w:p>
      <w:pPr>
        <w:framePr w:w="4472" w:wrap="around" w:vAnchor="margin" w:hAnchor="text" w:x="2220" w:y="921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）违反规定向他人贷款或者提供担保；</w:t>
      </w:r>
    </w:p>
    <w:p>
      <w:pPr>
        <w:framePr w:w="3506" w:wrap="around" w:vAnchor="margin" w:hAnchor="text" w:x="2220" w:y="96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）从事承担无限责任的投资；</w:t>
      </w:r>
    </w:p>
    <w:p>
      <w:pPr>
        <w:framePr w:w="6404"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）买卖其他基金份额，但是中国证监会另有规定的除外；</w:t>
      </w:r>
    </w:p>
    <w:p>
      <w:pPr>
        <w:framePr w:w="4472"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）向其基金管理人、基金托管人出资；</w:t>
      </w:r>
    </w:p>
    <w:p>
      <w:pPr>
        <w:framePr w:w="7613"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）从事内幕交易、操纵证券交易价格及其他不正当的证券交易活动；</w:t>
      </w:r>
    </w:p>
    <w:p>
      <w:pPr>
        <w:framePr w:w="7613" w:wrap="around" w:vAnchor="margin" w:hAnchor="text" w:x="222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）法律、行政法规和中国证监会规定禁止的其他活动。</w:t>
      </w:r>
    </w:p>
    <w:p>
      <w:pPr>
        <w:framePr w:w="9553"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如法律、行政法规或监管部门取消上述限制，如适用于本基金，则本基金投资不再受</w:t>
      </w:r>
    </w:p>
    <w:p>
      <w:pPr>
        <w:framePr w:w="9553"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相关限制。基金管理人运用基金财产买卖基金管理人、基金托管人及其控股股东、实际控</w:t>
      </w:r>
    </w:p>
    <w:p>
      <w:pPr>
        <w:framePr w:w="9553"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制人或者与其他重大利害关系的公司发行的证券或者承销期内承销的证券，或者从事其他</w:t>
      </w:r>
    </w:p>
    <w:p>
      <w:pPr>
        <w:framePr w:w="9553"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重大关联交易的，应当符合基金的投资目标和投资策略，遵循基金份额持有人利益优先的</w:t>
      </w:r>
    </w:p>
    <w:p>
      <w:pPr>
        <w:framePr w:w="9553"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原则，防范利益冲突，相关交易必须事先得到基金托管人的同意，并履行信息披露义务。</w:t>
      </w:r>
    </w:p>
    <w:p>
      <w:pPr>
        <w:framePr w:w="2289" w:wrap="around" w:vAnchor="margin" w:hAnchor="text" w:x="1800" w:y="1416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9.6</w:t>
      </w:r>
      <w:r>
        <w:rPr>
          <w:rFonts w:ascii="SKJVQB+å®ä½" w:hAnsi="SKJVQB+å®ä½" w:cs="SKJVQB+å®ä½"/>
          <w:color w:val="222222"/>
          <w:spacing w:val="0"/>
          <w:sz w:val="24"/>
        </w:rPr>
        <w:t>业绩比较基准</w:t>
      </w:r>
    </w:p>
    <w:p>
      <w:pPr>
        <w:framePr w:w="1578" w:wrap="around" w:vAnchor="margin" w:hAnchor="text" w:x="2220" w:y="1475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中证全债指数</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128</w:t>
      </w:r>
    </w:p>
    <w:p>
      <w:pPr>
        <w:spacing w:before="0" w:after="0" w:line="0" w:lineRule="exact"/>
        <w:ind w:left="0" w:right="0"/>
        <w:jc w:val="left"/>
        <w:rPr>
          <w:rFonts w:ascii="Arial"/>
          <w:color w:val="FF0000"/>
          <w:spacing w:val="0"/>
          <w:sz w:val="2"/>
        </w:rPr>
      </w:pPr>
      <w:r>
        <w:pict>
          <v:shape id="_x0000266" o:spid="_x0000_s129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31" o:title=""/>
            <o:lock v:ext="edit" aspectratio="t"/>
          </v:shape>
        </w:pict>
      </w:r>
      <w:r>
        <w:pict>
          <v:shape id="_x0000267" o:spid="_x0000_s1293" o:spt="75" type="#_x0000_t75" style="position:absolute;left:0pt;margin-left:88.6pt;margin-top:71.1pt;height:685.3pt;width:418.3pt;mso-position-horizontal-relative:page;mso-position-vertical-relative:page;z-index:-2048;mso-width-relative:page;mso-height-relative:page;" filled="f" coordsize="21600,21600">
            <v:path/>
            <v:fill on="f" focussize="0,0"/>
            <v:stroke/>
            <v:imagedata r:id="rId3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中证全债指数是中证指数有限公司编制的综合反映银行间债券市场和沪深交易所债券</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市场的跨市场债券指数。该指数的样本由银行间市场和沪深交易所市场的国债、金融债券</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及企业债券组成，中证指数公司每日计算并发布中证全债的收盘指数及相应的债券属性指</w:t>
      </w:r>
    </w:p>
    <w:p>
      <w:pPr>
        <w:framePr w:w="9553"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标，为债券投资人提供投资分析工具和业绩评价基准。</w:t>
      </w:r>
    </w:p>
    <w:p>
      <w:pPr>
        <w:framePr w:w="9553"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如果今后法律法规发生变化，或者有更权威的、更能为市场普遍接受的业绩比较基准</w:t>
      </w:r>
    </w:p>
    <w:p>
      <w:pPr>
        <w:framePr w:w="9553"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推出时，本基金可以在与托管人协商一致并报中国证监会备案后变更业绩比较基准并及时</w:t>
      </w:r>
    </w:p>
    <w:p>
      <w:pPr>
        <w:framePr w:w="9553"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公告。</w:t>
      </w:r>
    </w:p>
    <w:p>
      <w:pPr>
        <w:framePr w:w="2289" w:wrap="around" w:vAnchor="margin" w:hAnchor="text" w:x="1800" w:y="4766"/>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9.7</w:t>
      </w:r>
      <w:r>
        <w:rPr>
          <w:rFonts w:ascii="SKJVQB+å®ä½" w:hAnsi="SKJVQB+å®ä½" w:cs="SKJVQB+å®ä½"/>
          <w:color w:val="222222"/>
          <w:spacing w:val="0"/>
          <w:sz w:val="24"/>
        </w:rPr>
        <w:t>风险收益特征</w:t>
      </w:r>
    </w:p>
    <w:p>
      <w:pPr>
        <w:framePr w:w="9546" w:wrap="around" w:vAnchor="margin" w:hAnchor="text" w:x="1800" w:y="53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本基金为债券型基金，其长期平均风险和预期收益率低于股票型基金、混合型基金，</w:t>
      </w:r>
    </w:p>
    <w:p>
      <w:pPr>
        <w:framePr w:w="9546" w:wrap="around" w:vAnchor="margin" w:hAnchor="text" w:x="1800" w:y="53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高于货币市场基金。</w:t>
      </w:r>
    </w:p>
    <w:p>
      <w:pPr>
        <w:framePr w:w="6373" w:wrap="around" w:vAnchor="margin" w:hAnchor="text" w:x="1800" w:y="662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9.8</w:t>
      </w:r>
      <w:r>
        <w:rPr>
          <w:rFonts w:ascii="SKJVQB+å®ä½" w:hAnsi="SKJVQB+å®ä½" w:cs="SKJVQB+å®ä½"/>
          <w:color w:val="222222"/>
          <w:spacing w:val="0"/>
          <w:sz w:val="24"/>
        </w:rPr>
        <w:t>基金管理人代表基金行使权利的处理原则及方法</w:t>
      </w:r>
    </w:p>
    <w:p>
      <w:pPr>
        <w:framePr w:w="7130" w:wrap="around" w:vAnchor="margin" w:hAnchor="text" w:x="2220" w:y="721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、不谋求对上市公司的控股，不参与所投资上市公司的经营管理；</w:t>
      </w:r>
    </w:p>
    <w:p>
      <w:pPr>
        <w:framePr w:w="7130" w:wrap="around" w:vAnchor="margin" w:hAnchor="text" w:x="2220" w:y="721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、有利于基金资产的安全与增值；</w:t>
      </w:r>
    </w:p>
    <w:p>
      <w:pPr>
        <w:framePr w:w="9551" w:wrap="around" w:vAnchor="margin" w:hAnchor="text" w:x="1800" w:y="802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、基金管理人按照国家有关规定代表基金独立行使权利，保护基金份额持有人的利</w:t>
      </w:r>
    </w:p>
    <w:p>
      <w:pPr>
        <w:framePr w:w="9551" w:wrap="around" w:vAnchor="margin" w:hAnchor="text" w:x="1800" w:y="802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益。</w:t>
      </w:r>
    </w:p>
    <w:p>
      <w:pPr>
        <w:framePr w:w="2773" w:wrap="around" w:vAnchor="margin" w:hAnchor="text" w:x="1800" w:y="9295"/>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9.9</w:t>
      </w:r>
      <w:r>
        <w:rPr>
          <w:rFonts w:ascii="SKJVQB+å®ä½" w:hAnsi="SKJVQB+å®ä½" w:cs="SKJVQB+å®ä½"/>
          <w:color w:val="222222"/>
          <w:spacing w:val="0"/>
          <w:sz w:val="24"/>
        </w:rPr>
        <w:t>基金投资组合报告</w:t>
      </w:r>
    </w:p>
    <w:p>
      <w:pPr>
        <w:framePr w:w="9557" w:wrap="around" w:vAnchor="margin" w:hAnchor="text" w:x="1800" w:y="98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基金管理人的董事会及董事保证本报告所载资料不存在虚假记载、误导性陈述或重大</w:t>
      </w:r>
    </w:p>
    <w:p>
      <w:pPr>
        <w:framePr w:w="9557" w:wrap="around" w:vAnchor="margin" w:hAnchor="text" w:x="1800" w:y="98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遗漏，并对其内容的真实性、准确性和完整性承担个别及连带责任。</w:t>
      </w:r>
    </w:p>
    <w:p>
      <w:pPr>
        <w:framePr w:w="9557" w:wrap="around" w:vAnchor="margin" w:hAnchor="text" w:x="1800" w:y="9884"/>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基金托管人根据本基金合同规定复核了本报告中的财务指标、净值表现和投资组合报</w:t>
      </w:r>
    </w:p>
    <w:p>
      <w:pPr>
        <w:framePr w:w="9557" w:wrap="around" w:vAnchor="margin" w:hAnchor="text" w:x="1800" w:y="98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告等内容，保证复核内容不存在虚假记载、误导性陈述或者重大遗漏。</w:t>
      </w:r>
    </w:p>
    <w:p>
      <w:pPr>
        <w:framePr w:w="9557" w:wrap="around" w:vAnchor="margin" w:hAnchor="text" w:x="1800" w:y="9884"/>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基金管理人承诺以诚实信用、勤勉尽责的原则管理和运用基金资产</w:t>
      </w:r>
      <w:r>
        <w:rPr>
          <w:rFonts w:ascii="GGHCMB+å®ä½"/>
          <w:color w:val="222222"/>
          <w:spacing w:val="0"/>
          <w:sz w:val="21"/>
        </w:rPr>
        <w:t>,</w:t>
      </w:r>
      <w:r>
        <w:rPr>
          <w:rFonts w:ascii="SKJVQB+å®ä½" w:hAnsi="SKJVQB+å®ä½" w:cs="SKJVQB+å®ä½"/>
          <w:color w:val="222222"/>
          <w:spacing w:val="0"/>
          <w:sz w:val="21"/>
        </w:rPr>
        <w:t>但不保证基金一定</w:t>
      </w:r>
    </w:p>
    <w:p>
      <w:pPr>
        <w:framePr w:w="9557" w:wrap="around" w:vAnchor="margin" w:hAnchor="text" w:x="1800" w:y="98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盈利。</w:t>
      </w:r>
    </w:p>
    <w:p>
      <w:pPr>
        <w:framePr w:w="9557" w:wrap="around" w:vAnchor="margin" w:hAnchor="text" w:x="1800" w:y="1233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基金的过往业绩并不代表其未来表现。投资有风险</w:t>
      </w:r>
      <w:r>
        <w:rPr>
          <w:rFonts w:ascii="GGHCMB+å®ä½"/>
          <w:color w:val="222222"/>
          <w:spacing w:val="0"/>
          <w:sz w:val="21"/>
        </w:rPr>
        <w:t>,</w:t>
      </w:r>
      <w:r>
        <w:rPr>
          <w:rFonts w:ascii="SKJVQB+å®ä½" w:hAnsi="SKJVQB+å®ä½" w:cs="SKJVQB+å®ä½"/>
          <w:color w:val="222222"/>
          <w:spacing w:val="0"/>
          <w:sz w:val="21"/>
        </w:rPr>
        <w:t>投资者在作出投资决策前应仔细阅</w:t>
      </w:r>
    </w:p>
    <w:p>
      <w:pPr>
        <w:framePr w:w="9557" w:wrap="around" w:vAnchor="margin" w:hAnchor="text" w:x="1800" w:y="1233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读本基金的招募说明书。</w:t>
      </w:r>
    </w:p>
    <w:p>
      <w:pPr>
        <w:framePr w:w="6888" w:wrap="around" w:vAnchor="margin" w:hAnchor="text" w:x="2220" w:y="1315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本投资组合报告所载数据截至</w:t>
      </w:r>
      <w:r>
        <w:rPr>
          <w:rFonts w:ascii="GGHCMB+å®ä½"/>
          <w:color w:val="222222"/>
          <w:spacing w:val="0"/>
          <w:sz w:val="21"/>
        </w:rPr>
        <w:t>2019</w:t>
      </w:r>
      <w:r>
        <w:rPr>
          <w:rFonts w:ascii="SKJVQB+å®ä½" w:hAnsi="SKJVQB+å®ä½" w:cs="SKJVQB+å®ä½"/>
          <w:color w:val="222222"/>
          <w:spacing w:val="0"/>
          <w:sz w:val="21"/>
        </w:rPr>
        <w:t>年</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31</w:t>
      </w:r>
      <w:r>
        <w:rPr>
          <w:rFonts w:ascii="SKJVQB+å®ä½" w:hAnsi="SKJVQB+å®ä½" w:cs="SKJVQB+å®ä½"/>
          <w:color w:val="222222"/>
          <w:spacing w:val="0"/>
          <w:sz w:val="21"/>
        </w:rPr>
        <w:t>日（未经审计）。</w:t>
      </w:r>
    </w:p>
    <w:p>
      <w:pPr>
        <w:framePr w:w="3818" w:wrap="around" w:vAnchor="margin" w:hAnchor="text" w:x="1800" w:y="13880"/>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1.1</w:t>
      </w:r>
      <w:r>
        <w:rPr>
          <w:rFonts w:ascii="SKJVQB+å®ä½" w:hAnsi="SKJVQB+å®ä½" w:cs="SKJVQB+å®ä½"/>
          <w:color w:val="222222"/>
          <w:spacing w:val="0"/>
          <w:sz w:val="24"/>
        </w:rPr>
        <w:t>报告期末基金资产组合情况</w:t>
      </w:r>
    </w:p>
    <w:p>
      <w:pPr>
        <w:framePr w:w="737" w:wrap="around" w:vAnchor="margin" w:hAnchor="text" w:x="1815"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framePr w:w="737" w:wrap="around" w:vAnchor="margin" w:hAnchor="text" w:x="3623"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项目</w:t>
      </w:r>
    </w:p>
    <w:p>
      <w:pPr>
        <w:framePr w:w="1369" w:wrap="around" w:vAnchor="margin" w:hAnchor="text" w:x="5985" w:y="1432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金额（元）</w:t>
      </w:r>
    </w:p>
    <w:p>
      <w:pPr>
        <w:framePr w:w="2761" w:wrap="around" w:vAnchor="margin" w:hAnchor="text" w:x="7809" w:y="14313"/>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占基金总资产的比例（</w:t>
      </w:r>
      <w:r>
        <w:rPr>
          <w:rFonts w:ascii="Times New Roman"/>
          <w:color w:val="000000"/>
          <w:spacing w:val="0"/>
          <w:sz w:val="21"/>
        </w:rPr>
        <w:t>%</w:t>
      </w:r>
      <w:r>
        <w:rPr>
          <w:rFonts w:ascii="SKJVQB+å®ä½" w:hAnsi="SKJVQB+å®ä½" w:cs="SKJVQB+å®ä½"/>
          <w:color w:val="000000"/>
          <w:spacing w:val="0"/>
          <w:sz w:val="21"/>
        </w:rPr>
        <w:t>）</w:t>
      </w:r>
    </w:p>
    <w:p>
      <w:pPr>
        <w:framePr w:w="421" w:wrap="around" w:vAnchor="margin" w:hAnchor="text" w:x="1971" w:y="1463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w:t>
      </w:r>
    </w:p>
    <w:p>
      <w:pPr>
        <w:framePr w:w="1157" w:wrap="around" w:vAnchor="margin" w:hAnchor="text" w:x="2456" w:y="1464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权益投资</w:t>
      </w:r>
    </w:p>
    <w:p>
      <w:pPr>
        <w:framePr w:w="385" w:wrap="around" w:vAnchor="margin" w:hAnchor="text" w:x="7523" w:y="1463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7523" w:y="1463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1463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1463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1369" w:wrap="around" w:vAnchor="margin" w:hAnchor="text" w:x="2456" w:y="1496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其中：股票</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129</w:t>
      </w:r>
    </w:p>
    <w:p>
      <w:pPr>
        <w:spacing w:before="0" w:after="0" w:line="0" w:lineRule="exact"/>
        <w:ind w:left="0" w:right="0"/>
        <w:jc w:val="left"/>
        <w:rPr>
          <w:rFonts w:ascii="Arial"/>
          <w:color w:val="FF0000"/>
          <w:spacing w:val="0"/>
          <w:sz w:val="2"/>
        </w:rPr>
      </w:pPr>
      <w:r>
        <w:pict>
          <v:shape id="_x0000268" o:spid="_x0000_s129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9" o:title=""/>
            <o:lock v:ext="edit" aspectratio="t"/>
          </v:shape>
        </w:pict>
      </w:r>
      <w:r>
        <w:pict>
          <v:shape id="_x0000269" o:spid="_x0000_s1295" o:spt="75" type="#_x0000_t75" style="position:absolute;left:0pt;margin-left:88.6pt;margin-top:71.1pt;height:605.5pt;width:418.3pt;mso-position-horizontal-relative:page;mso-position-vertical-relative:page;z-index:-2048;mso-width-relative:page;mso-height-relative:page;" filled="f" coordsize="21600,21600">
            <v:path/>
            <v:fill on="f" focussize="0,0"/>
            <v:stroke/>
            <v:imagedata r:id="rId230" o:title=""/>
            <o:lock v:ext="edit" aspectratio="t"/>
          </v:shape>
        </w:pict>
      </w:r>
      <w:r>
        <w:pict>
          <v:shape id="_x0000270" o:spid="_x0000_s1296" o:spt="75" type="#_x0000_t75" style="position:absolute;left:0pt;margin-left:84.85pt;margin-top:712.7pt;height:48.85pt;width:425.75pt;mso-position-horizontal-relative:page;mso-position-vertical-relative:page;z-index:-2048;mso-width-relative:page;mso-height-relative:page;" filled="f" coordsize="21600,21600">
            <v:path/>
            <v:fill on="f" focussize="0,0"/>
            <v:stroke/>
            <v:imagedata r:id="rId231"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421" w:wrap="around" w:vAnchor="margin" w:hAnchor="text" w:x="1971"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w:t>
      </w:r>
    </w:p>
    <w:p>
      <w:pPr>
        <w:framePr w:w="421" w:wrap="around" w:vAnchor="margin" w:hAnchor="text" w:x="1971" w:y="1476"/>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3</w:t>
      </w:r>
    </w:p>
    <w:p>
      <w:pPr>
        <w:framePr w:w="1157" w:wrap="around" w:vAnchor="margin" w:hAnchor="text" w:x="2456" w:y="148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基金投资</w:t>
      </w:r>
    </w:p>
    <w:p>
      <w:pPr>
        <w:framePr w:w="385" w:wrap="around" w:vAnchor="margin" w:hAnchor="text" w:x="7523"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147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1578" w:wrap="around" w:vAnchor="margin" w:hAnchor="text" w:x="2456" w:y="18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固定收益投资</w:t>
      </w:r>
    </w:p>
    <w:p>
      <w:pPr>
        <w:framePr w:w="1578" w:wrap="around" w:vAnchor="margin" w:hAnchor="text" w:x="2456" w:y="1807"/>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其中：债券</w:t>
      </w:r>
    </w:p>
    <w:p>
      <w:pPr>
        <w:framePr w:w="1525" w:wrap="around" w:vAnchor="margin" w:hAnchor="text" w:x="6385"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61,218,346.60</w:t>
      </w:r>
    </w:p>
    <w:p>
      <w:pPr>
        <w:framePr w:w="790" w:wrap="around" w:vAnchor="margin" w:hAnchor="text" w:x="9626" w:y="17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95.18</w:t>
      </w:r>
    </w:p>
    <w:p>
      <w:pPr>
        <w:framePr w:w="1525" w:wrap="around" w:vAnchor="margin" w:hAnchor="text" w:x="6385" w:y="211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61,218,346.60</w:t>
      </w:r>
    </w:p>
    <w:p>
      <w:pPr>
        <w:framePr w:w="790" w:wrap="around" w:vAnchor="margin" w:hAnchor="text" w:x="9626" w:y="211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95.18</w:t>
      </w:r>
    </w:p>
    <w:p>
      <w:pPr>
        <w:framePr w:w="1578" w:wrap="around" w:vAnchor="margin" w:hAnchor="text" w:x="3087" w:y="24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资产支持证券</w:t>
      </w:r>
    </w:p>
    <w:p>
      <w:pPr>
        <w:framePr w:w="385" w:wrap="around" w:vAnchor="margin" w:hAnchor="text" w:x="7523" w:y="244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7523" w:y="244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7523" w:y="244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7523" w:y="244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7523" w:y="244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244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244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244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244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244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421" w:wrap="around" w:vAnchor="margin" w:hAnchor="text" w:x="1971" w:y="276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w:t>
      </w:r>
    </w:p>
    <w:p>
      <w:pPr>
        <w:framePr w:w="421" w:wrap="around" w:vAnchor="margin" w:hAnchor="text" w:x="1971" w:y="276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5</w:t>
      </w:r>
    </w:p>
    <w:p>
      <w:pPr>
        <w:framePr w:w="421" w:wrap="around" w:vAnchor="margin" w:hAnchor="text" w:x="1971" w:y="276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6</w:t>
      </w:r>
    </w:p>
    <w:p>
      <w:pPr>
        <w:framePr w:w="1369" w:wrap="around" w:vAnchor="margin" w:hAnchor="text" w:x="2456" w:y="277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贵金属投资</w:t>
      </w:r>
    </w:p>
    <w:p>
      <w:pPr>
        <w:framePr w:w="3144" w:wrap="around" w:vAnchor="margin" w:hAnchor="text" w:x="2456" w:y="309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金融衍生品投资</w:t>
      </w:r>
    </w:p>
    <w:p>
      <w:pPr>
        <w:framePr w:w="3144" w:wrap="around" w:vAnchor="margin" w:hAnchor="text" w:x="2456" w:y="309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买入返售金融资产</w:t>
      </w:r>
    </w:p>
    <w:p>
      <w:pPr>
        <w:framePr w:w="3144" w:wrap="around" w:vAnchor="margin" w:hAnchor="text" w:x="2456" w:y="309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其中：买断式回购的买入返售</w:t>
      </w:r>
    </w:p>
    <w:p>
      <w:pPr>
        <w:framePr w:w="3144" w:wrap="around" w:vAnchor="margin" w:hAnchor="text" w:x="2456" w:y="3096"/>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金融资产</w:t>
      </w:r>
    </w:p>
    <w:p>
      <w:pPr>
        <w:framePr w:w="421" w:wrap="around" w:vAnchor="margin" w:hAnchor="text" w:x="1971" w:y="436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w:t>
      </w:r>
    </w:p>
    <w:p>
      <w:pPr>
        <w:framePr w:w="421" w:wrap="around" w:vAnchor="margin" w:hAnchor="text" w:x="1971" w:y="4364"/>
        <w:widowControl w:val="0"/>
        <w:autoSpaceDE w:val="0"/>
        <w:autoSpaceDN w:val="0"/>
        <w:spacing w:before="0" w:after="0" w:line="324" w:lineRule="exact"/>
        <w:ind w:left="0" w:right="0"/>
        <w:jc w:val="left"/>
        <w:rPr>
          <w:rFonts w:ascii="Times New Roman"/>
          <w:color w:val="000000"/>
          <w:spacing w:val="0"/>
          <w:sz w:val="21"/>
        </w:rPr>
      </w:pPr>
      <w:r>
        <w:rPr>
          <w:rFonts w:ascii="Times New Roman"/>
          <w:color w:val="000000"/>
          <w:spacing w:val="0"/>
          <w:sz w:val="21"/>
        </w:rPr>
        <w:t>8</w:t>
      </w:r>
    </w:p>
    <w:p>
      <w:pPr>
        <w:framePr w:w="421" w:wrap="around" w:vAnchor="margin" w:hAnchor="text" w:x="1971" w:y="4364"/>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9</w:t>
      </w:r>
    </w:p>
    <w:p>
      <w:pPr>
        <w:framePr w:w="2901" w:wrap="around" w:vAnchor="margin" w:hAnchor="text" w:x="2456" w:y="437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银行存款和结算备付金合计</w:t>
      </w:r>
    </w:p>
    <w:p>
      <w:pPr>
        <w:framePr w:w="2901" w:wrap="around" w:vAnchor="margin" w:hAnchor="text" w:x="2456" w:y="4373"/>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其他资产</w:t>
      </w:r>
    </w:p>
    <w:p>
      <w:pPr>
        <w:framePr w:w="1419" w:wrap="around" w:vAnchor="margin" w:hAnchor="text" w:x="6491" w:y="436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2,125,837.63</w:t>
      </w:r>
    </w:p>
    <w:p>
      <w:pPr>
        <w:framePr w:w="1419" w:wrap="around" w:vAnchor="margin" w:hAnchor="text" w:x="6491" w:y="4364"/>
        <w:widowControl w:val="0"/>
        <w:autoSpaceDE w:val="0"/>
        <w:autoSpaceDN w:val="0"/>
        <w:spacing w:before="0" w:after="0" w:line="324" w:lineRule="exact"/>
        <w:ind w:left="156" w:right="0"/>
        <w:jc w:val="left"/>
        <w:rPr>
          <w:rFonts w:ascii="Times New Roman"/>
          <w:color w:val="000000"/>
          <w:spacing w:val="0"/>
          <w:sz w:val="21"/>
        </w:rPr>
      </w:pPr>
      <w:r>
        <w:rPr>
          <w:rFonts w:ascii="Times New Roman"/>
          <w:color w:val="000000"/>
          <w:spacing w:val="0"/>
          <w:sz w:val="21"/>
        </w:rPr>
        <w:t>973,433.27</w:t>
      </w:r>
    </w:p>
    <w:p>
      <w:pPr>
        <w:framePr w:w="685" w:wrap="around" w:vAnchor="margin" w:hAnchor="text" w:x="9732" w:y="4364"/>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3.31</w:t>
      </w:r>
    </w:p>
    <w:p>
      <w:pPr>
        <w:framePr w:w="685" w:wrap="around" w:vAnchor="margin" w:hAnchor="text" w:x="9732" w:y="4364"/>
        <w:widowControl w:val="0"/>
        <w:autoSpaceDE w:val="0"/>
        <w:autoSpaceDN w:val="0"/>
        <w:spacing w:before="0" w:after="0" w:line="324" w:lineRule="exact"/>
        <w:ind w:left="0" w:right="0"/>
        <w:jc w:val="left"/>
        <w:rPr>
          <w:rFonts w:ascii="Times New Roman"/>
          <w:color w:val="000000"/>
          <w:spacing w:val="0"/>
          <w:sz w:val="21"/>
        </w:rPr>
      </w:pPr>
      <w:r>
        <w:rPr>
          <w:rFonts w:ascii="Times New Roman"/>
          <w:color w:val="000000"/>
          <w:spacing w:val="0"/>
          <w:sz w:val="21"/>
        </w:rPr>
        <w:t>1.51</w:t>
      </w:r>
    </w:p>
    <w:p>
      <w:pPr>
        <w:framePr w:w="737" w:wrap="around" w:vAnchor="margin" w:hAnchor="text" w:x="2456" w:y="501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合计</w:t>
      </w:r>
    </w:p>
    <w:p>
      <w:pPr>
        <w:framePr w:w="1525" w:wrap="around" w:vAnchor="margin" w:hAnchor="text" w:x="6385" w:y="50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64,317,617.50</w:t>
      </w:r>
    </w:p>
    <w:p>
      <w:pPr>
        <w:framePr w:w="896" w:wrap="around" w:vAnchor="margin" w:hAnchor="text" w:x="9520" w:y="501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100.00</w:t>
      </w:r>
    </w:p>
    <w:p>
      <w:pPr>
        <w:framePr w:w="4925" w:wrap="around" w:vAnchor="margin" w:hAnchor="text" w:x="1800" w:y="6043"/>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1.2</w:t>
      </w:r>
      <w:r>
        <w:rPr>
          <w:rFonts w:ascii="SKJVQB+å®ä½" w:hAnsi="SKJVQB+å®ä½" w:cs="SKJVQB+å®ä½"/>
          <w:color w:val="222222"/>
          <w:spacing w:val="0"/>
          <w:sz w:val="24"/>
        </w:rPr>
        <w:t>报告期末按行业分类的股票投资组合</w:t>
      </w:r>
    </w:p>
    <w:p>
      <w:pPr>
        <w:framePr w:w="5758" w:wrap="around" w:vAnchor="margin" w:hAnchor="text" w:x="1800" w:y="651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1.2.1</w:t>
      </w:r>
      <w:r>
        <w:rPr>
          <w:rFonts w:ascii="SKJVQB+å®ä½" w:hAnsi="SKJVQB+å®ä½" w:cs="SKJVQB+å®ä½"/>
          <w:color w:val="222222"/>
          <w:spacing w:val="0"/>
          <w:sz w:val="24"/>
        </w:rPr>
        <w:t>报告期末按行业分类的境内股票投资组合</w:t>
      </w:r>
    </w:p>
    <w:p>
      <w:pPr>
        <w:framePr w:w="3870" w:wrap="around" w:vAnchor="margin" w:hAnchor="text" w:x="2220" w:y="697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本基金本报告期末未持有境内股票。</w:t>
      </w:r>
    </w:p>
    <w:p>
      <w:pPr>
        <w:framePr w:w="6589" w:wrap="around" w:vAnchor="margin" w:hAnchor="text" w:x="1800" w:y="7543"/>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1.2.2</w:t>
      </w:r>
      <w:r>
        <w:rPr>
          <w:rFonts w:ascii="SKJVQB+å®ä½" w:hAnsi="SKJVQB+å®ä½" w:cs="SKJVQB+å®ä½"/>
          <w:color w:val="222222"/>
          <w:spacing w:val="0"/>
          <w:sz w:val="24"/>
        </w:rPr>
        <w:t>报告期末按行业分类的港股通投资股票投资组合</w:t>
      </w:r>
    </w:p>
    <w:p>
      <w:pPr>
        <w:framePr w:w="4593" w:wrap="around" w:vAnchor="margin" w:hAnchor="text" w:x="2220" w:y="800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本基金本报告期末未持有港股通投资股票。</w:t>
      </w:r>
    </w:p>
    <w:p>
      <w:pPr>
        <w:framePr w:w="9358" w:wrap="around" w:vAnchor="margin" w:hAnchor="text" w:x="1800" w:y="9142"/>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1.3</w:t>
      </w:r>
      <w:r>
        <w:rPr>
          <w:rFonts w:ascii="SKJVQB+å®ä½" w:hAnsi="SKJVQB+å®ä½" w:cs="SKJVQB+å®ä½"/>
          <w:color w:val="222222"/>
          <w:spacing w:val="0"/>
          <w:sz w:val="24"/>
        </w:rPr>
        <w:t>报告期末按公允价值占基金资产净值比例大小排序的前十名股票投资明细</w:t>
      </w:r>
    </w:p>
    <w:p>
      <w:pPr>
        <w:framePr w:w="3387" w:wrap="around" w:vAnchor="margin" w:hAnchor="text" w:x="2220" w:y="954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本基金本报告期末未持有股票。</w:t>
      </w:r>
    </w:p>
    <w:p>
      <w:pPr>
        <w:framePr w:w="5479" w:wrap="around" w:vAnchor="margin" w:hAnchor="text" w:x="1800" w:y="10274"/>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1.4</w:t>
      </w:r>
      <w:r>
        <w:rPr>
          <w:rFonts w:ascii="SKJVQB+å®ä½" w:hAnsi="SKJVQB+å®ä½" w:cs="SKJVQB+å®ä½"/>
          <w:color w:val="222222"/>
          <w:spacing w:val="0"/>
          <w:sz w:val="24"/>
        </w:rPr>
        <w:t>报告期末按债券品种分类的债券投资组合</w:t>
      </w:r>
    </w:p>
    <w:p>
      <w:pPr>
        <w:framePr w:w="2209" w:wrap="around" w:vAnchor="margin" w:hAnchor="text" w:x="8217" w:y="1070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金额单位：人民币元</w:t>
      </w:r>
    </w:p>
    <w:p>
      <w:pPr>
        <w:framePr w:w="737" w:wrap="around" w:vAnchor="margin" w:hAnchor="text" w:x="1815" w:y="1102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framePr w:w="1157" w:wrap="around" w:vAnchor="margin" w:hAnchor="text" w:x="3344" w:y="1102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债券品种</w:t>
      </w:r>
    </w:p>
    <w:p>
      <w:pPr>
        <w:framePr w:w="1789" w:wrap="around" w:vAnchor="margin" w:hAnchor="text" w:x="5680" w:y="1102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公允价值（元）</w:t>
      </w:r>
    </w:p>
    <w:p>
      <w:pPr>
        <w:framePr w:w="2815" w:wrap="around" w:vAnchor="margin" w:hAnchor="text" w:x="7759" w:y="1102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占基金资产净值比例（％）</w:t>
      </w:r>
    </w:p>
    <w:p>
      <w:pPr>
        <w:framePr w:w="421" w:wrap="around" w:vAnchor="margin" w:hAnchor="text" w:x="1971" w:y="113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w:t>
      </w:r>
    </w:p>
    <w:p>
      <w:pPr>
        <w:framePr w:w="421" w:wrap="around" w:vAnchor="margin" w:hAnchor="text" w:x="1971" w:y="11339"/>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2</w:t>
      </w:r>
    </w:p>
    <w:p>
      <w:pPr>
        <w:framePr w:w="421" w:wrap="around" w:vAnchor="margin" w:hAnchor="text" w:x="1971" w:y="11339"/>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3</w:t>
      </w:r>
    </w:p>
    <w:p>
      <w:pPr>
        <w:framePr w:w="1157" w:wrap="around" w:vAnchor="margin" w:hAnchor="text" w:x="2456" w:y="113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国家债券</w:t>
      </w:r>
    </w:p>
    <w:p>
      <w:pPr>
        <w:framePr w:w="1157" w:wrap="around" w:vAnchor="margin" w:hAnchor="text" w:x="2456" w:y="11348"/>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央行票据</w:t>
      </w:r>
    </w:p>
    <w:p>
      <w:pPr>
        <w:framePr w:w="1157" w:wrap="around" w:vAnchor="margin" w:hAnchor="text" w:x="2456" w:y="11348"/>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金融债券</w:t>
      </w:r>
    </w:p>
    <w:p>
      <w:pPr>
        <w:framePr w:w="1419" w:wrap="around" w:vAnchor="margin" w:hAnchor="text" w:x="6441" w:y="113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9,409,750.00</w:t>
      </w:r>
    </w:p>
    <w:p>
      <w:pPr>
        <w:framePr w:w="790" w:wrap="around" w:vAnchor="margin" w:hAnchor="text" w:x="9626" w:y="113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15.99</w:t>
      </w:r>
    </w:p>
    <w:p>
      <w:pPr>
        <w:framePr w:w="790" w:wrap="around" w:vAnchor="margin" w:hAnchor="text" w:x="9626" w:y="11339"/>
        <w:widowControl w:val="0"/>
        <w:autoSpaceDE w:val="0"/>
        <w:autoSpaceDN w:val="0"/>
        <w:spacing w:before="0" w:after="0" w:line="322" w:lineRule="exact"/>
        <w:ind w:left="404" w:right="0"/>
        <w:jc w:val="left"/>
        <w:rPr>
          <w:rFonts w:ascii="Times New Roman"/>
          <w:color w:val="000000"/>
          <w:spacing w:val="0"/>
          <w:sz w:val="21"/>
        </w:rPr>
      </w:pPr>
      <w:r>
        <w:rPr>
          <w:rFonts w:ascii="Times New Roman"/>
          <w:color w:val="000000"/>
          <w:spacing w:val="0"/>
          <w:sz w:val="21"/>
        </w:rPr>
        <w:t>-</w:t>
      </w:r>
    </w:p>
    <w:p>
      <w:pPr>
        <w:framePr w:w="1525" w:wrap="around" w:vAnchor="margin" w:hAnchor="text" w:x="6335" w:y="11661"/>
        <w:widowControl w:val="0"/>
        <w:autoSpaceDE w:val="0"/>
        <w:autoSpaceDN w:val="0"/>
        <w:spacing w:before="0" w:after="0" w:line="234" w:lineRule="exact"/>
        <w:ind w:left="1138" w:right="0"/>
        <w:jc w:val="left"/>
        <w:rPr>
          <w:rFonts w:ascii="Times New Roman"/>
          <w:color w:val="000000"/>
          <w:spacing w:val="0"/>
          <w:sz w:val="21"/>
        </w:rPr>
      </w:pPr>
      <w:r>
        <w:rPr>
          <w:rFonts w:ascii="Times New Roman"/>
          <w:color w:val="000000"/>
          <w:spacing w:val="0"/>
          <w:sz w:val="21"/>
        </w:rPr>
        <w:t>-</w:t>
      </w:r>
    </w:p>
    <w:p>
      <w:pPr>
        <w:framePr w:w="1525" w:wrap="around" w:vAnchor="margin" w:hAnchor="text" w:x="6335" w:y="11661"/>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33,041,380.00</w:t>
      </w:r>
    </w:p>
    <w:p>
      <w:pPr>
        <w:framePr w:w="1525" w:wrap="around" w:vAnchor="margin" w:hAnchor="text" w:x="6335" w:y="11661"/>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33,041,380.00</w:t>
      </w:r>
    </w:p>
    <w:p>
      <w:pPr>
        <w:framePr w:w="1525" w:wrap="around" w:vAnchor="margin" w:hAnchor="text" w:x="6335" w:y="11661"/>
        <w:widowControl w:val="0"/>
        <w:autoSpaceDE w:val="0"/>
        <w:autoSpaceDN w:val="0"/>
        <w:spacing w:before="0" w:after="0" w:line="322" w:lineRule="exact"/>
        <w:ind w:left="106" w:right="0"/>
        <w:jc w:val="left"/>
        <w:rPr>
          <w:rFonts w:ascii="Times New Roman"/>
          <w:color w:val="000000"/>
          <w:spacing w:val="0"/>
          <w:sz w:val="21"/>
        </w:rPr>
      </w:pPr>
      <w:r>
        <w:rPr>
          <w:rFonts w:ascii="Times New Roman"/>
          <w:color w:val="000000"/>
          <w:spacing w:val="0"/>
          <w:sz w:val="21"/>
        </w:rPr>
        <w:t>5,051,300.00</w:t>
      </w:r>
    </w:p>
    <w:p>
      <w:pPr>
        <w:framePr w:w="1525" w:wrap="around" w:vAnchor="margin" w:hAnchor="text" w:x="6335" w:y="11661"/>
        <w:widowControl w:val="0"/>
        <w:autoSpaceDE w:val="0"/>
        <w:autoSpaceDN w:val="0"/>
        <w:spacing w:before="0" w:after="0" w:line="324" w:lineRule="exact"/>
        <w:ind w:left="1138" w:right="0"/>
        <w:jc w:val="left"/>
        <w:rPr>
          <w:rFonts w:ascii="Times New Roman"/>
          <w:color w:val="000000"/>
          <w:spacing w:val="0"/>
          <w:sz w:val="21"/>
        </w:rPr>
      </w:pPr>
      <w:r>
        <w:rPr>
          <w:rFonts w:ascii="Times New Roman"/>
          <w:color w:val="000000"/>
          <w:spacing w:val="0"/>
          <w:sz w:val="21"/>
        </w:rPr>
        <w:t>-</w:t>
      </w:r>
    </w:p>
    <w:p>
      <w:pPr>
        <w:framePr w:w="790" w:wrap="around" w:vAnchor="margin" w:hAnchor="text" w:x="9626" w:y="1198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56.15</w:t>
      </w:r>
    </w:p>
    <w:p>
      <w:pPr>
        <w:framePr w:w="790" w:wrap="around" w:vAnchor="margin" w:hAnchor="text" w:x="9626" w:y="1198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56.15</w:t>
      </w:r>
    </w:p>
    <w:p>
      <w:pPr>
        <w:framePr w:w="790" w:wrap="around" w:vAnchor="margin" w:hAnchor="text" w:x="9626" w:y="11983"/>
        <w:widowControl w:val="0"/>
        <w:autoSpaceDE w:val="0"/>
        <w:autoSpaceDN w:val="0"/>
        <w:spacing w:before="0" w:after="0" w:line="322" w:lineRule="exact"/>
        <w:ind w:left="106" w:right="0"/>
        <w:jc w:val="left"/>
        <w:rPr>
          <w:rFonts w:ascii="Times New Roman"/>
          <w:color w:val="000000"/>
          <w:spacing w:val="0"/>
          <w:sz w:val="21"/>
        </w:rPr>
      </w:pPr>
      <w:r>
        <w:rPr>
          <w:rFonts w:ascii="Times New Roman"/>
          <w:color w:val="000000"/>
          <w:spacing w:val="0"/>
          <w:sz w:val="21"/>
        </w:rPr>
        <w:t>8.58</w:t>
      </w:r>
    </w:p>
    <w:p>
      <w:pPr>
        <w:framePr w:w="790" w:wrap="around" w:vAnchor="margin" w:hAnchor="text" w:x="9626" w:y="11983"/>
        <w:widowControl w:val="0"/>
        <w:autoSpaceDE w:val="0"/>
        <w:autoSpaceDN w:val="0"/>
        <w:spacing w:before="0" w:after="0" w:line="324" w:lineRule="exact"/>
        <w:ind w:left="404" w:right="0"/>
        <w:jc w:val="left"/>
        <w:rPr>
          <w:rFonts w:ascii="Times New Roman"/>
          <w:color w:val="000000"/>
          <w:spacing w:val="0"/>
          <w:sz w:val="21"/>
        </w:rPr>
      </w:pPr>
      <w:r>
        <w:rPr>
          <w:rFonts w:ascii="Times New Roman"/>
          <w:color w:val="000000"/>
          <w:spacing w:val="0"/>
          <w:sz w:val="21"/>
        </w:rPr>
        <w:t>-</w:t>
      </w:r>
    </w:p>
    <w:p>
      <w:pPr>
        <w:framePr w:w="2209" w:wrap="around" w:vAnchor="margin" w:hAnchor="text" w:x="2456" w:y="1231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其中：政策性金融债</w:t>
      </w:r>
    </w:p>
    <w:p>
      <w:pPr>
        <w:framePr w:w="2209" w:wrap="around" w:vAnchor="margin" w:hAnchor="text" w:x="2456" w:y="12313"/>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企业债券</w:t>
      </w:r>
    </w:p>
    <w:p>
      <w:pPr>
        <w:framePr w:w="421" w:wrap="around" w:vAnchor="margin" w:hAnchor="text" w:x="1971" w:y="1262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w:t>
      </w:r>
    </w:p>
    <w:p>
      <w:pPr>
        <w:framePr w:w="421" w:wrap="around" w:vAnchor="margin" w:hAnchor="text" w:x="1971" w:y="12626"/>
        <w:widowControl w:val="0"/>
        <w:autoSpaceDE w:val="0"/>
        <w:autoSpaceDN w:val="0"/>
        <w:spacing w:before="0" w:after="0" w:line="324" w:lineRule="exact"/>
        <w:ind w:left="0" w:right="0"/>
        <w:jc w:val="left"/>
        <w:rPr>
          <w:rFonts w:ascii="Times New Roman"/>
          <w:color w:val="000000"/>
          <w:spacing w:val="0"/>
          <w:sz w:val="21"/>
        </w:rPr>
      </w:pPr>
      <w:r>
        <w:rPr>
          <w:rFonts w:ascii="Times New Roman"/>
          <w:color w:val="000000"/>
          <w:spacing w:val="0"/>
          <w:sz w:val="21"/>
        </w:rPr>
        <w:t>5</w:t>
      </w:r>
    </w:p>
    <w:p>
      <w:pPr>
        <w:framePr w:w="1789" w:wrap="around" w:vAnchor="margin" w:hAnchor="text" w:x="2456" w:y="1295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企业短期融资券</w:t>
      </w:r>
    </w:p>
    <w:p>
      <w:pPr>
        <w:framePr w:w="1789" w:wrap="around" w:vAnchor="margin" w:hAnchor="text" w:x="2456" w:y="12959"/>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中期票据</w:t>
      </w:r>
    </w:p>
    <w:p>
      <w:pPr>
        <w:framePr w:w="421" w:wrap="around" w:vAnchor="margin" w:hAnchor="text" w:x="1971" w:y="1327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w:t>
      </w:r>
    </w:p>
    <w:p>
      <w:pPr>
        <w:framePr w:w="1419" w:wrap="around" w:vAnchor="margin" w:hAnchor="text" w:x="6441" w:y="1327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4,874,620.00</w:t>
      </w:r>
    </w:p>
    <w:p>
      <w:pPr>
        <w:framePr w:w="1419" w:wrap="around" w:vAnchor="margin" w:hAnchor="text" w:x="6441" w:y="13271"/>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8,841,296.60</w:t>
      </w:r>
    </w:p>
    <w:p>
      <w:pPr>
        <w:framePr w:w="1419" w:wrap="around" w:vAnchor="margin" w:hAnchor="text" w:x="6441" w:y="13271"/>
        <w:widowControl w:val="0"/>
        <w:autoSpaceDE w:val="0"/>
        <w:autoSpaceDN w:val="0"/>
        <w:spacing w:before="0" w:after="0" w:line="322" w:lineRule="exact"/>
        <w:ind w:left="1032" w:right="0"/>
        <w:jc w:val="left"/>
        <w:rPr>
          <w:rFonts w:ascii="Times New Roman"/>
          <w:color w:val="000000"/>
          <w:spacing w:val="0"/>
          <w:sz w:val="21"/>
        </w:rPr>
      </w:pPr>
      <w:r>
        <w:rPr>
          <w:rFonts w:ascii="Times New Roman"/>
          <w:color w:val="000000"/>
          <w:spacing w:val="0"/>
          <w:sz w:val="21"/>
        </w:rPr>
        <w:t>-</w:t>
      </w:r>
    </w:p>
    <w:p>
      <w:pPr>
        <w:framePr w:w="790" w:wrap="around" w:vAnchor="margin" w:hAnchor="text" w:x="9626" w:y="13271"/>
        <w:widowControl w:val="0"/>
        <w:autoSpaceDE w:val="0"/>
        <w:autoSpaceDN w:val="0"/>
        <w:spacing w:before="0" w:after="0" w:line="234" w:lineRule="exact"/>
        <w:ind w:left="106" w:right="0"/>
        <w:jc w:val="left"/>
        <w:rPr>
          <w:rFonts w:ascii="Times New Roman"/>
          <w:color w:val="000000"/>
          <w:spacing w:val="0"/>
          <w:sz w:val="21"/>
        </w:rPr>
      </w:pPr>
      <w:r>
        <w:rPr>
          <w:rFonts w:ascii="Times New Roman"/>
          <w:color w:val="000000"/>
          <w:spacing w:val="0"/>
          <w:sz w:val="21"/>
        </w:rPr>
        <w:t>8.28</w:t>
      </w:r>
    </w:p>
    <w:p>
      <w:pPr>
        <w:framePr w:w="790" w:wrap="around" w:vAnchor="margin" w:hAnchor="text" w:x="9626" w:y="13271"/>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15.02</w:t>
      </w:r>
    </w:p>
    <w:p>
      <w:pPr>
        <w:framePr w:w="790" w:wrap="around" w:vAnchor="margin" w:hAnchor="text" w:x="9626" w:y="13271"/>
        <w:widowControl w:val="0"/>
        <w:autoSpaceDE w:val="0"/>
        <w:autoSpaceDN w:val="0"/>
        <w:spacing w:before="0" w:after="0" w:line="322" w:lineRule="exact"/>
        <w:ind w:left="404" w:right="0"/>
        <w:jc w:val="left"/>
        <w:rPr>
          <w:rFonts w:ascii="Times New Roman"/>
          <w:color w:val="000000"/>
          <w:spacing w:val="0"/>
          <w:sz w:val="21"/>
        </w:rPr>
      </w:pPr>
      <w:r>
        <w:rPr>
          <w:rFonts w:ascii="Times New Roman"/>
          <w:color w:val="000000"/>
          <w:spacing w:val="0"/>
          <w:sz w:val="21"/>
        </w:rPr>
        <w:t>-</w:t>
      </w:r>
    </w:p>
    <w:p>
      <w:pPr>
        <w:framePr w:w="421" w:wrap="around" w:vAnchor="margin" w:hAnchor="text" w:x="1971" w:y="1359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w:t>
      </w:r>
    </w:p>
    <w:p>
      <w:pPr>
        <w:framePr w:w="2209" w:wrap="around" w:vAnchor="margin" w:hAnchor="text" w:x="2456" w:y="1360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可转债（可交换债）</w:t>
      </w:r>
    </w:p>
    <w:p>
      <w:pPr>
        <w:framePr w:w="2209" w:wrap="around" w:vAnchor="margin" w:hAnchor="text" w:x="2456" w:y="13602"/>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同业存单</w:t>
      </w:r>
    </w:p>
    <w:p>
      <w:pPr>
        <w:framePr w:w="421" w:wrap="around" w:vAnchor="margin" w:hAnchor="text" w:x="1971" w:y="1391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w:t>
      </w:r>
    </w:p>
    <w:p>
      <w:pPr>
        <w:framePr w:w="421" w:wrap="around" w:vAnchor="margin" w:hAnchor="text" w:x="1971" w:y="1423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w:t>
      </w:r>
    </w:p>
    <w:p>
      <w:pPr>
        <w:framePr w:w="737" w:wrap="around" w:vAnchor="margin" w:hAnchor="text" w:x="2456" w:y="1424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其他</w:t>
      </w:r>
    </w:p>
    <w:p>
      <w:pPr>
        <w:framePr w:w="385" w:wrap="around" w:vAnchor="margin" w:hAnchor="text" w:x="7473" w:y="1423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1423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526" w:wrap="around" w:vAnchor="margin" w:hAnchor="text" w:x="1918" w:y="1455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w:t>
      </w:r>
    </w:p>
    <w:p>
      <w:pPr>
        <w:framePr w:w="737" w:wrap="around" w:vAnchor="margin" w:hAnchor="text" w:x="2456" w:y="1456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合计</w:t>
      </w:r>
    </w:p>
    <w:p>
      <w:pPr>
        <w:framePr w:w="1525" w:wrap="around" w:vAnchor="margin" w:hAnchor="text" w:x="6335" w:y="1455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61,218,346.60</w:t>
      </w:r>
    </w:p>
    <w:p>
      <w:pPr>
        <w:framePr w:w="896" w:wrap="around" w:vAnchor="margin" w:hAnchor="text" w:x="9520" w:y="1455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104.03</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130</w:t>
      </w:r>
    </w:p>
    <w:p>
      <w:pPr>
        <w:spacing w:before="0" w:after="0" w:line="0" w:lineRule="exact"/>
        <w:ind w:left="0" w:right="0"/>
        <w:jc w:val="left"/>
        <w:rPr>
          <w:rFonts w:ascii="Arial"/>
          <w:color w:val="FF0000"/>
          <w:spacing w:val="0"/>
          <w:sz w:val="2"/>
        </w:rPr>
      </w:pPr>
      <w:r>
        <w:pict>
          <v:shape id="_x0000271" o:spid="_x0000_s1297"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32" o:title=""/>
            <o:lock v:ext="edit" aspectratio="t"/>
          </v:shape>
        </w:pict>
      </w:r>
      <w:r>
        <w:pict>
          <v:shape id="_x0000272" o:spid="_x0000_s1298" o:spt="75" type="#_x0000_t75" style="position:absolute;left:0pt;margin-left:84.85pt;margin-top:71.1pt;height:213.65pt;width:425.75pt;mso-position-horizontal-relative:page;mso-position-vertical-relative:page;z-index:-2048;mso-width-relative:page;mso-height-relative:page;" filled="f" coordsize="21600,21600">
            <v:path/>
            <v:fill on="f" focussize="0,0"/>
            <v:stroke/>
            <v:imagedata r:id="rId233" o:title=""/>
            <o:lock v:ext="edit" aspectratio="t"/>
          </v:shape>
        </w:pict>
      </w:r>
      <w:r>
        <w:pict>
          <v:shape id="_x0000273" o:spid="_x0000_s1299" o:spt="75" type="#_x0000_t75" style="position:absolute;left:0pt;margin-left:88.6pt;margin-top:347.15pt;height:20.4pt;width:418.3pt;mso-position-horizontal-relative:page;mso-position-vertical-relative:page;z-index:-2048;mso-width-relative:page;mso-height-relative:page;" filled="f" coordsize="21600,21600">
            <v:path/>
            <v:fill on="f" focussize="0,0"/>
            <v:stroke/>
            <v:imagedata r:id="rId234" o:title=""/>
            <o:lock v:ext="edit" aspectratio="t"/>
          </v:shape>
        </w:pict>
      </w:r>
      <w:r>
        <w:pict>
          <v:shape id="_x0000274" o:spid="_x0000_s1300" o:spt="75" type="#_x0000_t75" style="position:absolute;left:0pt;margin-left:88.6pt;margin-top:398.75pt;height:40.9pt;width:418.3pt;mso-position-horizontal-relative:page;mso-position-vertical-relative:page;z-index:-2048;mso-width-relative:page;mso-height-relative:page;" filled="f" coordsize="21600,21600">
            <v:path/>
            <v:fill on="f" focussize="0,0"/>
            <v:stroke/>
            <v:imagedata r:id="rId235" o:title=""/>
            <o:lock v:ext="edit" aspectratio="t"/>
          </v:shape>
        </w:pict>
      </w:r>
      <w:r>
        <w:pict>
          <v:shape id="_x0000275" o:spid="_x0000_s1301" o:spt="75" type="#_x0000_t75" style="position:absolute;left:0pt;margin-left:88.6pt;margin-top:475.9pt;height:20.4pt;width:418.3pt;mso-position-horizontal-relative:page;mso-position-vertical-relative:page;z-index:-2048;mso-width-relative:page;mso-height-relative:page;" filled="f" coordsize="21600,21600">
            <v:path/>
            <v:fill on="f" focussize="0,0"/>
            <v:stroke/>
            <v:imagedata r:id="rId236" o:title=""/>
            <o:lock v:ext="edit" aspectratio="t"/>
          </v:shape>
        </w:pict>
      </w:r>
      <w:r>
        <w:pict>
          <v:shape id="_x0000276" o:spid="_x0000_s1302" o:spt="75" type="#_x0000_t75" style="position:absolute;left:0pt;margin-left:84.85pt;margin-top:548.05pt;height:193.8pt;width:425.75pt;mso-position-horizontal-relative:page;mso-position-vertical-relative:page;z-index:-2048;mso-width-relative:page;mso-height-relative:page;" filled="f" coordsize="21600,21600">
            <v:path/>
            <v:fill on="f" focussize="0,0"/>
            <v:stroke/>
            <v:imagedata r:id="rId23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358" w:wrap="around" w:vAnchor="margin" w:hAnchor="text" w:x="1800" w:y="1458"/>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1.5</w:t>
      </w:r>
      <w:r>
        <w:rPr>
          <w:rFonts w:ascii="SKJVQB+å®ä½" w:hAnsi="SKJVQB+å®ä½" w:cs="SKJVQB+å®ä½"/>
          <w:color w:val="222222"/>
          <w:spacing w:val="0"/>
          <w:sz w:val="24"/>
        </w:rPr>
        <w:t>报告期末按公允价值占基金资产净值比例大小排名的前五名债券投资明细</w:t>
      </w:r>
    </w:p>
    <w:p>
      <w:pPr>
        <w:framePr w:w="2209" w:wrap="around" w:vAnchor="margin" w:hAnchor="text" w:x="8217" w:y="188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金额单位：人民币元</w:t>
      </w:r>
    </w:p>
    <w:p>
      <w:pPr>
        <w:framePr w:w="737" w:wrap="around" w:vAnchor="margin" w:hAnchor="text" w:x="1815" w:y="221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framePr w:w="1157" w:wrap="around" w:vAnchor="margin" w:hAnchor="text" w:x="2508" w:y="221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债券代码</w:t>
      </w:r>
    </w:p>
    <w:p>
      <w:pPr>
        <w:framePr w:w="1157" w:wrap="around" w:vAnchor="margin" w:hAnchor="text" w:x="4052" w:y="221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债券名称</w:t>
      </w:r>
    </w:p>
    <w:p>
      <w:pPr>
        <w:framePr w:w="3078" w:wrap="around" w:vAnchor="margin" w:hAnchor="text" w:x="5545" w:y="221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数量（张）公允价值（元）</w:t>
      </w:r>
    </w:p>
    <w:p>
      <w:pPr>
        <w:framePr w:w="1853" w:wrap="around" w:vAnchor="margin" w:hAnchor="text" w:x="8563" w:y="221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占基金资产净值</w:t>
      </w:r>
    </w:p>
    <w:p>
      <w:pPr>
        <w:framePr w:w="1853" w:wrap="around" w:vAnchor="margin" w:hAnchor="text" w:x="8563" w:y="2210"/>
        <w:widowControl w:val="0"/>
        <w:autoSpaceDE w:val="0"/>
        <w:autoSpaceDN w:val="0"/>
        <w:spacing w:before="0" w:after="0" w:line="312" w:lineRule="exact"/>
        <w:ind w:left="211" w:right="0"/>
        <w:jc w:val="left"/>
        <w:rPr>
          <w:rFonts w:ascii="SKJVQB+å®ä½" w:hAnsi="SKJVQB+å®ä½" w:cs="SKJVQB+å®ä½"/>
          <w:color w:val="000000"/>
          <w:spacing w:val="0"/>
          <w:sz w:val="21"/>
        </w:rPr>
      </w:pPr>
      <w:r>
        <w:rPr>
          <w:rFonts w:ascii="SKJVQB+å®ä½" w:hAnsi="SKJVQB+å®ä½" w:cs="SKJVQB+å®ä½"/>
          <w:color w:val="000000"/>
          <w:spacing w:val="0"/>
          <w:sz w:val="21"/>
        </w:rPr>
        <w:t>比例（％）</w:t>
      </w:r>
    </w:p>
    <w:p>
      <w:pPr>
        <w:framePr w:w="1853" w:wrap="around" w:vAnchor="margin" w:hAnchor="text" w:x="8563" w:y="2210"/>
        <w:widowControl w:val="0"/>
        <w:autoSpaceDE w:val="0"/>
        <w:autoSpaceDN w:val="0"/>
        <w:spacing w:before="0" w:after="0" w:line="319" w:lineRule="exact"/>
        <w:ind w:left="1063" w:right="0"/>
        <w:jc w:val="left"/>
        <w:rPr>
          <w:rFonts w:ascii="Times New Roman"/>
          <w:color w:val="000000"/>
          <w:spacing w:val="0"/>
          <w:sz w:val="21"/>
        </w:rPr>
      </w:pPr>
      <w:r>
        <w:rPr>
          <w:rFonts w:ascii="Times New Roman"/>
          <w:color w:val="000000"/>
          <w:spacing w:val="0"/>
          <w:sz w:val="21"/>
        </w:rPr>
        <w:t>12.05</w:t>
      </w:r>
    </w:p>
    <w:p>
      <w:pPr>
        <w:framePr w:w="421" w:wrap="around" w:vAnchor="margin" w:hAnchor="text" w:x="1971" w:y="283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w:t>
      </w:r>
    </w:p>
    <w:p>
      <w:pPr>
        <w:framePr w:w="421" w:wrap="around" w:vAnchor="margin" w:hAnchor="text" w:x="1971"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2</w:t>
      </w:r>
    </w:p>
    <w:p>
      <w:pPr>
        <w:framePr w:w="421" w:wrap="around" w:vAnchor="margin" w:hAnchor="text" w:x="1971"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3</w:t>
      </w:r>
    </w:p>
    <w:p>
      <w:pPr>
        <w:framePr w:w="421" w:wrap="around" w:vAnchor="margin" w:hAnchor="text" w:x="1971"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4</w:t>
      </w:r>
    </w:p>
    <w:p>
      <w:pPr>
        <w:framePr w:w="421" w:wrap="around" w:vAnchor="margin" w:hAnchor="text" w:x="1971" w:y="2835"/>
        <w:widowControl w:val="0"/>
        <w:autoSpaceDE w:val="0"/>
        <w:autoSpaceDN w:val="0"/>
        <w:spacing w:before="0" w:after="0" w:line="324" w:lineRule="exact"/>
        <w:ind w:left="0" w:right="0"/>
        <w:jc w:val="left"/>
        <w:rPr>
          <w:rFonts w:ascii="Times New Roman"/>
          <w:color w:val="000000"/>
          <w:spacing w:val="0"/>
          <w:sz w:val="21"/>
        </w:rPr>
      </w:pPr>
      <w:r>
        <w:rPr>
          <w:rFonts w:ascii="Times New Roman"/>
          <w:color w:val="000000"/>
          <w:spacing w:val="0"/>
          <w:sz w:val="21"/>
        </w:rPr>
        <w:t>5</w:t>
      </w:r>
    </w:p>
    <w:p>
      <w:pPr>
        <w:framePr w:w="949" w:wrap="around" w:vAnchor="margin" w:hAnchor="text" w:x="2456" w:y="283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010107</w:t>
      </w:r>
    </w:p>
    <w:p>
      <w:pPr>
        <w:framePr w:w="949" w:wrap="around" w:vAnchor="margin" w:hAnchor="text" w:x="2456"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180211</w:t>
      </w:r>
    </w:p>
    <w:p>
      <w:pPr>
        <w:framePr w:w="949" w:wrap="around" w:vAnchor="margin" w:hAnchor="text" w:x="2456"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180208</w:t>
      </w:r>
    </w:p>
    <w:p>
      <w:pPr>
        <w:framePr w:w="949" w:wrap="around" w:vAnchor="margin" w:hAnchor="text" w:x="2456"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190202</w:t>
      </w:r>
    </w:p>
    <w:p>
      <w:pPr>
        <w:framePr w:w="949" w:wrap="around" w:vAnchor="margin" w:hAnchor="text" w:x="2456" w:y="2835"/>
        <w:widowControl w:val="0"/>
        <w:autoSpaceDE w:val="0"/>
        <w:autoSpaceDN w:val="0"/>
        <w:spacing w:before="0" w:after="0" w:line="324" w:lineRule="exact"/>
        <w:ind w:left="0" w:right="0"/>
        <w:jc w:val="left"/>
        <w:rPr>
          <w:rFonts w:ascii="Times New Roman"/>
          <w:color w:val="000000"/>
          <w:spacing w:val="0"/>
          <w:sz w:val="21"/>
        </w:rPr>
      </w:pPr>
      <w:r>
        <w:rPr>
          <w:rFonts w:ascii="Times New Roman"/>
          <w:color w:val="000000"/>
          <w:spacing w:val="0"/>
          <w:sz w:val="21"/>
        </w:rPr>
        <w:t>190212</w:t>
      </w:r>
    </w:p>
    <w:p>
      <w:pPr>
        <w:framePr w:w="1245" w:wrap="around" w:vAnchor="margin" w:hAnchor="text" w:x="3618" w:y="283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21</w:t>
      </w:r>
      <w:r>
        <w:rPr>
          <w:rFonts w:ascii="SKJVQB+å®ä½" w:hAnsi="SKJVQB+å®ä½" w:cs="SKJVQB+å®ä½"/>
          <w:color w:val="000000"/>
          <w:spacing w:val="0"/>
          <w:sz w:val="21"/>
        </w:rPr>
        <w:t>国债</w:t>
      </w:r>
      <w:r>
        <w:rPr>
          <w:rFonts w:ascii="Times New Roman"/>
          <w:color w:val="000000"/>
          <w:spacing w:val="0"/>
          <w:sz w:val="21"/>
        </w:rPr>
        <w:t>(7)</w:t>
      </w:r>
    </w:p>
    <w:p>
      <w:pPr>
        <w:framePr w:w="896" w:wrap="around" w:vAnchor="margin" w:hAnchor="text" w:x="5891" w:y="283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69,000</w:t>
      </w:r>
    </w:p>
    <w:p>
      <w:pPr>
        <w:framePr w:w="896" w:wrap="around" w:vAnchor="margin" w:hAnchor="text" w:x="5891"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50,000</w:t>
      </w:r>
    </w:p>
    <w:p>
      <w:pPr>
        <w:framePr w:w="896" w:wrap="around" w:vAnchor="margin" w:hAnchor="text" w:x="5891"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50,000</w:t>
      </w:r>
    </w:p>
    <w:p>
      <w:pPr>
        <w:framePr w:w="896" w:wrap="around" w:vAnchor="margin" w:hAnchor="text" w:x="5891"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50,000</w:t>
      </w:r>
    </w:p>
    <w:p>
      <w:pPr>
        <w:framePr w:w="896" w:wrap="around" w:vAnchor="margin" w:hAnchor="text" w:x="5891" w:y="2835"/>
        <w:widowControl w:val="0"/>
        <w:autoSpaceDE w:val="0"/>
        <w:autoSpaceDN w:val="0"/>
        <w:spacing w:before="0" w:after="0" w:line="324" w:lineRule="exact"/>
        <w:ind w:left="0" w:right="0"/>
        <w:jc w:val="left"/>
        <w:rPr>
          <w:rFonts w:ascii="Times New Roman"/>
          <w:color w:val="000000"/>
          <w:spacing w:val="0"/>
          <w:sz w:val="21"/>
        </w:rPr>
      </w:pPr>
      <w:r>
        <w:rPr>
          <w:rFonts w:ascii="Times New Roman"/>
          <w:color w:val="000000"/>
          <w:spacing w:val="0"/>
          <w:sz w:val="21"/>
        </w:rPr>
        <w:t>50,000</w:t>
      </w:r>
    </w:p>
    <w:p>
      <w:pPr>
        <w:framePr w:w="1419" w:wrap="around" w:vAnchor="margin" w:hAnchor="text" w:x="7182" w:y="283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7,089,750.00</w:t>
      </w:r>
    </w:p>
    <w:p>
      <w:pPr>
        <w:framePr w:w="1419" w:wrap="around" w:vAnchor="margin" w:hAnchor="text" w:x="7182"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5,113,000.00</w:t>
      </w:r>
    </w:p>
    <w:p>
      <w:pPr>
        <w:framePr w:w="1419" w:wrap="around" w:vAnchor="margin" w:hAnchor="text" w:x="7182"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5,090,000.00</w:t>
      </w:r>
    </w:p>
    <w:p>
      <w:pPr>
        <w:framePr w:w="1419" w:wrap="around" w:vAnchor="margin" w:hAnchor="text" w:x="7182" w:y="283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5,023,500.00</w:t>
      </w:r>
    </w:p>
    <w:p>
      <w:pPr>
        <w:framePr w:w="1419" w:wrap="around" w:vAnchor="margin" w:hAnchor="text" w:x="7182" w:y="2835"/>
        <w:widowControl w:val="0"/>
        <w:autoSpaceDE w:val="0"/>
        <w:autoSpaceDN w:val="0"/>
        <w:spacing w:before="0" w:after="0" w:line="324" w:lineRule="exact"/>
        <w:ind w:left="0" w:right="0"/>
        <w:jc w:val="left"/>
        <w:rPr>
          <w:rFonts w:ascii="Times New Roman"/>
          <w:color w:val="000000"/>
          <w:spacing w:val="0"/>
          <w:sz w:val="21"/>
        </w:rPr>
      </w:pPr>
      <w:r>
        <w:rPr>
          <w:rFonts w:ascii="Times New Roman"/>
          <w:color w:val="000000"/>
          <w:spacing w:val="0"/>
          <w:sz w:val="21"/>
        </w:rPr>
        <w:t>5,006,500.00</w:t>
      </w:r>
    </w:p>
    <w:p>
      <w:pPr>
        <w:framePr w:w="1263" w:wrap="around" w:vAnchor="margin" w:hAnchor="text" w:x="3618" w:y="315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18</w:t>
      </w:r>
      <w:r>
        <w:rPr>
          <w:rFonts w:ascii="SKJVQB+å®ä½" w:hAnsi="SKJVQB+å®ä½" w:cs="SKJVQB+å®ä½"/>
          <w:color w:val="000000"/>
          <w:spacing w:val="0"/>
          <w:sz w:val="21"/>
        </w:rPr>
        <w:t xml:space="preserve">国开  </w:t>
      </w:r>
      <w:r>
        <w:rPr>
          <w:rFonts w:ascii="Times New Roman"/>
          <w:color w:val="000000"/>
          <w:spacing w:val="0"/>
          <w:sz w:val="21"/>
        </w:rPr>
        <w:t xml:space="preserve"> 11</w:t>
      </w:r>
    </w:p>
    <w:p>
      <w:pPr>
        <w:framePr w:w="1263" w:wrap="around" w:vAnchor="margin" w:hAnchor="text" w:x="3618" w:y="3159"/>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18</w:t>
      </w:r>
      <w:r>
        <w:rPr>
          <w:rFonts w:ascii="SKJVQB+å®ä½" w:hAnsi="SKJVQB+å®ä½" w:cs="SKJVQB+å®ä½"/>
          <w:color w:val="000000"/>
          <w:spacing w:val="0"/>
          <w:sz w:val="21"/>
        </w:rPr>
        <w:t xml:space="preserve">国开  </w:t>
      </w:r>
      <w:r>
        <w:rPr>
          <w:rFonts w:ascii="Times New Roman"/>
          <w:color w:val="000000"/>
          <w:spacing w:val="0"/>
          <w:sz w:val="21"/>
        </w:rPr>
        <w:t xml:space="preserve"> 08</w:t>
      </w:r>
    </w:p>
    <w:p>
      <w:pPr>
        <w:framePr w:w="1263" w:wrap="around" w:vAnchor="margin" w:hAnchor="text" w:x="3618" w:y="3159"/>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19</w:t>
      </w:r>
      <w:r>
        <w:rPr>
          <w:rFonts w:ascii="SKJVQB+å®ä½" w:hAnsi="SKJVQB+å®ä½" w:cs="SKJVQB+å®ä½"/>
          <w:color w:val="000000"/>
          <w:spacing w:val="0"/>
          <w:sz w:val="21"/>
        </w:rPr>
        <w:t xml:space="preserve">国开  </w:t>
      </w:r>
      <w:r>
        <w:rPr>
          <w:rFonts w:ascii="Times New Roman"/>
          <w:color w:val="000000"/>
          <w:spacing w:val="0"/>
          <w:sz w:val="21"/>
        </w:rPr>
        <w:t xml:space="preserve"> 02</w:t>
      </w:r>
    </w:p>
    <w:p>
      <w:pPr>
        <w:framePr w:w="1263" w:wrap="around" w:vAnchor="margin" w:hAnchor="text" w:x="3618" w:y="3159"/>
        <w:widowControl w:val="0"/>
        <w:autoSpaceDE w:val="0"/>
        <w:autoSpaceDN w:val="0"/>
        <w:spacing w:before="0" w:after="0" w:line="324" w:lineRule="exact"/>
        <w:ind w:left="0" w:right="0"/>
        <w:jc w:val="left"/>
        <w:rPr>
          <w:rFonts w:ascii="Times New Roman"/>
          <w:color w:val="000000"/>
          <w:spacing w:val="0"/>
          <w:sz w:val="21"/>
        </w:rPr>
      </w:pPr>
      <w:r>
        <w:rPr>
          <w:rFonts w:ascii="Times New Roman"/>
          <w:color w:val="000000"/>
          <w:spacing w:val="0"/>
          <w:sz w:val="21"/>
        </w:rPr>
        <w:t>19</w:t>
      </w:r>
      <w:r>
        <w:rPr>
          <w:rFonts w:ascii="SKJVQB+å®ä½" w:hAnsi="SKJVQB+å®ä½" w:cs="SKJVQB+å®ä½"/>
          <w:color w:val="000000"/>
          <w:spacing w:val="0"/>
          <w:sz w:val="21"/>
        </w:rPr>
        <w:t xml:space="preserve">国开  </w:t>
      </w:r>
      <w:r>
        <w:rPr>
          <w:rFonts w:ascii="Times New Roman"/>
          <w:color w:val="000000"/>
          <w:spacing w:val="0"/>
          <w:sz w:val="21"/>
        </w:rPr>
        <w:t xml:space="preserve"> 12</w:t>
      </w:r>
    </w:p>
    <w:p>
      <w:pPr>
        <w:framePr w:w="685" w:wrap="around" w:vAnchor="margin" w:hAnchor="text" w:x="9732" w:y="315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8.69</w:t>
      </w:r>
    </w:p>
    <w:p>
      <w:pPr>
        <w:framePr w:w="685" w:wrap="around" w:vAnchor="margin" w:hAnchor="text" w:x="9732" w:y="347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8.65</w:t>
      </w:r>
    </w:p>
    <w:p>
      <w:pPr>
        <w:framePr w:w="685" w:wrap="around" w:vAnchor="margin" w:hAnchor="text" w:x="9732" w:y="379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8.54</w:t>
      </w:r>
    </w:p>
    <w:p>
      <w:pPr>
        <w:framePr w:w="685" w:wrap="around" w:vAnchor="margin" w:hAnchor="text" w:x="9732" w:y="412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8.51</w:t>
      </w:r>
    </w:p>
    <w:p>
      <w:pPr>
        <w:framePr w:w="9546" w:wrap="around" w:vAnchor="margin" w:hAnchor="text" w:x="1800" w:y="4749"/>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1.6</w:t>
      </w:r>
      <w:r>
        <w:rPr>
          <w:rFonts w:ascii="SKJVQB+å®ä½" w:hAnsi="SKJVQB+å®ä½" w:cs="SKJVQB+å®ä½"/>
          <w:color w:val="222222"/>
          <w:spacing w:val="0"/>
          <w:sz w:val="24"/>
        </w:rPr>
        <w:t>报告期末按公允价值占基金资产净值比例大小排名的前十名资产支持证券</w:t>
      </w:r>
    </w:p>
    <w:p>
      <w:pPr>
        <w:framePr w:w="9546" w:wrap="around" w:vAnchor="margin" w:hAnchor="text" w:x="1800" w:y="4749"/>
        <w:widowControl w:val="0"/>
        <w:autoSpaceDE w:val="0"/>
        <w:autoSpaceDN w:val="0"/>
        <w:spacing w:before="0" w:after="0" w:line="312" w:lineRule="exact"/>
        <w:ind w:left="0" w:right="0"/>
        <w:jc w:val="left"/>
        <w:rPr>
          <w:rFonts w:ascii="SKJVQB+å®ä½" w:hAnsi="SKJVQB+å®ä½" w:cs="SKJVQB+å®ä½"/>
          <w:color w:val="222222"/>
          <w:spacing w:val="0"/>
          <w:sz w:val="24"/>
        </w:rPr>
      </w:pPr>
      <w:r>
        <w:rPr>
          <w:rFonts w:ascii="SKJVQB+å®ä½" w:hAnsi="SKJVQB+å®ä½" w:cs="SKJVQB+å®ä½"/>
          <w:color w:val="222222"/>
          <w:spacing w:val="0"/>
          <w:sz w:val="24"/>
        </w:rPr>
        <w:t>投资明细</w:t>
      </w:r>
    </w:p>
    <w:p>
      <w:pPr>
        <w:framePr w:w="4353" w:wrap="around" w:vAnchor="margin" w:hAnchor="text" w:x="2220" w:y="546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本基金本报告期末未持有资产支持证券。</w:t>
      </w:r>
    </w:p>
    <w:p>
      <w:pPr>
        <w:framePr w:w="9546" w:wrap="around" w:vAnchor="margin" w:hAnchor="text" w:x="1800" w:y="6602"/>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1.7</w:t>
      </w:r>
      <w:r>
        <w:rPr>
          <w:rFonts w:ascii="SKJVQB+å®ä½" w:hAnsi="SKJVQB+å®ä½" w:cs="SKJVQB+å®ä½"/>
          <w:color w:val="222222"/>
          <w:spacing w:val="0"/>
          <w:sz w:val="24"/>
        </w:rPr>
        <w:t>报告期末按公允价值占基金资产净值比例大小排序的前五名贵金属投资明</w:t>
      </w:r>
    </w:p>
    <w:p>
      <w:pPr>
        <w:framePr w:w="600" w:wrap="around" w:vAnchor="margin" w:hAnchor="text" w:x="1800" w:y="6914"/>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SKJVQB+å®ä½" w:hAnsi="SKJVQB+å®ä½" w:cs="SKJVQB+å®ä½"/>
          <w:color w:val="222222"/>
          <w:spacing w:val="0"/>
          <w:sz w:val="24"/>
        </w:rPr>
        <w:t>细</w:t>
      </w:r>
    </w:p>
    <w:p>
      <w:pPr>
        <w:framePr w:w="3627" w:wrap="around" w:vAnchor="margin" w:hAnchor="text" w:x="2220" w:y="732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本基金本报告期末未持有贵金属。</w:t>
      </w:r>
    </w:p>
    <w:p>
      <w:pPr>
        <w:framePr w:w="9358" w:wrap="around" w:vAnchor="margin" w:hAnchor="text" w:x="1800" w:y="8047"/>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1.8</w:t>
      </w:r>
      <w:r>
        <w:rPr>
          <w:rFonts w:ascii="SKJVQB+å®ä½" w:hAnsi="SKJVQB+å®ä½" w:cs="SKJVQB+å®ä½"/>
          <w:color w:val="222222"/>
          <w:spacing w:val="0"/>
          <w:sz w:val="24"/>
        </w:rPr>
        <w:t>报告期末按公允价值占基金资产净值比例大小排名的前五名权证投资明细</w:t>
      </w:r>
    </w:p>
    <w:p>
      <w:pPr>
        <w:framePr w:w="3387" w:wrap="around" w:vAnchor="margin" w:hAnchor="text" w:x="2220" w:y="845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本基金本报告期末未持有权证。</w:t>
      </w:r>
    </w:p>
    <w:p>
      <w:pPr>
        <w:framePr w:w="6589" w:wrap="around" w:vAnchor="margin" w:hAnchor="text" w:x="1800" w:y="9180"/>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1.9</w:t>
      </w:r>
      <w:r>
        <w:rPr>
          <w:rFonts w:ascii="SKJVQB+å®ä½" w:hAnsi="SKJVQB+å®ä½" w:cs="SKJVQB+å®ä½"/>
          <w:color w:val="222222"/>
          <w:spacing w:val="0"/>
          <w:sz w:val="24"/>
        </w:rPr>
        <w:t>报告期末本基金投资的股指期货交易情况说明</w:t>
      </w:r>
    </w:p>
    <w:p>
      <w:pPr>
        <w:framePr w:w="6589" w:wrap="around" w:vAnchor="margin" w:hAnchor="text" w:x="1800" w:y="9180"/>
        <w:widowControl w:val="0"/>
        <w:autoSpaceDE w:val="0"/>
        <w:autoSpaceDN w:val="0"/>
        <w:spacing w:before="0" w:after="0" w:line="466" w:lineRule="exact"/>
        <w:ind w:left="0" w:right="0"/>
        <w:jc w:val="left"/>
        <w:rPr>
          <w:rFonts w:ascii="SKJVQB+å®ä½" w:hAnsi="SKJVQB+å®ä½" w:cs="SKJVQB+å®ä½"/>
          <w:color w:val="222222"/>
          <w:spacing w:val="0"/>
          <w:sz w:val="24"/>
        </w:rPr>
      </w:pPr>
      <w:r>
        <w:rPr>
          <w:rFonts w:ascii="GGHCMB+å®ä½"/>
          <w:color w:val="222222"/>
          <w:spacing w:val="0"/>
          <w:sz w:val="24"/>
        </w:rPr>
        <w:t>1.9.1</w:t>
      </w:r>
      <w:r>
        <w:rPr>
          <w:rFonts w:ascii="SKJVQB+å®ä½" w:hAnsi="SKJVQB+å®ä½" w:cs="SKJVQB+å®ä½"/>
          <w:color w:val="222222"/>
          <w:spacing w:val="0"/>
          <w:sz w:val="24"/>
        </w:rPr>
        <w:t>报告期末本基金投资的股指期货持仓和损益明细</w:t>
      </w:r>
    </w:p>
    <w:p>
      <w:pPr>
        <w:framePr w:w="6589" w:wrap="around" w:vAnchor="margin" w:hAnchor="text" w:x="1800" w:y="9180"/>
        <w:widowControl w:val="0"/>
        <w:autoSpaceDE w:val="0"/>
        <w:autoSpaceDN w:val="0"/>
        <w:spacing w:before="0" w:after="0" w:line="43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无。</w:t>
      </w:r>
    </w:p>
    <w:p>
      <w:pPr>
        <w:framePr w:w="4652" w:wrap="around" w:vAnchor="margin" w:hAnchor="text" w:x="1800" w:y="1068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1.9.2</w:t>
      </w:r>
      <w:r>
        <w:rPr>
          <w:rFonts w:ascii="SKJVQB+å®ä½" w:hAnsi="SKJVQB+å®ä½" w:cs="SKJVQB+å®ä½"/>
          <w:color w:val="222222"/>
          <w:spacing w:val="0"/>
          <w:sz w:val="24"/>
        </w:rPr>
        <w:t>本基金投资股指期货的投资政策</w:t>
      </w:r>
    </w:p>
    <w:p>
      <w:pPr>
        <w:framePr w:w="737" w:wrap="around" w:vAnchor="margin" w:hAnchor="text" w:x="2220" w:y="1114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无。</w:t>
      </w:r>
    </w:p>
    <w:p>
      <w:pPr>
        <w:framePr w:w="6172" w:wrap="around" w:vAnchor="margin" w:hAnchor="text" w:x="1800" w:y="11869"/>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1.10</w:t>
      </w:r>
      <w:r>
        <w:rPr>
          <w:rFonts w:ascii="SKJVQB+å®ä½" w:hAnsi="SKJVQB+å®ä½" w:cs="SKJVQB+å®ä½"/>
          <w:color w:val="222222"/>
          <w:spacing w:val="0"/>
          <w:sz w:val="24"/>
        </w:rPr>
        <w:t>报告期末本基金投资的国债期货交易情况说明</w:t>
      </w:r>
    </w:p>
    <w:p>
      <w:pPr>
        <w:framePr w:w="3681" w:wrap="around" w:vAnchor="margin" w:hAnchor="text" w:x="1800" w:y="12337"/>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1.10.1</w:t>
      </w:r>
      <w:r>
        <w:rPr>
          <w:rFonts w:ascii="SKJVQB+å®ä½" w:hAnsi="SKJVQB+å®ä½" w:cs="SKJVQB+å®ä½"/>
          <w:color w:val="222222"/>
          <w:spacing w:val="0"/>
          <w:sz w:val="24"/>
        </w:rPr>
        <w:t>本期国债期货投资政策</w:t>
      </w:r>
    </w:p>
    <w:p>
      <w:pPr>
        <w:framePr w:w="9553" w:wrap="around" w:vAnchor="margin" w:hAnchor="text" w:x="1800" w:y="127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本基金在进行国债期货投资时，将根据风险管理原则，以套期保值为主要目的，采用</w:t>
      </w:r>
    </w:p>
    <w:p>
      <w:pPr>
        <w:framePr w:w="9553" w:wrap="around" w:vAnchor="margin" w:hAnchor="text" w:x="1800" w:y="127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流动性好、交易活跃的期货合约，通过对债券市场和期货市场运行趋势的研究，结合国债</w:t>
      </w:r>
    </w:p>
    <w:p>
      <w:pPr>
        <w:framePr w:w="9553" w:wrap="around" w:vAnchor="margin" w:hAnchor="text" w:x="1800" w:y="12798"/>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期货的定价模型寻求其合理的估值水平，与现货资产进行匹配，通过多头或空头套期保值</w:t>
      </w:r>
    </w:p>
    <w:p>
      <w:pPr>
        <w:framePr w:w="9553" w:wrap="around" w:vAnchor="margin" w:hAnchor="text" w:x="1800" w:y="127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等策略进行套期保值操作。基金管理人将充分考虑国债期货的收益性、流动性及风险性特</w:t>
      </w:r>
    </w:p>
    <w:p>
      <w:pPr>
        <w:framePr w:w="9553" w:wrap="around" w:vAnchor="margin" w:hAnchor="text" w:x="1800" w:y="127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征，运用国债期货对冲系统性风险、对冲特殊情况下的流动性风险，如大额申购赎回等；</w:t>
      </w:r>
    </w:p>
    <w:p>
      <w:pPr>
        <w:framePr w:w="9553" w:wrap="around" w:vAnchor="margin" w:hAnchor="text" w:x="1800" w:y="127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利用金融衍生品的杠杆作用，以达到降低投资组合的整体风险的目的。</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131</w:t>
      </w:r>
    </w:p>
    <w:p>
      <w:pPr>
        <w:spacing w:before="0" w:after="0" w:line="0" w:lineRule="exact"/>
        <w:ind w:left="0" w:right="0"/>
        <w:jc w:val="left"/>
        <w:rPr>
          <w:rFonts w:ascii="Arial"/>
          <w:color w:val="FF0000"/>
          <w:spacing w:val="0"/>
          <w:sz w:val="2"/>
        </w:rPr>
      </w:pPr>
      <w:r>
        <w:pict>
          <v:shape id="_x0000277" o:spid="_x0000_s1303"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38" o:title=""/>
            <o:lock v:ext="edit" aspectratio="t"/>
          </v:shape>
        </w:pict>
      </w:r>
      <w:r>
        <w:pict>
          <v:shape id="_x0000278" o:spid="_x0000_s1304" o:spt="75" type="#_x0000_t75" style="position:absolute;left:0pt;margin-left:84.85pt;margin-top:107.35pt;height:112.7pt;width:425.75pt;mso-position-horizontal-relative:page;mso-position-vertical-relative:page;z-index:-2048;mso-width-relative:page;mso-height-relative:page;" filled="f" coordsize="21600,21600">
            <v:path/>
            <v:fill on="f" focussize="0,0"/>
            <v:stroke/>
            <v:imagedata r:id="rId239" o:title=""/>
            <o:lock v:ext="edit" aspectratio="t"/>
          </v:shape>
        </w:pict>
      </w:r>
      <w:r>
        <w:pict>
          <v:shape id="_x0000279" o:spid="_x0000_s1305" o:spt="75" type="#_x0000_t75" style="position:absolute;left:0pt;margin-left:88.6pt;margin-top:271.75pt;height:40.9pt;width:418.3pt;mso-position-horizontal-relative:page;mso-position-vertical-relative:page;z-index:-2048;mso-width-relative:page;mso-height-relative:page;" filled="f" coordsize="21600,21600">
            <v:path/>
            <v:fill on="f" focussize="0,0"/>
            <v:stroke/>
            <v:imagedata r:id="rId235" o:title=""/>
            <o:lock v:ext="edit" aspectratio="t"/>
          </v:shape>
        </w:pict>
      </w:r>
      <w:r>
        <w:pict>
          <v:shape id="_x0000280" o:spid="_x0000_s1306" o:spt="75" type="#_x0000_t75" style="position:absolute;left:0pt;margin-left:88.6pt;margin-top:364.55pt;height:20.4pt;width:418.3pt;mso-position-horizontal-relative:page;mso-position-vertical-relative:page;z-index:-2048;mso-width-relative:page;mso-height-relative:page;" filled="f" coordsize="21600,21600">
            <v:path/>
            <v:fill on="f" focussize="0,0"/>
            <v:stroke/>
            <v:imagedata r:id="rId240" o:title=""/>
            <o:lock v:ext="edit" aspectratio="t"/>
          </v:shape>
        </w:pict>
      </w:r>
      <w:r>
        <w:pict>
          <v:shape id="_x0000281" o:spid="_x0000_s1307" o:spt="75" type="#_x0000_t75" style="position:absolute;left:0pt;margin-left:88.6pt;margin-top:421.05pt;height:20.5pt;width:418.3pt;mso-position-horizontal-relative:page;mso-position-vertical-relative:page;z-index:-2048;mso-width-relative:page;mso-height-relative:page;" filled="f" coordsize="21600,21600">
            <v:path/>
            <v:fill on="f" focussize="0,0"/>
            <v:stroke/>
            <v:imagedata r:id="rId241" o:title=""/>
            <o:lock v:ext="edit" aspectratio="t"/>
          </v:shape>
        </w:pict>
      </w:r>
      <w:r>
        <w:pict>
          <v:shape id="_x0000282" o:spid="_x0000_s1308" o:spt="75" type="#_x0000_t75" style="position:absolute;left:0pt;margin-left:88.6pt;margin-top:504pt;height:20.4pt;width:418.3pt;mso-position-horizontal-relative:page;mso-position-vertical-relative:page;z-index:-2048;mso-width-relative:page;mso-height-relative:page;" filled="f" coordsize="21600,21600">
            <v:path/>
            <v:fill on="f" focussize="0,0"/>
            <v:stroke/>
            <v:imagedata r:id="rId240" o:title=""/>
            <o:lock v:ext="edit" aspectratio="t"/>
          </v:shape>
        </w:pict>
      </w:r>
      <w:r>
        <w:pict>
          <v:shape id="_x0000283" o:spid="_x0000_s1309" o:spt="75" type="#_x0000_t75" style="position:absolute;left:0pt;margin-left:88.6pt;margin-top:555.6pt;height:20.4pt;width:418.3pt;mso-position-horizontal-relative:page;mso-position-vertical-relative:page;z-index:-2048;mso-width-relative:page;mso-height-relative:page;" filled="f" coordsize="21600,21600">
            <v:path/>
            <v:fill on="f" focussize="0,0"/>
            <v:stroke/>
            <v:imagedata r:id="rId242" o:title=""/>
            <o:lock v:ext="edit" aspectratio="t"/>
          </v:shape>
        </w:pict>
      </w:r>
      <w:r>
        <w:pict>
          <v:shape id="_x0000284" o:spid="_x0000_s1310" o:spt="75" type="#_x0000_t75" style="position:absolute;left:0pt;margin-left:88.6pt;margin-top:638.4pt;height:122.55pt;width:418.3pt;mso-position-horizontal-relative:page;mso-position-vertical-relative:page;z-index:-2048;mso-width-relative:page;mso-height-relative:page;" filled="f" coordsize="21600,21600">
            <v:path/>
            <v:fill on="f" focussize="0,0"/>
            <v:stroke/>
            <v:imagedata r:id="rId243"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6727" w:wrap="around" w:vAnchor="margin" w:hAnchor="text" w:x="1800" w:y="1458"/>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1.10.2</w:t>
      </w:r>
      <w:r>
        <w:rPr>
          <w:rFonts w:ascii="SKJVQB+å®ä½" w:hAnsi="SKJVQB+å®ä½" w:cs="SKJVQB+å®ä½"/>
          <w:color w:val="222222"/>
          <w:spacing w:val="0"/>
          <w:sz w:val="24"/>
        </w:rPr>
        <w:t>报告期末本基金投资的国债期货持仓和损益明细</w:t>
      </w:r>
    </w:p>
    <w:p>
      <w:pPr>
        <w:framePr w:w="737" w:wrap="around" w:vAnchor="margin" w:hAnchor="text" w:x="2220" w:y="192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无。</w:t>
      </w:r>
    </w:p>
    <w:p>
      <w:pPr>
        <w:framePr w:w="3682" w:wrap="around" w:vAnchor="margin" w:hAnchor="text" w:x="1800" w:y="2490"/>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1.10.3</w:t>
      </w:r>
      <w:r>
        <w:rPr>
          <w:rFonts w:ascii="SKJVQB+å®ä½" w:hAnsi="SKJVQB+å®ä½" w:cs="SKJVQB+å®ä½"/>
          <w:color w:val="222222"/>
          <w:spacing w:val="0"/>
          <w:sz w:val="24"/>
        </w:rPr>
        <w:t>本期国债期货投资评价</w:t>
      </w:r>
    </w:p>
    <w:p>
      <w:pPr>
        <w:framePr w:w="9553" w:wrap="around" w:vAnchor="margin" w:hAnchor="text" w:x="1800" w:y="29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国债期货投资有效降低了基金净值波动，为基金的久期控制提供了更便利、更具有流</w:t>
      </w:r>
    </w:p>
    <w:p>
      <w:pPr>
        <w:framePr w:w="9553" w:wrap="around" w:vAnchor="margin" w:hAnchor="text" w:x="1800" w:y="29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动性的工具，为基金创造了一定的收益。</w:t>
      </w:r>
    </w:p>
    <w:p>
      <w:pPr>
        <w:framePr w:w="2847" w:wrap="around" w:vAnchor="margin" w:hAnchor="text" w:x="1800" w:y="4089"/>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1.11</w:t>
      </w:r>
      <w:r>
        <w:rPr>
          <w:rFonts w:ascii="SKJVQB+å®ä½" w:hAnsi="SKJVQB+å®ä½" w:cs="SKJVQB+å®ä½"/>
          <w:color w:val="222222"/>
          <w:spacing w:val="0"/>
          <w:sz w:val="24"/>
        </w:rPr>
        <w:t>投资组合报告附注</w:t>
      </w:r>
    </w:p>
    <w:p>
      <w:pPr>
        <w:framePr w:w="9550" w:wrap="around" w:vAnchor="margin" w:hAnchor="text" w:x="1800" w:y="4555"/>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1.11.1</w:t>
      </w:r>
      <w:r>
        <w:rPr>
          <w:rFonts w:ascii="SKJVQB+å®ä½" w:hAnsi="SKJVQB+å®ä½" w:cs="SKJVQB+å®ä½"/>
          <w:color w:val="222222"/>
          <w:spacing w:val="0"/>
          <w:sz w:val="24"/>
        </w:rPr>
        <w:t>声明本基金投资的前十名证券的发行主体本期是否出现被监管部门立</w:t>
      </w:r>
    </w:p>
    <w:p>
      <w:pPr>
        <w:framePr w:w="9550" w:wrap="around" w:vAnchor="margin" w:hAnchor="text" w:x="1800" w:y="4555"/>
        <w:widowControl w:val="0"/>
        <w:autoSpaceDE w:val="0"/>
        <w:autoSpaceDN w:val="0"/>
        <w:spacing w:before="0" w:after="0" w:line="314" w:lineRule="exact"/>
        <w:ind w:left="0" w:right="0"/>
        <w:jc w:val="left"/>
        <w:rPr>
          <w:rFonts w:ascii="SKJVQB+å®ä½" w:hAnsi="SKJVQB+å®ä½" w:cs="SKJVQB+å®ä½"/>
          <w:color w:val="222222"/>
          <w:spacing w:val="0"/>
          <w:sz w:val="24"/>
        </w:rPr>
      </w:pPr>
      <w:r>
        <w:rPr>
          <w:rFonts w:ascii="SKJVQB+å®ä½" w:hAnsi="SKJVQB+å®ä½" w:cs="SKJVQB+å®ä½"/>
          <w:color w:val="222222"/>
          <w:spacing w:val="0"/>
          <w:sz w:val="24"/>
        </w:rPr>
        <w:t>案调查，或在报告编制日前一年内受到公开谴责、处罚的情形。如是，还应对</w:t>
      </w:r>
    </w:p>
    <w:p>
      <w:pPr>
        <w:framePr w:w="9550" w:wrap="around" w:vAnchor="margin" w:hAnchor="text" w:x="1800" w:y="4555"/>
        <w:widowControl w:val="0"/>
        <w:autoSpaceDE w:val="0"/>
        <w:autoSpaceDN w:val="0"/>
        <w:spacing w:before="0" w:after="0" w:line="312" w:lineRule="exact"/>
        <w:ind w:left="0" w:right="0"/>
        <w:jc w:val="left"/>
        <w:rPr>
          <w:rFonts w:ascii="SKJVQB+å®ä½" w:hAnsi="SKJVQB+å®ä½" w:cs="SKJVQB+å®ä½"/>
          <w:color w:val="222222"/>
          <w:spacing w:val="0"/>
          <w:sz w:val="24"/>
        </w:rPr>
      </w:pPr>
      <w:r>
        <w:rPr>
          <w:rFonts w:ascii="SKJVQB+å®ä½" w:hAnsi="SKJVQB+å®ä½" w:cs="SKJVQB+å®ä½"/>
          <w:color w:val="222222"/>
          <w:spacing w:val="0"/>
          <w:sz w:val="24"/>
        </w:rPr>
        <w:t>相关证券的投资决策程序做出说明</w:t>
      </w:r>
    </w:p>
    <w:p>
      <w:pPr>
        <w:framePr w:w="9553" w:wrap="around" w:vAnchor="margin" w:hAnchor="text" w:x="1800" w:y="564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报告期内基金投资的前十名证券的发行主体未有被监管部门立案调查，不存在报告编</w:t>
      </w:r>
    </w:p>
    <w:p>
      <w:pPr>
        <w:framePr w:w="9553" w:wrap="around" w:vAnchor="margin" w:hAnchor="text" w:x="1800" w:y="564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制日前一年内受到公开谴责、处罚的情形。</w:t>
      </w:r>
    </w:p>
    <w:p>
      <w:pPr>
        <w:framePr w:w="9544" w:wrap="around" w:vAnchor="margin" w:hAnchor="text" w:x="1800" w:y="6621"/>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1.11.2</w:t>
      </w:r>
      <w:r>
        <w:rPr>
          <w:rFonts w:ascii="SKJVQB+å®ä½" w:hAnsi="SKJVQB+å®ä½" w:cs="SKJVQB+å®ä½"/>
          <w:color w:val="222222"/>
          <w:spacing w:val="0"/>
          <w:sz w:val="24"/>
        </w:rPr>
        <w:t>声明基金投资的前十名股票是否超出基金合同规定的备选股票库。如</w:t>
      </w:r>
    </w:p>
    <w:p>
      <w:pPr>
        <w:framePr w:w="5543" w:wrap="around" w:vAnchor="margin" w:hAnchor="text" w:x="1800" w:y="6933"/>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SKJVQB+å®ä½" w:hAnsi="SKJVQB+å®ä½" w:cs="SKJVQB+å®ä½"/>
          <w:color w:val="222222"/>
          <w:spacing w:val="0"/>
          <w:sz w:val="24"/>
        </w:rPr>
        <w:t>是，还应对相关股票的投资决策程序做出说明</w:t>
      </w:r>
    </w:p>
    <w:p>
      <w:pPr>
        <w:framePr w:w="9553" w:wrap="around" w:vAnchor="margin" w:hAnchor="text" w:x="1800" w:y="739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本基金投资的前十名股票没有超出基金合同规定的备选股票库，本基金管理人从制度</w:t>
      </w:r>
    </w:p>
    <w:p>
      <w:pPr>
        <w:framePr w:w="9553" w:wrap="around" w:vAnchor="margin" w:hAnchor="text" w:x="1800" w:y="739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和流程上要求股票必须先入库再买入。</w:t>
      </w:r>
    </w:p>
    <w:p>
      <w:pPr>
        <w:framePr w:w="2596" w:wrap="around" w:vAnchor="margin" w:hAnchor="text" w:x="1800" w:y="8374"/>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1.11.3</w:t>
      </w:r>
      <w:r>
        <w:rPr>
          <w:rFonts w:ascii="SKJVQB+å®ä½" w:hAnsi="SKJVQB+å®ä½" w:cs="SKJVQB+å®ä½"/>
          <w:color w:val="222222"/>
          <w:spacing w:val="0"/>
          <w:sz w:val="24"/>
        </w:rPr>
        <w:t>其他资产构成</w:t>
      </w:r>
    </w:p>
    <w:p>
      <w:pPr>
        <w:framePr w:w="1789" w:wrap="around" w:vAnchor="margin" w:hAnchor="text" w:x="8637" w:y="8859"/>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单位：人民币元</w:t>
      </w:r>
    </w:p>
    <w:p>
      <w:pPr>
        <w:framePr w:w="737" w:wrap="around" w:vAnchor="margin" w:hAnchor="text" w:x="1860" w:y="918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framePr w:w="737" w:wrap="around" w:vAnchor="margin" w:hAnchor="text" w:x="3721" w:y="918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名称</w:t>
      </w:r>
    </w:p>
    <w:p>
      <w:pPr>
        <w:framePr w:w="1369" w:wrap="around" w:vAnchor="margin" w:hAnchor="text" w:x="7288" w:y="918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金额（元）</w:t>
      </w:r>
    </w:p>
    <w:p>
      <w:pPr>
        <w:framePr w:w="421" w:wrap="around" w:vAnchor="margin" w:hAnchor="text" w:x="2019" w:y="94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w:t>
      </w:r>
    </w:p>
    <w:p>
      <w:pPr>
        <w:framePr w:w="421" w:wrap="around" w:vAnchor="margin" w:hAnchor="text" w:x="2019" w:y="9496"/>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2</w:t>
      </w:r>
    </w:p>
    <w:p>
      <w:pPr>
        <w:framePr w:w="421" w:wrap="around" w:vAnchor="margin" w:hAnchor="text" w:x="2019" w:y="9496"/>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3</w:t>
      </w:r>
    </w:p>
    <w:p>
      <w:pPr>
        <w:framePr w:w="421" w:wrap="around" w:vAnchor="margin" w:hAnchor="text" w:x="2019" w:y="9496"/>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4</w:t>
      </w:r>
    </w:p>
    <w:p>
      <w:pPr>
        <w:framePr w:w="421" w:wrap="around" w:vAnchor="margin" w:hAnchor="text" w:x="2019" w:y="9496"/>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5</w:t>
      </w:r>
    </w:p>
    <w:p>
      <w:pPr>
        <w:framePr w:w="421" w:wrap="around" w:vAnchor="margin" w:hAnchor="text" w:x="2019" w:y="9496"/>
        <w:widowControl w:val="0"/>
        <w:autoSpaceDE w:val="0"/>
        <w:autoSpaceDN w:val="0"/>
        <w:spacing w:before="0" w:after="0" w:line="324" w:lineRule="exact"/>
        <w:ind w:left="0" w:right="0"/>
        <w:jc w:val="left"/>
        <w:rPr>
          <w:rFonts w:ascii="Times New Roman"/>
          <w:color w:val="000000"/>
          <w:spacing w:val="0"/>
          <w:sz w:val="21"/>
        </w:rPr>
      </w:pPr>
      <w:r>
        <w:rPr>
          <w:rFonts w:ascii="Times New Roman"/>
          <w:color w:val="000000"/>
          <w:spacing w:val="0"/>
          <w:sz w:val="21"/>
        </w:rPr>
        <w:t>6</w:t>
      </w:r>
    </w:p>
    <w:p>
      <w:pPr>
        <w:framePr w:w="421" w:wrap="around" w:vAnchor="margin" w:hAnchor="text" w:x="2019" w:y="9496"/>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7</w:t>
      </w:r>
    </w:p>
    <w:p>
      <w:pPr>
        <w:framePr w:w="421" w:wrap="around" w:vAnchor="margin" w:hAnchor="text" w:x="2019" w:y="9496"/>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8</w:t>
      </w:r>
    </w:p>
    <w:p>
      <w:pPr>
        <w:framePr w:w="421" w:wrap="around" w:vAnchor="margin" w:hAnchor="text" w:x="2019" w:y="9496"/>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9</w:t>
      </w:r>
    </w:p>
    <w:p>
      <w:pPr>
        <w:framePr w:w="1369" w:wrap="around" w:vAnchor="margin" w:hAnchor="text" w:x="2552" w:y="950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存出保证金</w:t>
      </w:r>
    </w:p>
    <w:p>
      <w:pPr>
        <w:framePr w:w="1052" w:wrap="around" w:vAnchor="margin" w:hAnchor="text" w:x="9364" w:y="949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7,571.70</w:t>
      </w:r>
    </w:p>
    <w:p>
      <w:pPr>
        <w:framePr w:w="1789" w:wrap="around" w:vAnchor="margin" w:hAnchor="text" w:x="2552" w:y="98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应收证券清算款</w:t>
      </w:r>
    </w:p>
    <w:p>
      <w:pPr>
        <w:framePr w:w="1789" w:wrap="around" w:vAnchor="margin" w:hAnchor="text" w:x="2552" w:y="982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应收股利</w:t>
      </w:r>
    </w:p>
    <w:p>
      <w:pPr>
        <w:framePr w:w="1789" w:wrap="around" w:vAnchor="margin" w:hAnchor="text" w:x="2552" w:y="982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应收利息</w:t>
      </w:r>
    </w:p>
    <w:p>
      <w:pPr>
        <w:framePr w:w="1789" w:wrap="around" w:vAnchor="margin" w:hAnchor="text" w:x="2552" w:y="982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应收申购款</w:t>
      </w:r>
    </w:p>
    <w:p>
      <w:pPr>
        <w:framePr w:w="1789" w:wrap="around" w:vAnchor="margin" w:hAnchor="text" w:x="2552" w:y="9826"/>
        <w:widowControl w:val="0"/>
        <w:autoSpaceDE w:val="0"/>
        <w:autoSpaceDN w:val="0"/>
        <w:spacing w:before="0" w:after="0" w:line="32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其他应收款</w:t>
      </w:r>
    </w:p>
    <w:p>
      <w:pPr>
        <w:framePr w:w="1789" w:wrap="around" w:vAnchor="margin" w:hAnchor="text" w:x="2552" w:y="982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待摊费用</w:t>
      </w:r>
    </w:p>
    <w:p>
      <w:pPr>
        <w:framePr w:w="1789" w:wrap="around" w:vAnchor="margin" w:hAnchor="text" w:x="2552" w:y="9826"/>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其他</w:t>
      </w:r>
    </w:p>
    <w:p>
      <w:pPr>
        <w:framePr w:w="385" w:wrap="around" w:vAnchor="margin" w:hAnchor="text" w:x="10030" w:y="981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10139"/>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1263" w:wrap="around" w:vAnchor="margin" w:hAnchor="text" w:x="9153" w:y="10460"/>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960,212.01</w:t>
      </w:r>
    </w:p>
    <w:p>
      <w:pPr>
        <w:framePr w:w="1052" w:wrap="around" w:vAnchor="margin" w:hAnchor="text" w:x="9364" w:y="1078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5,649.56</w:t>
      </w:r>
    </w:p>
    <w:p>
      <w:pPr>
        <w:framePr w:w="385" w:wrap="around" w:vAnchor="margin" w:hAnchor="text" w:x="10030" w:y="11107"/>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1142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w:t>
      </w:r>
    </w:p>
    <w:p>
      <w:pPr>
        <w:framePr w:w="385" w:wrap="around" w:vAnchor="margin" w:hAnchor="text" w:x="10030" w:y="11428"/>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w:t>
      </w:r>
    </w:p>
    <w:p>
      <w:pPr>
        <w:framePr w:w="737" w:wrap="around" w:vAnchor="margin" w:hAnchor="text" w:x="2552" w:y="1208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合计</w:t>
      </w:r>
    </w:p>
    <w:p>
      <w:pPr>
        <w:framePr w:w="1263" w:wrap="around" w:vAnchor="margin" w:hAnchor="text" w:x="9153" w:y="12071"/>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973,433.27</w:t>
      </w:r>
    </w:p>
    <w:p>
      <w:pPr>
        <w:framePr w:w="6307" w:wrap="around" w:vAnchor="margin" w:hAnchor="text" w:x="1800" w:y="12533"/>
        <w:widowControl w:val="0"/>
        <w:autoSpaceDE w:val="0"/>
        <w:autoSpaceDN w:val="0"/>
        <w:spacing w:before="0" w:after="0" w:line="266" w:lineRule="exact"/>
        <w:ind w:left="0" w:right="0"/>
        <w:jc w:val="left"/>
        <w:rPr>
          <w:rFonts w:ascii="SKJVQB+å®ä½" w:hAnsi="SKJVQB+å®ä½" w:cs="SKJVQB+å®ä½"/>
          <w:color w:val="222222"/>
          <w:spacing w:val="0"/>
          <w:sz w:val="24"/>
        </w:rPr>
      </w:pPr>
      <w:r>
        <w:rPr>
          <w:rFonts w:ascii="Times New Roman"/>
          <w:b/>
          <w:color w:val="222222"/>
          <w:spacing w:val="0"/>
          <w:sz w:val="24"/>
        </w:rPr>
        <w:t>1.11.4</w:t>
      </w:r>
      <w:r>
        <w:rPr>
          <w:rFonts w:ascii="SKJVQB+å®ä½" w:hAnsi="SKJVQB+å®ä½" w:cs="SKJVQB+å®ä½"/>
          <w:color w:val="222222"/>
          <w:spacing w:val="0"/>
          <w:sz w:val="24"/>
        </w:rPr>
        <w:t>报告期末持有的处于转股期的可转换债券明细</w:t>
      </w:r>
    </w:p>
    <w:p>
      <w:pPr>
        <w:framePr w:w="2209" w:wrap="around" w:vAnchor="margin" w:hAnchor="text" w:x="8217" w:y="1302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金额单位：人民币元</w:t>
      </w:r>
    </w:p>
    <w:p>
      <w:pPr>
        <w:framePr w:w="737" w:wrap="around" w:vAnchor="margin" w:hAnchor="text" w:x="1832" w:y="133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序号</w:t>
      </w:r>
    </w:p>
    <w:p>
      <w:pPr>
        <w:framePr w:w="1157" w:wrap="around" w:vAnchor="margin" w:hAnchor="text" w:x="2782" w:y="133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债券代码</w:t>
      </w:r>
    </w:p>
    <w:p>
      <w:pPr>
        <w:framePr w:w="1157" w:wrap="around" w:vAnchor="margin" w:hAnchor="text" w:x="4513" w:y="133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债券名称</w:t>
      </w:r>
    </w:p>
    <w:p>
      <w:pPr>
        <w:framePr w:w="1854" w:wrap="around" w:vAnchor="margin" w:hAnchor="text" w:x="6011" w:y="133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公允价值（元）</w:t>
      </w:r>
    </w:p>
    <w:p>
      <w:pPr>
        <w:framePr w:w="1854" w:wrap="around" w:vAnchor="margin" w:hAnchor="text" w:x="6011" w:y="13348"/>
        <w:widowControl w:val="0"/>
        <w:autoSpaceDE w:val="0"/>
        <w:autoSpaceDN w:val="0"/>
        <w:spacing w:before="0" w:after="0" w:line="322" w:lineRule="exact"/>
        <w:ind w:left="434" w:right="0"/>
        <w:jc w:val="left"/>
        <w:rPr>
          <w:rFonts w:ascii="Times New Roman"/>
          <w:color w:val="000000"/>
          <w:spacing w:val="0"/>
          <w:sz w:val="21"/>
        </w:rPr>
      </w:pPr>
      <w:r>
        <w:rPr>
          <w:rFonts w:ascii="Times New Roman"/>
          <w:color w:val="000000"/>
          <w:spacing w:val="0"/>
          <w:sz w:val="21"/>
        </w:rPr>
        <w:t>5,002,484.00</w:t>
      </w:r>
    </w:p>
    <w:p>
      <w:pPr>
        <w:framePr w:w="1854" w:wrap="around" w:vAnchor="margin" w:hAnchor="text" w:x="6011" w:y="13348"/>
        <w:widowControl w:val="0"/>
        <w:autoSpaceDE w:val="0"/>
        <w:autoSpaceDN w:val="0"/>
        <w:spacing w:before="0" w:after="0" w:line="322" w:lineRule="exact"/>
        <w:ind w:left="434" w:right="0"/>
        <w:jc w:val="left"/>
        <w:rPr>
          <w:rFonts w:ascii="Times New Roman"/>
          <w:color w:val="000000"/>
          <w:spacing w:val="0"/>
          <w:sz w:val="21"/>
        </w:rPr>
      </w:pPr>
      <w:r>
        <w:rPr>
          <w:rFonts w:ascii="Times New Roman"/>
          <w:color w:val="000000"/>
          <w:spacing w:val="0"/>
          <w:sz w:val="21"/>
        </w:rPr>
        <w:t>1,713,218.00</w:t>
      </w:r>
    </w:p>
    <w:p>
      <w:pPr>
        <w:framePr w:w="1854" w:wrap="around" w:vAnchor="margin" w:hAnchor="text" w:x="6011" w:y="13348"/>
        <w:widowControl w:val="0"/>
        <w:autoSpaceDE w:val="0"/>
        <w:autoSpaceDN w:val="0"/>
        <w:spacing w:before="0" w:after="0" w:line="322" w:lineRule="exact"/>
        <w:ind w:left="434" w:right="0"/>
        <w:jc w:val="left"/>
        <w:rPr>
          <w:rFonts w:ascii="Times New Roman"/>
          <w:color w:val="000000"/>
          <w:spacing w:val="0"/>
          <w:sz w:val="21"/>
        </w:rPr>
      </w:pPr>
      <w:r>
        <w:rPr>
          <w:rFonts w:ascii="Times New Roman"/>
          <w:color w:val="000000"/>
          <w:spacing w:val="0"/>
          <w:sz w:val="21"/>
        </w:rPr>
        <w:t>1,536,759.00</w:t>
      </w:r>
    </w:p>
    <w:p>
      <w:pPr>
        <w:framePr w:w="1854" w:wrap="around" w:vAnchor="margin" w:hAnchor="text" w:x="6011" w:y="13348"/>
        <w:widowControl w:val="0"/>
        <w:autoSpaceDE w:val="0"/>
        <w:autoSpaceDN w:val="0"/>
        <w:spacing w:before="0" w:after="0" w:line="322" w:lineRule="exact"/>
        <w:ind w:left="590" w:right="0"/>
        <w:jc w:val="left"/>
        <w:rPr>
          <w:rFonts w:ascii="Times New Roman"/>
          <w:color w:val="000000"/>
          <w:spacing w:val="0"/>
          <w:sz w:val="21"/>
        </w:rPr>
      </w:pPr>
      <w:r>
        <w:rPr>
          <w:rFonts w:ascii="Times New Roman"/>
          <w:color w:val="000000"/>
          <w:spacing w:val="0"/>
          <w:sz w:val="21"/>
        </w:rPr>
        <w:t>588,835.60</w:t>
      </w:r>
    </w:p>
    <w:p>
      <w:pPr>
        <w:framePr w:w="2810" w:wrap="around" w:vAnchor="margin" w:hAnchor="text" w:x="7764" w:y="13348"/>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占基金资产净值比例（％）</w:t>
      </w:r>
    </w:p>
    <w:p>
      <w:pPr>
        <w:framePr w:w="421" w:wrap="around" w:vAnchor="margin" w:hAnchor="text" w:x="1988" w:y="1366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w:t>
      </w:r>
    </w:p>
    <w:p>
      <w:pPr>
        <w:framePr w:w="421" w:wrap="around" w:vAnchor="margin" w:hAnchor="text" w:x="1988" w:y="1366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2</w:t>
      </w:r>
    </w:p>
    <w:p>
      <w:pPr>
        <w:framePr w:w="421" w:wrap="around" w:vAnchor="margin" w:hAnchor="text" w:x="1988" w:y="1366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3</w:t>
      </w:r>
    </w:p>
    <w:p>
      <w:pPr>
        <w:framePr w:w="421" w:wrap="around" w:vAnchor="margin" w:hAnchor="text" w:x="1988" w:y="1366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4</w:t>
      </w:r>
    </w:p>
    <w:p>
      <w:pPr>
        <w:framePr w:w="939" w:wrap="around" w:vAnchor="margin" w:hAnchor="text" w:x="2489" w:y="1366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110046</w:t>
      </w:r>
    </w:p>
    <w:p>
      <w:pPr>
        <w:framePr w:w="1157" w:wrap="around" w:vAnchor="margin" w:hAnchor="text" w:x="4134" w:y="13672"/>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圆通转债</w:t>
      </w:r>
    </w:p>
    <w:p>
      <w:pPr>
        <w:framePr w:w="685" w:wrap="around" w:vAnchor="margin" w:hAnchor="text" w:x="9732" w:y="13663"/>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8.50</w:t>
      </w:r>
    </w:p>
    <w:p>
      <w:pPr>
        <w:framePr w:w="685" w:wrap="around" w:vAnchor="margin" w:hAnchor="text" w:x="9732" w:y="1366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2.91</w:t>
      </w:r>
    </w:p>
    <w:p>
      <w:pPr>
        <w:framePr w:w="685" w:wrap="around" w:vAnchor="margin" w:hAnchor="text" w:x="9732" w:y="1366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2.61</w:t>
      </w:r>
    </w:p>
    <w:p>
      <w:pPr>
        <w:framePr w:w="685" w:wrap="around" w:vAnchor="margin" w:hAnchor="text" w:x="9732" w:y="13663"/>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1.00</w:t>
      </w:r>
    </w:p>
    <w:p>
      <w:pPr>
        <w:framePr w:w="949" w:wrap="around" w:vAnchor="margin" w:hAnchor="text" w:x="2489" w:y="1398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123016</w:t>
      </w:r>
    </w:p>
    <w:p>
      <w:pPr>
        <w:framePr w:w="949" w:wrap="around" w:vAnchor="margin" w:hAnchor="text" w:x="2489" w:y="1398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132005</w:t>
      </w:r>
    </w:p>
    <w:p>
      <w:pPr>
        <w:framePr w:w="949" w:wrap="around" w:vAnchor="margin" w:hAnchor="text" w:x="2489" w:y="13985"/>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128020</w:t>
      </w:r>
    </w:p>
    <w:p>
      <w:pPr>
        <w:framePr w:w="1320" w:wrap="around" w:vAnchor="margin" w:hAnchor="text" w:x="4134" w:y="1399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洲明转债</w:t>
      </w:r>
    </w:p>
    <w:p>
      <w:pPr>
        <w:framePr w:w="1320" w:wrap="around" w:vAnchor="margin" w:hAnchor="text" w:x="4134" w:y="13994"/>
        <w:widowControl w:val="0"/>
        <w:autoSpaceDE w:val="0"/>
        <w:autoSpaceDN w:val="0"/>
        <w:spacing w:before="0" w:after="0" w:line="322" w:lineRule="exact"/>
        <w:ind w:left="0" w:right="0"/>
        <w:jc w:val="left"/>
        <w:rPr>
          <w:rFonts w:ascii="Times New Roman"/>
          <w:color w:val="000000"/>
          <w:spacing w:val="0"/>
          <w:sz w:val="21"/>
        </w:rPr>
      </w:pPr>
      <w:r>
        <w:rPr>
          <w:rFonts w:ascii="Times New Roman"/>
          <w:color w:val="000000"/>
          <w:spacing w:val="0"/>
          <w:sz w:val="21"/>
        </w:rPr>
        <w:t>15</w:t>
      </w:r>
      <w:r>
        <w:rPr>
          <w:rFonts w:ascii="SKJVQB+å®ä½" w:hAnsi="SKJVQB+å®ä½" w:cs="SKJVQB+å®ä½"/>
          <w:color w:val="000000"/>
          <w:spacing w:val="0"/>
          <w:sz w:val="21"/>
        </w:rPr>
        <w:t xml:space="preserve">国资  </w:t>
      </w:r>
      <w:r>
        <w:rPr>
          <w:rFonts w:ascii="Times New Roman"/>
          <w:color w:val="000000"/>
          <w:spacing w:val="0"/>
          <w:sz w:val="21"/>
        </w:rPr>
        <w:t xml:space="preserve"> EB</w:t>
      </w:r>
    </w:p>
    <w:p>
      <w:pPr>
        <w:framePr w:w="1320" w:wrap="around" w:vAnchor="margin" w:hAnchor="text" w:x="4134" w:y="13994"/>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水晶转债</w:t>
      </w:r>
    </w:p>
    <w:p>
      <w:pPr>
        <w:framePr w:w="6583" w:wrap="around" w:vAnchor="margin" w:hAnchor="text" w:x="1800" w:y="15089"/>
        <w:widowControl w:val="0"/>
        <w:autoSpaceDE w:val="0"/>
        <w:autoSpaceDN w:val="0"/>
        <w:spacing w:before="0" w:after="0" w:line="266" w:lineRule="exact"/>
        <w:ind w:left="0" w:right="0"/>
        <w:jc w:val="left"/>
        <w:rPr>
          <w:rFonts w:ascii="SKJVQB+å®ä½" w:hAnsi="SKJVQB+å®ä½" w:cs="SKJVQB+å®ä½"/>
          <w:color w:val="222222"/>
          <w:spacing w:val="0"/>
          <w:sz w:val="24"/>
        </w:rPr>
      </w:pPr>
      <w:r>
        <w:rPr>
          <w:rFonts w:ascii="Times New Roman"/>
          <w:b/>
          <w:color w:val="222222"/>
          <w:spacing w:val="0"/>
          <w:sz w:val="24"/>
        </w:rPr>
        <w:t>1.11.5</w:t>
      </w:r>
      <w:r>
        <w:rPr>
          <w:rFonts w:ascii="SKJVQB+å®ä½" w:hAnsi="SKJVQB+å®ä½" w:cs="SKJVQB+å®ä½"/>
          <w:color w:val="222222"/>
          <w:spacing w:val="0"/>
          <w:sz w:val="24"/>
        </w:rPr>
        <w:t>报告期末前十名股票中存在流通受限情况的说明</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132</w:t>
      </w:r>
    </w:p>
    <w:p>
      <w:pPr>
        <w:spacing w:before="0" w:after="0" w:line="0" w:lineRule="exact"/>
        <w:ind w:left="0" w:right="0"/>
        <w:jc w:val="left"/>
        <w:rPr>
          <w:rFonts w:ascii="Arial"/>
          <w:color w:val="FF0000"/>
          <w:spacing w:val="0"/>
          <w:sz w:val="2"/>
        </w:rPr>
      </w:pPr>
      <w:r>
        <w:pict>
          <v:shape id="_x0000285" o:spid="_x0000_s1311"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44" o:title=""/>
            <o:lock v:ext="edit" aspectratio="t"/>
          </v:shape>
        </w:pict>
      </w:r>
      <w:r>
        <w:pict>
          <v:shape id="_x0000286" o:spid="_x0000_s1312" o:spt="75" type="#_x0000_t75" style="position:absolute;left:0pt;margin-left:88.6pt;margin-top:94.5pt;height:20.4pt;width:418.3pt;mso-position-horizontal-relative:page;mso-position-vertical-relative:page;z-index:-2048;mso-width-relative:page;mso-height-relative:page;" filled="f" coordsize="21600,21600">
            <v:path/>
            <v:fill on="f" focussize="0,0"/>
            <v:stroke/>
            <v:imagedata r:id="rId234" o:title=""/>
            <o:lock v:ext="edit" aspectratio="t"/>
          </v:shape>
        </w:pict>
      </w:r>
      <w:r>
        <w:pict>
          <v:shape id="_x0000287" o:spid="_x0000_s1313" o:spt="75" type="#_x0000_t75" style="position:absolute;left:0pt;margin-left:88.6pt;margin-top:146.1pt;height:40.9pt;width:418.3pt;mso-position-horizontal-relative:page;mso-position-vertical-relative:page;z-index:-2048;mso-width-relative:page;mso-height-relative:page;" filled="f" coordsize="21600,21600">
            <v:path/>
            <v:fill on="f" focussize="0,0"/>
            <v:stroke/>
            <v:imagedata r:id="rId245" o:title=""/>
            <o:lock v:ext="edit" aspectratio="t"/>
          </v:shape>
        </w:pict>
      </w:r>
      <w:r>
        <w:pict>
          <v:shape id="_x0000288" o:spid="_x0000_s1314" o:spt="75" type="#_x0000_t75" style="position:absolute;left:0pt;margin-left:88.6pt;margin-top:280.65pt;height:40.8pt;width:418.3pt;mso-position-horizontal-relative:page;mso-position-vertical-relative:page;z-index:-2048;mso-width-relative:page;mso-height-relative:page;" filled="f" coordsize="21600,21600">
            <v:path/>
            <v:fill on="f" focussize="0,0"/>
            <v:stroke/>
            <v:imagedata r:id="rId245" o:title=""/>
            <o:lock v:ext="edit" aspectratio="t"/>
          </v:shape>
        </w:pict>
      </w:r>
      <w:r>
        <w:pict>
          <v:shape id="_x0000289" o:spid="_x0000_s1315" o:spt="75" type="#_x0000_t75" style="position:absolute;left:0pt;margin-left:88.6pt;margin-top:368.25pt;height:40.8pt;width:418.3pt;mso-position-horizontal-relative:page;mso-position-vertical-relative:page;z-index:-2048;mso-width-relative:page;mso-height-relative:page;" filled="f" coordsize="21600,21600">
            <v:path/>
            <v:fill on="f" focussize="0,0"/>
            <v:stroke/>
            <v:imagedata r:id="rId246" o:title=""/>
            <o:lock v:ext="edit" aspectratio="t"/>
          </v:shape>
        </w:pict>
      </w:r>
      <w:r>
        <w:pict>
          <v:shape id="_x0000290" o:spid="_x0000_s1316" o:spt="75" type="#_x0000_t75" style="position:absolute;left:0pt;margin-left:84.75pt;margin-top:455.85pt;height:161.55pt;width:425.85pt;mso-position-horizontal-relative:page;mso-position-vertical-relative:page;z-index:-2048;mso-width-relative:page;mso-height-relative:page;" filled="f" coordsize="21600,21600">
            <v:path/>
            <v:fill on="f" focussize="0,0"/>
            <v:stroke/>
            <v:imagedata r:id="rId247" o:title=""/>
            <o:lock v:ext="edit" aspectratio="t"/>
          </v:shape>
        </w:pict>
      </w:r>
      <w:r>
        <w:pict>
          <v:shape id="_x0000291" o:spid="_x0000_s1317" o:spt="75" type="#_x0000_t75" style="position:absolute;left:0pt;margin-left:84.85pt;margin-top:664.2pt;height:81pt;width:425.75pt;mso-position-horizontal-relative:page;mso-position-vertical-relative:page;z-index:-2048;mso-width-relative:page;mso-height-relative:page;" filled="f" coordsize="21600,21600">
            <v:path/>
            <v:fill on="f" focussize="0,0"/>
            <v:stroke/>
            <v:imagedata r:id="rId24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387" w:wrap="around" w:vAnchor="margin" w:hAnchor="text" w:x="1800" w:y="1476"/>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本基金本报告期末未持有股票。</w:t>
      </w:r>
    </w:p>
    <w:p>
      <w:pPr>
        <w:framePr w:w="1927" w:wrap="around" w:vAnchor="margin" w:hAnchor="text" w:x="1800" w:y="2217"/>
        <w:widowControl w:val="0"/>
        <w:autoSpaceDE w:val="0"/>
        <w:autoSpaceDN w:val="0"/>
        <w:spacing w:before="0" w:after="0" w:line="240" w:lineRule="exact"/>
        <w:ind w:left="0" w:right="0"/>
        <w:jc w:val="left"/>
        <w:rPr>
          <w:rFonts w:ascii="SKJVQB+å®ä½" w:hAnsi="SKJVQB+å®ä½" w:cs="SKJVQB+å®ä½"/>
          <w:color w:val="222222"/>
          <w:spacing w:val="0"/>
          <w:sz w:val="24"/>
        </w:rPr>
      </w:pPr>
      <w:r>
        <w:rPr>
          <w:rFonts w:ascii="GGHCMB+å®ä½"/>
          <w:color w:val="222222"/>
          <w:spacing w:val="0"/>
          <w:sz w:val="24"/>
        </w:rPr>
        <w:t>9.10</w:t>
      </w:r>
      <w:r>
        <w:rPr>
          <w:rFonts w:ascii="SKJVQB+å®ä½" w:hAnsi="SKJVQB+å®ä½" w:cs="SKJVQB+å®ä½"/>
          <w:color w:val="222222"/>
          <w:spacing w:val="0"/>
          <w:sz w:val="24"/>
        </w:rPr>
        <w:t>基金业绩</w:t>
      </w:r>
    </w:p>
    <w:p>
      <w:pPr>
        <w:framePr w:w="9076" w:wrap="around" w:vAnchor="margin" w:hAnchor="text" w:x="2220" w:y="280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基金管理人依照恪尽职守、诚实信用、勤勉尽责的原则管理和运用基金资产</w:t>
      </w:r>
      <w:r>
        <w:rPr>
          <w:rFonts w:ascii="GGHCMB+å®ä½"/>
          <w:color w:val="222222"/>
          <w:spacing w:val="0"/>
          <w:sz w:val="21"/>
        </w:rPr>
        <w:t>,</w:t>
      </w:r>
      <w:r>
        <w:rPr>
          <w:rFonts w:ascii="SKJVQB+å®ä½" w:hAnsi="SKJVQB+å®ä½" w:cs="SKJVQB+å®ä½"/>
          <w:color w:val="222222"/>
          <w:spacing w:val="0"/>
          <w:sz w:val="21"/>
        </w:rPr>
        <w:t>但不保证</w:t>
      </w:r>
    </w:p>
    <w:p>
      <w:pPr>
        <w:framePr w:w="9559" w:wrap="around" w:vAnchor="margin" w:hAnchor="text" w:x="1800" w:y="32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基金一定盈利，也不保证最低收益。基金的过往业绩并不代表其未来表现。投资有风险</w:t>
      </w:r>
      <w:r>
        <w:rPr>
          <w:rFonts w:ascii="GGHCMB+å®ä½"/>
          <w:color w:val="222222"/>
          <w:spacing w:val="0"/>
          <w:sz w:val="21"/>
        </w:rPr>
        <w:t>,</w:t>
      </w:r>
      <w:r>
        <w:rPr>
          <w:rFonts w:ascii="SKJVQB+å®ä½" w:hAnsi="SKJVQB+å®ä½" w:cs="SKJVQB+å®ä½"/>
          <w:color w:val="222222"/>
          <w:spacing w:val="0"/>
          <w:sz w:val="21"/>
        </w:rPr>
        <w:t>投</w:t>
      </w:r>
    </w:p>
    <w:p>
      <w:pPr>
        <w:framePr w:w="6045" w:wrap="around" w:vAnchor="margin" w:hAnchor="text" w:x="1800" w:y="36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资者在做出投资决策前应仔细阅读本基金的招募说明书。</w:t>
      </w:r>
    </w:p>
    <w:p>
      <w:pPr>
        <w:framePr w:w="1316" w:wrap="around" w:vAnchor="margin" w:hAnchor="text" w:x="2220" w:y="4029"/>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南方双元</w:t>
      </w:r>
      <w:r>
        <w:rPr>
          <w:rFonts w:ascii="GGHCMB+å®ä½"/>
          <w:color w:val="222222"/>
          <w:spacing w:val="0"/>
          <w:sz w:val="21"/>
        </w:rPr>
        <w:t>A</w:t>
      </w:r>
    </w:p>
    <w:p>
      <w:pPr>
        <w:framePr w:w="1157" w:wrap="around" w:vAnchor="margin" w:hAnchor="text" w:x="6750" w:y="444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业绩比较</w:t>
      </w:r>
    </w:p>
    <w:p>
      <w:pPr>
        <w:framePr w:w="1157" w:wrap="around" w:vAnchor="margin" w:hAnchor="text" w:x="4314" w:y="46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净值增长</w:t>
      </w:r>
    </w:p>
    <w:p>
      <w:pPr>
        <w:framePr w:w="1157" w:wrap="around" w:vAnchor="margin" w:hAnchor="text" w:x="4314" w:y="46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率标准差</w:t>
      </w:r>
    </w:p>
    <w:p>
      <w:pPr>
        <w:framePr w:w="1157" w:wrap="around" w:vAnchor="margin" w:hAnchor="text" w:x="4314" w:y="4652"/>
        <w:widowControl w:val="0"/>
        <w:autoSpaceDE w:val="0"/>
        <w:autoSpaceDN w:val="0"/>
        <w:spacing w:before="0" w:after="0" w:line="408" w:lineRule="exact"/>
        <w:ind w:left="314" w:right="0"/>
        <w:jc w:val="left"/>
        <w:rPr>
          <w:rFonts w:ascii="SKJVQB+å®ä½" w:hAnsi="SKJVQB+å®ä½" w:cs="SKJVQB+å®ä½"/>
          <w:color w:val="222222"/>
          <w:spacing w:val="0"/>
          <w:sz w:val="21"/>
        </w:rPr>
      </w:pPr>
      <w:r>
        <w:rPr>
          <w:rFonts w:ascii="SKJVQB+å®ä½" w:hAnsi="SKJVQB+å®ä½" w:cs="SKJVQB+å®ä½"/>
          <w:color w:val="222222"/>
          <w:spacing w:val="0"/>
          <w:sz w:val="21"/>
        </w:rPr>
        <w:t>②</w:t>
      </w:r>
    </w:p>
    <w:p>
      <w:pPr>
        <w:framePr w:w="1157" w:wrap="around" w:vAnchor="margin" w:hAnchor="text" w:x="5531" w:y="46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业绩比较</w:t>
      </w:r>
    </w:p>
    <w:p>
      <w:pPr>
        <w:framePr w:w="1157" w:wrap="around" w:vAnchor="margin" w:hAnchor="text" w:x="5531" w:y="46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基准收益</w:t>
      </w:r>
    </w:p>
    <w:p>
      <w:pPr>
        <w:framePr w:w="1157" w:wrap="around" w:vAnchor="margin" w:hAnchor="text" w:x="5531" w:y="4652"/>
        <w:widowControl w:val="0"/>
        <w:autoSpaceDE w:val="0"/>
        <w:autoSpaceDN w:val="0"/>
        <w:spacing w:before="0" w:after="0" w:line="408" w:lineRule="exact"/>
        <w:ind w:left="211" w:right="0"/>
        <w:jc w:val="left"/>
        <w:rPr>
          <w:rFonts w:ascii="SKJVQB+å®ä½" w:hAnsi="SKJVQB+å®ä½" w:cs="SKJVQB+å®ä½"/>
          <w:color w:val="222222"/>
          <w:spacing w:val="0"/>
          <w:sz w:val="21"/>
        </w:rPr>
      </w:pPr>
      <w:r>
        <w:rPr>
          <w:rFonts w:ascii="SKJVQB+å®ä½" w:hAnsi="SKJVQB+å®ä½" w:cs="SKJVQB+å®ä½"/>
          <w:color w:val="222222"/>
          <w:spacing w:val="0"/>
          <w:sz w:val="21"/>
        </w:rPr>
        <w:t>率③</w:t>
      </w:r>
    </w:p>
    <w:p>
      <w:pPr>
        <w:framePr w:w="1157" w:wrap="around" w:vAnchor="margin" w:hAnchor="text" w:x="3096" w:y="485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净值增长</w:t>
      </w:r>
    </w:p>
    <w:p>
      <w:pPr>
        <w:framePr w:w="1157" w:wrap="around" w:vAnchor="margin" w:hAnchor="text" w:x="3096" w:y="4858"/>
        <w:widowControl w:val="0"/>
        <w:autoSpaceDE w:val="0"/>
        <w:autoSpaceDN w:val="0"/>
        <w:spacing w:before="0" w:after="0" w:line="408" w:lineRule="exact"/>
        <w:ind w:left="212" w:right="0"/>
        <w:jc w:val="left"/>
        <w:rPr>
          <w:rFonts w:ascii="SKJVQB+å®ä½" w:hAnsi="SKJVQB+å®ä½" w:cs="SKJVQB+å®ä½"/>
          <w:color w:val="222222"/>
          <w:spacing w:val="0"/>
          <w:sz w:val="21"/>
        </w:rPr>
      </w:pPr>
      <w:r>
        <w:rPr>
          <w:rFonts w:ascii="SKJVQB+å®ä½" w:hAnsi="SKJVQB+å®ä½" w:cs="SKJVQB+å®ä½"/>
          <w:color w:val="222222"/>
          <w:spacing w:val="0"/>
          <w:sz w:val="21"/>
        </w:rPr>
        <w:t>率①</w:t>
      </w:r>
    </w:p>
    <w:p>
      <w:pPr>
        <w:framePr w:w="1157" w:wrap="around" w:vAnchor="margin" w:hAnchor="text" w:x="6750" w:y="485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基准收益</w:t>
      </w:r>
    </w:p>
    <w:p>
      <w:pPr>
        <w:framePr w:w="1157" w:wrap="around" w:vAnchor="margin" w:hAnchor="text" w:x="6750" w:y="485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率标准差</w:t>
      </w:r>
    </w:p>
    <w:p>
      <w:pPr>
        <w:framePr w:w="1157" w:wrap="around" w:vAnchor="margin" w:hAnchor="text" w:x="6750" w:y="4858"/>
        <w:widowControl w:val="0"/>
        <w:autoSpaceDE w:val="0"/>
        <w:autoSpaceDN w:val="0"/>
        <w:spacing w:before="0" w:after="0" w:line="408" w:lineRule="exact"/>
        <w:ind w:left="314" w:right="0"/>
        <w:jc w:val="left"/>
        <w:rPr>
          <w:rFonts w:ascii="SKJVQB+å®ä½" w:hAnsi="SKJVQB+å®ä½" w:cs="SKJVQB+å®ä½"/>
          <w:color w:val="222222"/>
          <w:spacing w:val="0"/>
          <w:sz w:val="21"/>
        </w:rPr>
      </w:pPr>
      <w:r>
        <w:rPr>
          <w:rFonts w:ascii="SKJVQB+å®ä½" w:hAnsi="SKJVQB+å®ä½" w:cs="SKJVQB+å®ä½"/>
          <w:color w:val="222222"/>
          <w:spacing w:val="0"/>
          <w:sz w:val="21"/>
        </w:rPr>
        <w:t>④</w:t>
      </w:r>
    </w:p>
    <w:p>
      <w:pPr>
        <w:framePr w:w="737" w:wrap="around" w:vAnchor="margin" w:hAnchor="text" w:x="2091" w:y="506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阶段</w:t>
      </w:r>
    </w:p>
    <w:p>
      <w:pPr>
        <w:framePr w:w="949" w:wrap="around" w:vAnchor="margin" w:hAnchor="text" w:x="8073" w:y="506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①－③</w:t>
      </w:r>
    </w:p>
    <w:p>
      <w:pPr>
        <w:framePr w:w="949" w:wrap="around" w:vAnchor="margin" w:hAnchor="text" w:x="9290" w:y="506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②－④</w:t>
      </w:r>
    </w:p>
    <w:p>
      <w:pPr>
        <w:framePr w:w="1263" w:wrap="around" w:vAnchor="margin" w:hAnchor="text" w:x="1800" w:y="6092"/>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2015.2.10</w:t>
      </w:r>
    </w:p>
    <w:p>
      <w:pPr>
        <w:framePr w:w="1263" w:wrap="around" w:vAnchor="margin" w:hAnchor="text" w:x="1800" w:y="6092"/>
        <w:widowControl w:val="0"/>
        <w:autoSpaceDE w:val="0"/>
        <w:autoSpaceDN w:val="0"/>
        <w:spacing w:before="0" w:after="0" w:line="410" w:lineRule="exact"/>
        <w:ind w:left="0" w:right="0"/>
        <w:jc w:val="left"/>
        <w:rPr>
          <w:rFonts w:ascii="GGHCMB+å®ä½"/>
          <w:color w:val="222222"/>
          <w:spacing w:val="0"/>
          <w:sz w:val="21"/>
        </w:rPr>
      </w:pPr>
      <w:r>
        <w:rPr>
          <w:rFonts w:ascii="GGHCMB+å®ä½"/>
          <w:color w:val="222222"/>
          <w:spacing w:val="0"/>
          <w:sz w:val="21"/>
        </w:rPr>
        <w:t>-2015.12.</w:t>
      </w:r>
    </w:p>
    <w:p>
      <w:pPr>
        <w:framePr w:w="1263" w:wrap="around" w:vAnchor="margin" w:hAnchor="text" w:x="1800" w:y="6092"/>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31</w:t>
      </w:r>
    </w:p>
    <w:p>
      <w:pPr>
        <w:framePr w:w="949" w:wrap="around" w:vAnchor="margin" w:hAnchor="text" w:x="3387" w:y="6092"/>
        <w:widowControl w:val="0"/>
        <w:autoSpaceDE w:val="0"/>
        <w:autoSpaceDN w:val="0"/>
        <w:spacing w:before="0" w:after="0" w:line="211" w:lineRule="exact"/>
        <w:ind w:left="106" w:right="0"/>
        <w:jc w:val="left"/>
        <w:rPr>
          <w:rFonts w:ascii="GGHCMB+å®ä½"/>
          <w:color w:val="222222"/>
          <w:spacing w:val="0"/>
          <w:sz w:val="21"/>
        </w:rPr>
      </w:pPr>
      <w:r>
        <w:rPr>
          <w:rFonts w:ascii="GGHCMB+å®ä½"/>
          <w:color w:val="222222"/>
          <w:spacing w:val="0"/>
          <w:sz w:val="21"/>
        </w:rPr>
        <w:t>6.01%</w:t>
      </w:r>
    </w:p>
    <w:p>
      <w:pPr>
        <w:framePr w:w="949" w:wrap="around" w:vAnchor="margin" w:hAnchor="text" w:x="3387" w:y="6092"/>
        <w:widowControl w:val="0"/>
        <w:autoSpaceDE w:val="0"/>
        <w:autoSpaceDN w:val="0"/>
        <w:spacing w:before="0" w:after="0" w:line="1236" w:lineRule="exact"/>
        <w:ind w:left="106" w:right="0"/>
        <w:jc w:val="left"/>
        <w:rPr>
          <w:rFonts w:ascii="GGHCMB+å®ä½"/>
          <w:color w:val="222222"/>
          <w:spacing w:val="0"/>
          <w:sz w:val="21"/>
        </w:rPr>
      </w:pPr>
      <w:r>
        <w:rPr>
          <w:rFonts w:ascii="GGHCMB+å®ä½"/>
          <w:color w:val="222222"/>
          <w:spacing w:val="0"/>
          <w:sz w:val="21"/>
        </w:rPr>
        <w:t>0.69%</w:t>
      </w:r>
    </w:p>
    <w:p>
      <w:pPr>
        <w:framePr w:w="949" w:wrap="around" w:vAnchor="margin" w:hAnchor="text" w:x="3387" w:y="6092"/>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-2.40%</w:t>
      </w:r>
    </w:p>
    <w:p>
      <w:pPr>
        <w:framePr w:w="949" w:wrap="around" w:vAnchor="margin" w:hAnchor="text" w:x="3387" w:y="6092"/>
        <w:widowControl w:val="0"/>
        <w:autoSpaceDE w:val="0"/>
        <w:autoSpaceDN w:val="0"/>
        <w:spacing w:before="0" w:after="0" w:line="1236" w:lineRule="exact"/>
        <w:ind w:left="106" w:right="0"/>
        <w:jc w:val="left"/>
        <w:rPr>
          <w:rFonts w:ascii="GGHCMB+å®ä½"/>
          <w:color w:val="222222"/>
          <w:spacing w:val="0"/>
          <w:sz w:val="21"/>
        </w:rPr>
      </w:pPr>
      <w:r>
        <w:rPr>
          <w:rFonts w:ascii="GGHCMB+å®ä½"/>
          <w:color w:val="222222"/>
          <w:spacing w:val="0"/>
          <w:sz w:val="21"/>
        </w:rPr>
        <w:t>5.02%</w:t>
      </w:r>
    </w:p>
    <w:p>
      <w:pPr>
        <w:framePr w:w="949" w:wrap="around" w:vAnchor="margin" w:hAnchor="text" w:x="3387" w:y="6092"/>
        <w:widowControl w:val="0"/>
        <w:autoSpaceDE w:val="0"/>
        <w:autoSpaceDN w:val="0"/>
        <w:spacing w:before="0" w:after="0" w:line="1237" w:lineRule="exact"/>
        <w:ind w:left="106" w:right="0"/>
        <w:jc w:val="left"/>
        <w:rPr>
          <w:rFonts w:ascii="GGHCMB+å®ä½"/>
          <w:color w:val="222222"/>
          <w:spacing w:val="0"/>
          <w:sz w:val="21"/>
        </w:rPr>
      </w:pPr>
      <w:r>
        <w:rPr>
          <w:rFonts w:ascii="GGHCMB+å®ä½"/>
          <w:color w:val="222222"/>
          <w:spacing w:val="0"/>
          <w:sz w:val="21"/>
        </w:rPr>
        <w:t>6.65%</w:t>
      </w:r>
    </w:p>
    <w:p>
      <w:pPr>
        <w:framePr w:w="949" w:wrap="around" w:vAnchor="margin" w:hAnchor="text" w:x="3387" w:y="6092"/>
        <w:widowControl w:val="0"/>
        <w:autoSpaceDE w:val="0"/>
        <w:autoSpaceDN w:val="0"/>
        <w:spacing w:before="0" w:after="0" w:line="1234" w:lineRule="exact"/>
        <w:ind w:left="0" w:right="0"/>
        <w:jc w:val="left"/>
        <w:rPr>
          <w:rFonts w:ascii="GGHCMB+å®ä½"/>
          <w:color w:val="222222"/>
          <w:spacing w:val="0"/>
          <w:sz w:val="21"/>
        </w:rPr>
      </w:pPr>
      <w:r>
        <w:rPr>
          <w:rFonts w:ascii="GGHCMB+å®ä½"/>
          <w:color w:val="222222"/>
          <w:spacing w:val="0"/>
          <w:sz w:val="21"/>
        </w:rPr>
        <w:t>16.69%</w:t>
      </w:r>
    </w:p>
    <w:p>
      <w:pPr>
        <w:framePr w:w="843" w:wrap="around" w:vAnchor="margin" w:hAnchor="text" w:x="4710" w:y="6092"/>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0.32%</w:t>
      </w:r>
    </w:p>
    <w:p>
      <w:pPr>
        <w:framePr w:w="843" w:wrap="around" w:vAnchor="margin" w:hAnchor="text" w:x="4710" w:y="6092"/>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0.14%</w:t>
      </w:r>
    </w:p>
    <w:p>
      <w:pPr>
        <w:framePr w:w="843" w:wrap="around" w:vAnchor="margin" w:hAnchor="text" w:x="4710" w:y="6092"/>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0.13%</w:t>
      </w:r>
    </w:p>
    <w:p>
      <w:pPr>
        <w:framePr w:w="843" w:wrap="around" w:vAnchor="margin" w:hAnchor="text" w:x="4710" w:y="6092"/>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0.13%</w:t>
      </w:r>
    </w:p>
    <w:p>
      <w:pPr>
        <w:framePr w:w="843" w:wrap="around" w:vAnchor="margin" w:hAnchor="text" w:x="4710" w:y="6092"/>
        <w:widowControl w:val="0"/>
        <w:autoSpaceDE w:val="0"/>
        <w:autoSpaceDN w:val="0"/>
        <w:spacing w:before="0" w:after="0" w:line="1237" w:lineRule="exact"/>
        <w:ind w:left="0" w:right="0"/>
        <w:jc w:val="left"/>
        <w:rPr>
          <w:rFonts w:ascii="GGHCMB+å®ä½"/>
          <w:color w:val="222222"/>
          <w:spacing w:val="0"/>
          <w:sz w:val="21"/>
        </w:rPr>
      </w:pPr>
      <w:r>
        <w:rPr>
          <w:rFonts w:ascii="GGHCMB+å®ä½"/>
          <w:color w:val="222222"/>
          <w:spacing w:val="0"/>
          <w:sz w:val="21"/>
        </w:rPr>
        <w:t>0.09%</w:t>
      </w:r>
    </w:p>
    <w:p>
      <w:pPr>
        <w:framePr w:w="843" w:wrap="around" w:vAnchor="margin" w:hAnchor="text" w:x="4710" w:y="6092"/>
        <w:widowControl w:val="0"/>
        <w:autoSpaceDE w:val="0"/>
        <w:autoSpaceDN w:val="0"/>
        <w:spacing w:before="0" w:after="0" w:line="1234" w:lineRule="exact"/>
        <w:ind w:left="0" w:right="0"/>
        <w:jc w:val="left"/>
        <w:rPr>
          <w:rFonts w:ascii="GGHCMB+å®ä½"/>
          <w:color w:val="222222"/>
          <w:spacing w:val="0"/>
          <w:sz w:val="21"/>
        </w:rPr>
      </w:pPr>
      <w:r>
        <w:rPr>
          <w:rFonts w:ascii="GGHCMB+å®ä½"/>
          <w:color w:val="222222"/>
          <w:spacing w:val="0"/>
          <w:sz w:val="21"/>
        </w:rPr>
        <w:t>0.18%</w:t>
      </w:r>
    </w:p>
    <w:p>
      <w:pPr>
        <w:framePr w:w="949" w:wrap="around" w:vAnchor="margin" w:hAnchor="text" w:x="5821" w:y="6092"/>
        <w:widowControl w:val="0"/>
        <w:autoSpaceDE w:val="0"/>
        <w:autoSpaceDN w:val="0"/>
        <w:spacing w:before="0" w:after="0" w:line="211" w:lineRule="exact"/>
        <w:ind w:left="106" w:right="0"/>
        <w:jc w:val="left"/>
        <w:rPr>
          <w:rFonts w:ascii="GGHCMB+å®ä½"/>
          <w:color w:val="222222"/>
          <w:spacing w:val="0"/>
          <w:sz w:val="21"/>
        </w:rPr>
      </w:pPr>
      <w:r>
        <w:rPr>
          <w:rFonts w:ascii="GGHCMB+å®ä½"/>
          <w:color w:val="222222"/>
          <w:spacing w:val="0"/>
          <w:sz w:val="21"/>
        </w:rPr>
        <w:t>7.41%</w:t>
      </w:r>
    </w:p>
    <w:p>
      <w:pPr>
        <w:framePr w:w="949" w:wrap="around" w:vAnchor="margin" w:hAnchor="text" w:x="5821" w:y="6092"/>
        <w:widowControl w:val="0"/>
        <w:autoSpaceDE w:val="0"/>
        <w:autoSpaceDN w:val="0"/>
        <w:spacing w:before="0" w:after="0" w:line="1236" w:lineRule="exact"/>
        <w:ind w:left="106" w:right="0"/>
        <w:jc w:val="left"/>
        <w:rPr>
          <w:rFonts w:ascii="GGHCMB+å®ä½"/>
          <w:color w:val="222222"/>
          <w:spacing w:val="0"/>
          <w:sz w:val="21"/>
        </w:rPr>
      </w:pPr>
      <w:r>
        <w:rPr>
          <w:rFonts w:ascii="GGHCMB+å®ä½"/>
          <w:color w:val="222222"/>
          <w:spacing w:val="0"/>
          <w:sz w:val="21"/>
        </w:rPr>
        <w:t>2.00%</w:t>
      </w:r>
    </w:p>
    <w:p>
      <w:pPr>
        <w:framePr w:w="949" w:wrap="around" w:vAnchor="margin" w:hAnchor="text" w:x="5821" w:y="6092"/>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-0.34%</w:t>
      </w:r>
    </w:p>
    <w:p>
      <w:pPr>
        <w:framePr w:w="949" w:wrap="around" w:vAnchor="margin" w:hAnchor="text" w:x="5821" w:y="6092"/>
        <w:widowControl w:val="0"/>
        <w:autoSpaceDE w:val="0"/>
        <w:autoSpaceDN w:val="0"/>
        <w:spacing w:before="0" w:after="0" w:line="1236" w:lineRule="exact"/>
        <w:ind w:left="106" w:right="0"/>
        <w:jc w:val="left"/>
        <w:rPr>
          <w:rFonts w:ascii="GGHCMB+å®ä½"/>
          <w:color w:val="222222"/>
          <w:spacing w:val="0"/>
          <w:sz w:val="21"/>
        </w:rPr>
      </w:pPr>
      <w:r>
        <w:rPr>
          <w:rFonts w:ascii="GGHCMB+å®ä½"/>
          <w:color w:val="222222"/>
          <w:spacing w:val="0"/>
          <w:sz w:val="21"/>
        </w:rPr>
        <w:t>8.85%</w:t>
      </w:r>
    </w:p>
    <w:p>
      <w:pPr>
        <w:framePr w:w="949" w:wrap="around" w:vAnchor="margin" w:hAnchor="text" w:x="5821" w:y="6092"/>
        <w:widowControl w:val="0"/>
        <w:autoSpaceDE w:val="0"/>
        <w:autoSpaceDN w:val="0"/>
        <w:spacing w:before="0" w:after="0" w:line="1237" w:lineRule="exact"/>
        <w:ind w:left="106" w:right="0"/>
        <w:jc w:val="left"/>
        <w:rPr>
          <w:rFonts w:ascii="GGHCMB+å®ä½"/>
          <w:color w:val="222222"/>
          <w:spacing w:val="0"/>
          <w:sz w:val="21"/>
        </w:rPr>
      </w:pPr>
      <w:r>
        <w:rPr>
          <w:rFonts w:ascii="GGHCMB+å®ä½"/>
          <w:color w:val="222222"/>
          <w:spacing w:val="0"/>
          <w:sz w:val="21"/>
        </w:rPr>
        <w:t>4.96%</w:t>
      </w:r>
    </w:p>
    <w:p>
      <w:pPr>
        <w:framePr w:w="949" w:wrap="around" w:vAnchor="margin" w:hAnchor="text" w:x="5821" w:y="6092"/>
        <w:widowControl w:val="0"/>
        <w:autoSpaceDE w:val="0"/>
        <w:autoSpaceDN w:val="0"/>
        <w:spacing w:before="0" w:after="0" w:line="1234" w:lineRule="exact"/>
        <w:ind w:left="0" w:right="0"/>
        <w:jc w:val="left"/>
        <w:rPr>
          <w:rFonts w:ascii="GGHCMB+å®ä½"/>
          <w:color w:val="222222"/>
          <w:spacing w:val="0"/>
          <w:sz w:val="21"/>
        </w:rPr>
      </w:pPr>
      <w:r>
        <w:rPr>
          <w:rFonts w:ascii="GGHCMB+å®ä½"/>
          <w:color w:val="222222"/>
          <w:spacing w:val="0"/>
          <w:sz w:val="21"/>
        </w:rPr>
        <w:t>24.73%</w:t>
      </w:r>
    </w:p>
    <w:p>
      <w:pPr>
        <w:framePr w:w="843" w:wrap="around" w:vAnchor="margin" w:hAnchor="text" w:x="7146" w:y="6092"/>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0.08%</w:t>
      </w:r>
    </w:p>
    <w:p>
      <w:pPr>
        <w:framePr w:w="949" w:wrap="around" w:vAnchor="margin" w:hAnchor="text" w:x="8260" w:y="6092"/>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-1.40%</w:t>
      </w:r>
    </w:p>
    <w:p>
      <w:pPr>
        <w:framePr w:w="843" w:wrap="around" w:vAnchor="margin" w:hAnchor="text" w:x="9583" w:y="6092"/>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0.24%</w:t>
      </w:r>
    </w:p>
    <w:p>
      <w:pPr>
        <w:framePr w:w="1263" w:wrap="around" w:vAnchor="margin" w:hAnchor="text" w:x="1800" w:y="7328"/>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2016.1.1-</w:t>
      </w:r>
    </w:p>
    <w:p>
      <w:pPr>
        <w:framePr w:w="1263" w:wrap="around" w:vAnchor="margin" w:hAnchor="text" w:x="1800" w:y="7328"/>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2016.12.3</w:t>
      </w:r>
    </w:p>
    <w:p>
      <w:pPr>
        <w:framePr w:w="1263" w:wrap="around" w:vAnchor="margin" w:hAnchor="text" w:x="1800" w:y="7328"/>
        <w:widowControl w:val="0"/>
        <w:autoSpaceDE w:val="0"/>
        <w:autoSpaceDN w:val="0"/>
        <w:spacing w:before="0" w:after="0" w:line="410" w:lineRule="exact"/>
        <w:ind w:left="0" w:right="0"/>
        <w:jc w:val="left"/>
        <w:rPr>
          <w:rFonts w:ascii="GGHCMB+å®ä½"/>
          <w:color w:val="222222"/>
          <w:spacing w:val="0"/>
          <w:sz w:val="21"/>
        </w:rPr>
      </w:pPr>
      <w:r>
        <w:rPr>
          <w:rFonts w:ascii="GGHCMB+å®ä½"/>
          <w:color w:val="222222"/>
          <w:spacing w:val="0"/>
          <w:sz w:val="21"/>
        </w:rPr>
        <w:t>1</w:t>
      </w:r>
    </w:p>
    <w:p>
      <w:pPr>
        <w:framePr w:w="843" w:wrap="around" w:vAnchor="margin" w:hAnchor="text" w:x="7146" w:y="7328"/>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0.09%</w:t>
      </w:r>
    </w:p>
    <w:p>
      <w:pPr>
        <w:framePr w:w="843" w:wrap="around" w:vAnchor="margin" w:hAnchor="text" w:x="7146" w:y="7328"/>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0.06%</w:t>
      </w:r>
    </w:p>
    <w:p>
      <w:pPr>
        <w:framePr w:w="843" w:wrap="around" w:vAnchor="margin" w:hAnchor="text" w:x="7146" w:y="7328"/>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0.07%</w:t>
      </w:r>
    </w:p>
    <w:p>
      <w:pPr>
        <w:framePr w:w="843" w:wrap="around" w:vAnchor="margin" w:hAnchor="text" w:x="7146" w:y="7328"/>
        <w:widowControl w:val="0"/>
        <w:autoSpaceDE w:val="0"/>
        <w:autoSpaceDN w:val="0"/>
        <w:spacing w:before="0" w:after="0" w:line="1237" w:lineRule="exact"/>
        <w:ind w:left="0" w:right="0"/>
        <w:jc w:val="left"/>
        <w:rPr>
          <w:rFonts w:ascii="GGHCMB+å®ä½"/>
          <w:color w:val="222222"/>
          <w:spacing w:val="0"/>
          <w:sz w:val="21"/>
        </w:rPr>
      </w:pPr>
      <w:r>
        <w:rPr>
          <w:rFonts w:ascii="GGHCMB+å®ä½"/>
          <w:color w:val="222222"/>
          <w:spacing w:val="0"/>
          <w:sz w:val="21"/>
        </w:rPr>
        <w:t>0.05%</w:t>
      </w:r>
    </w:p>
    <w:p>
      <w:pPr>
        <w:framePr w:w="843" w:wrap="around" w:vAnchor="margin" w:hAnchor="text" w:x="7146" w:y="7328"/>
        <w:widowControl w:val="0"/>
        <w:autoSpaceDE w:val="0"/>
        <w:autoSpaceDN w:val="0"/>
        <w:spacing w:before="0" w:after="0" w:line="1234" w:lineRule="exact"/>
        <w:ind w:left="0" w:right="0"/>
        <w:jc w:val="left"/>
        <w:rPr>
          <w:rFonts w:ascii="GGHCMB+å®ä½"/>
          <w:color w:val="222222"/>
          <w:spacing w:val="0"/>
          <w:sz w:val="21"/>
        </w:rPr>
      </w:pPr>
      <w:r>
        <w:rPr>
          <w:rFonts w:ascii="GGHCMB+å®ä½"/>
          <w:color w:val="222222"/>
          <w:spacing w:val="0"/>
          <w:sz w:val="21"/>
        </w:rPr>
        <w:t>0.07%</w:t>
      </w:r>
    </w:p>
    <w:p>
      <w:pPr>
        <w:framePr w:w="949" w:wrap="around" w:vAnchor="margin" w:hAnchor="text" w:x="8260" w:y="7328"/>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-1.31%</w:t>
      </w:r>
    </w:p>
    <w:p>
      <w:pPr>
        <w:framePr w:w="949" w:wrap="around" w:vAnchor="margin" w:hAnchor="text" w:x="8260" w:y="7328"/>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-2.06%</w:t>
      </w:r>
    </w:p>
    <w:p>
      <w:pPr>
        <w:framePr w:w="949" w:wrap="around" w:vAnchor="margin" w:hAnchor="text" w:x="8260" w:y="7328"/>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-3.83%</w:t>
      </w:r>
    </w:p>
    <w:p>
      <w:pPr>
        <w:framePr w:w="949" w:wrap="around" w:vAnchor="margin" w:hAnchor="text" w:x="8260" w:y="7328"/>
        <w:widowControl w:val="0"/>
        <w:autoSpaceDE w:val="0"/>
        <w:autoSpaceDN w:val="0"/>
        <w:spacing w:before="0" w:after="0" w:line="1237" w:lineRule="exact"/>
        <w:ind w:left="106" w:right="0"/>
        <w:jc w:val="left"/>
        <w:rPr>
          <w:rFonts w:ascii="GGHCMB+å®ä½"/>
          <w:color w:val="222222"/>
          <w:spacing w:val="0"/>
          <w:sz w:val="21"/>
        </w:rPr>
      </w:pPr>
      <w:r>
        <w:rPr>
          <w:rFonts w:ascii="GGHCMB+å®ä½"/>
          <w:color w:val="222222"/>
          <w:spacing w:val="0"/>
          <w:sz w:val="21"/>
        </w:rPr>
        <w:t>1.69%</w:t>
      </w:r>
    </w:p>
    <w:p>
      <w:pPr>
        <w:framePr w:w="843" w:wrap="around" w:vAnchor="margin" w:hAnchor="text" w:x="9583" w:y="7328"/>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0.05%</w:t>
      </w:r>
    </w:p>
    <w:p>
      <w:pPr>
        <w:framePr w:w="843" w:wrap="around" w:vAnchor="margin" w:hAnchor="text" w:x="9583" w:y="7328"/>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0.07%</w:t>
      </w:r>
    </w:p>
    <w:p>
      <w:pPr>
        <w:framePr w:w="843" w:wrap="around" w:vAnchor="margin" w:hAnchor="text" w:x="9583" w:y="7328"/>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0.06%</w:t>
      </w:r>
    </w:p>
    <w:p>
      <w:pPr>
        <w:framePr w:w="843" w:wrap="around" w:vAnchor="margin" w:hAnchor="text" w:x="9583" w:y="7328"/>
        <w:widowControl w:val="0"/>
        <w:autoSpaceDE w:val="0"/>
        <w:autoSpaceDN w:val="0"/>
        <w:spacing w:before="0" w:after="0" w:line="1237" w:lineRule="exact"/>
        <w:ind w:left="0" w:right="0"/>
        <w:jc w:val="left"/>
        <w:rPr>
          <w:rFonts w:ascii="GGHCMB+å®ä½"/>
          <w:color w:val="222222"/>
          <w:spacing w:val="0"/>
          <w:sz w:val="21"/>
        </w:rPr>
      </w:pPr>
      <w:r>
        <w:rPr>
          <w:rFonts w:ascii="GGHCMB+å®ä½"/>
          <w:color w:val="222222"/>
          <w:spacing w:val="0"/>
          <w:sz w:val="21"/>
        </w:rPr>
        <w:t>0.04%</w:t>
      </w:r>
    </w:p>
    <w:p>
      <w:pPr>
        <w:framePr w:w="843" w:wrap="around" w:vAnchor="margin" w:hAnchor="text" w:x="9583" w:y="7328"/>
        <w:widowControl w:val="0"/>
        <w:autoSpaceDE w:val="0"/>
        <w:autoSpaceDN w:val="0"/>
        <w:spacing w:before="0" w:after="0" w:line="1234" w:lineRule="exact"/>
        <w:ind w:left="0" w:right="0"/>
        <w:jc w:val="left"/>
        <w:rPr>
          <w:rFonts w:ascii="GGHCMB+å®ä½"/>
          <w:color w:val="222222"/>
          <w:spacing w:val="0"/>
          <w:sz w:val="21"/>
        </w:rPr>
      </w:pPr>
      <w:r>
        <w:rPr>
          <w:rFonts w:ascii="GGHCMB+å®ä½"/>
          <w:color w:val="222222"/>
          <w:spacing w:val="0"/>
          <w:sz w:val="21"/>
        </w:rPr>
        <w:t>0.11%</w:t>
      </w:r>
    </w:p>
    <w:p>
      <w:pPr>
        <w:framePr w:w="1263" w:wrap="around" w:vAnchor="margin" w:hAnchor="text" w:x="1800" w:y="8564"/>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2017.1.1-</w:t>
      </w:r>
    </w:p>
    <w:p>
      <w:pPr>
        <w:framePr w:w="1263" w:wrap="around" w:vAnchor="margin" w:hAnchor="text" w:x="1800" w:y="8564"/>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2017.12.3</w:t>
      </w:r>
    </w:p>
    <w:p>
      <w:pPr>
        <w:framePr w:w="1263" w:wrap="around" w:vAnchor="margin" w:hAnchor="text" w:x="1800" w:y="8564"/>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1</w:t>
      </w:r>
    </w:p>
    <w:p>
      <w:pPr>
        <w:framePr w:w="1263" w:wrap="around" w:vAnchor="margin" w:hAnchor="text" w:x="1800" w:y="9800"/>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2018.1.1-</w:t>
      </w:r>
    </w:p>
    <w:p>
      <w:pPr>
        <w:framePr w:w="1263" w:wrap="around" w:vAnchor="margin" w:hAnchor="text" w:x="1800" w:y="9800"/>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2018.12.3</w:t>
      </w:r>
    </w:p>
    <w:p>
      <w:pPr>
        <w:framePr w:w="1263" w:wrap="around" w:vAnchor="margin" w:hAnchor="text" w:x="1800" w:y="9800"/>
        <w:widowControl w:val="0"/>
        <w:autoSpaceDE w:val="0"/>
        <w:autoSpaceDN w:val="0"/>
        <w:spacing w:before="0" w:after="0" w:line="409" w:lineRule="exact"/>
        <w:ind w:left="0" w:right="0"/>
        <w:jc w:val="left"/>
        <w:rPr>
          <w:rFonts w:ascii="GGHCMB+å®ä½"/>
          <w:color w:val="222222"/>
          <w:spacing w:val="0"/>
          <w:sz w:val="21"/>
        </w:rPr>
      </w:pPr>
      <w:r>
        <w:rPr>
          <w:rFonts w:ascii="GGHCMB+å®ä½"/>
          <w:color w:val="222222"/>
          <w:spacing w:val="0"/>
          <w:sz w:val="21"/>
        </w:rPr>
        <w:t>1</w:t>
      </w:r>
    </w:p>
    <w:p>
      <w:pPr>
        <w:framePr w:w="1263" w:wrap="around" w:vAnchor="margin" w:hAnchor="text" w:x="1800" w:y="11037"/>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2019.1.1-</w:t>
      </w:r>
    </w:p>
    <w:p>
      <w:pPr>
        <w:framePr w:w="1263" w:wrap="around" w:vAnchor="margin" w:hAnchor="text" w:x="1800" w:y="11037"/>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2019.12.3</w:t>
      </w:r>
    </w:p>
    <w:p>
      <w:pPr>
        <w:framePr w:w="1263" w:wrap="around" w:vAnchor="margin" w:hAnchor="text" w:x="1800" w:y="11037"/>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1</w:t>
      </w:r>
    </w:p>
    <w:p>
      <w:pPr>
        <w:framePr w:w="1157" w:wrap="around" w:vAnchor="margin" w:hAnchor="text" w:x="1800" w:y="1227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自基金成</w:t>
      </w:r>
    </w:p>
    <w:p>
      <w:pPr>
        <w:framePr w:w="1157" w:wrap="around" w:vAnchor="margin" w:hAnchor="text" w:x="1800" w:y="1227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立起至今</w:t>
      </w:r>
    </w:p>
    <w:p>
      <w:pPr>
        <w:framePr w:w="949" w:wrap="around" w:vAnchor="margin" w:hAnchor="text" w:x="8260" w:y="12270"/>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-8.04%</w:t>
      </w:r>
    </w:p>
    <w:p>
      <w:pPr>
        <w:framePr w:w="1316" w:wrap="around" w:vAnchor="margin" w:hAnchor="text" w:x="2220" w:y="13098"/>
        <w:widowControl w:val="0"/>
        <w:autoSpaceDE w:val="0"/>
        <w:autoSpaceDN w:val="0"/>
        <w:spacing w:before="0" w:after="0" w:line="211" w:lineRule="exact"/>
        <w:ind w:left="0" w:right="0"/>
        <w:jc w:val="left"/>
        <w:rPr>
          <w:rFonts w:ascii="GGHCMB+å®ä½"/>
          <w:color w:val="222222"/>
          <w:spacing w:val="0"/>
          <w:sz w:val="21"/>
        </w:rPr>
      </w:pPr>
      <w:r>
        <w:rPr>
          <w:rFonts w:ascii="SKJVQB+å®ä½" w:hAnsi="SKJVQB+å®ä½" w:cs="SKJVQB+å®ä½"/>
          <w:color w:val="222222"/>
          <w:spacing w:val="0"/>
          <w:sz w:val="21"/>
        </w:rPr>
        <w:t>南方双元</w:t>
      </w:r>
      <w:r>
        <w:rPr>
          <w:rFonts w:ascii="GGHCMB+å®ä½"/>
          <w:color w:val="222222"/>
          <w:spacing w:val="0"/>
          <w:sz w:val="21"/>
        </w:rPr>
        <w:t>C</w:t>
      </w:r>
    </w:p>
    <w:p>
      <w:pPr>
        <w:framePr w:w="1157" w:wrap="around" w:vAnchor="margin" w:hAnchor="text" w:x="6750" w:y="1351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业绩比较</w:t>
      </w:r>
    </w:p>
    <w:p>
      <w:pPr>
        <w:framePr w:w="1157" w:wrap="around" w:vAnchor="margin" w:hAnchor="text" w:x="6750" w:y="13516"/>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基准收益</w:t>
      </w:r>
    </w:p>
    <w:p>
      <w:pPr>
        <w:framePr w:w="1157" w:wrap="around" w:vAnchor="margin" w:hAnchor="text" w:x="6750" w:y="1351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率标准差</w:t>
      </w:r>
    </w:p>
    <w:p>
      <w:pPr>
        <w:framePr w:w="1157" w:wrap="around" w:vAnchor="margin" w:hAnchor="text" w:x="6750" w:y="13516"/>
        <w:widowControl w:val="0"/>
        <w:autoSpaceDE w:val="0"/>
        <w:autoSpaceDN w:val="0"/>
        <w:spacing w:before="0" w:after="0" w:line="408" w:lineRule="exact"/>
        <w:ind w:left="314" w:right="0"/>
        <w:jc w:val="left"/>
        <w:rPr>
          <w:rFonts w:ascii="SKJVQB+å®ä½" w:hAnsi="SKJVQB+å®ä½" w:cs="SKJVQB+å®ä½"/>
          <w:color w:val="222222"/>
          <w:spacing w:val="0"/>
          <w:sz w:val="21"/>
        </w:rPr>
      </w:pPr>
      <w:r>
        <w:rPr>
          <w:rFonts w:ascii="SKJVQB+å®ä½" w:hAnsi="SKJVQB+å®ä½" w:cs="SKJVQB+å®ä½"/>
          <w:color w:val="222222"/>
          <w:spacing w:val="0"/>
          <w:sz w:val="21"/>
        </w:rPr>
        <w:t>④</w:t>
      </w:r>
    </w:p>
    <w:p>
      <w:pPr>
        <w:framePr w:w="1157" w:wrap="around" w:vAnchor="margin" w:hAnchor="text" w:x="4314" w:y="137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净值增长</w:t>
      </w:r>
    </w:p>
    <w:p>
      <w:pPr>
        <w:framePr w:w="1157" w:wrap="around" w:vAnchor="margin" w:hAnchor="text" w:x="4314" w:y="137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率标准差</w:t>
      </w:r>
    </w:p>
    <w:p>
      <w:pPr>
        <w:framePr w:w="1157" w:wrap="around" w:vAnchor="margin" w:hAnchor="text" w:x="4314" w:y="13722"/>
        <w:widowControl w:val="0"/>
        <w:autoSpaceDE w:val="0"/>
        <w:autoSpaceDN w:val="0"/>
        <w:spacing w:before="0" w:after="0" w:line="408" w:lineRule="exact"/>
        <w:ind w:left="314" w:right="0"/>
        <w:jc w:val="left"/>
        <w:rPr>
          <w:rFonts w:ascii="SKJVQB+å®ä½" w:hAnsi="SKJVQB+å®ä½" w:cs="SKJVQB+å®ä½"/>
          <w:color w:val="222222"/>
          <w:spacing w:val="0"/>
          <w:sz w:val="21"/>
        </w:rPr>
      </w:pPr>
      <w:r>
        <w:rPr>
          <w:rFonts w:ascii="SKJVQB+å®ä½" w:hAnsi="SKJVQB+å®ä½" w:cs="SKJVQB+å®ä½"/>
          <w:color w:val="222222"/>
          <w:spacing w:val="0"/>
          <w:sz w:val="21"/>
        </w:rPr>
        <w:t>②</w:t>
      </w:r>
    </w:p>
    <w:p>
      <w:pPr>
        <w:framePr w:w="1157" w:wrap="around" w:vAnchor="margin" w:hAnchor="text" w:x="5531" w:y="137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业绩比较</w:t>
      </w:r>
    </w:p>
    <w:p>
      <w:pPr>
        <w:framePr w:w="1157" w:wrap="around" w:vAnchor="margin" w:hAnchor="text" w:x="5531" w:y="137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基准收益</w:t>
      </w:r>
    </w:p>
    <w:p>
      <w:pPr>
        <w:framePr w:w="1157" w:wrap="around" w:vAnchor="margin" w:hAnchor="text" w:x="5531" w:y="13722"/>
        <w:widowControl w:val="0"/>
        <w:autoSpaceDE w:val="0"/>
        <w:autoSpaceDN w:val="0"/>
        <w:spacing w:before="0" w:after="0" w:line="408" w:lineRule="exact"/>
        <w:ind w:left="211" w:right="0"/>
        <w:jc w:val="left"/>
        <w:rPr>
          <w:rFonts w:ascii="SKJVQB+å®ä½" w:hAnsi="SKJVQB+å®ä½" w:cs="SKJVQB+å®ä½"/>
          <w:color w:val="222222"/>
          <w:spacing w:val="0"/>
          <w:sz w:val="21"/>
        </w:rPr>
      </w:pPr>
      <w:r>
        <w:rPr>
          <w:rFonts w:ascii="SKJVQB+å®ä½" w:hAnsi="SKJVQB+å®ä½" w:cs="SKJVQB+å®ä½"/>
          <w:color w:val="222222"/>
          <w:spacing w:val="0"/>
          <w:sz w:val="21"/>
        </w:rPr>
        <w:t>率③</w:t>
      </w:r>
    </w:p>
    <w:p>
      <w:pPr>
        <w:framePr w:w="1157" w:wrap="around" w:vAnchor="margin" w:hAnchor="text" w:x="3096" w:y="1392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净值增长</w:t>
      </w:r>
    </w:p>
    <w:p>
      <w:pPr>
        <w:framePr w:w="1157" w:wrap="around" w:vAnchor="margin" w:hAnchor="text" w:x="3096" w:y="13927"/>
        <w:widowControl w:val="0"/>
        <w:autoSpaceDE w:val="0"/>
        <w:autoSpaceDN w:val="0"/>
        <w:spacing w:before="0" w:after="0" w:line="408" w:lineRule="exact"/>
        <w:ind w:left="212" w:right="0"/>
        <w:jc w:val="left"/>
        <w:rPr>
          <w:rFonts w:ascii="SKJVQB+å®ä½" w:hAnsi="SKJVQB+å®ä½" w:cs="SKJVQB+å®ä½"/>
          <w:color w:val="222222"/>
          <w:spacing w:val="0"/>
          <w:sz w:val="21"/>
        </w:rPr>
      </w:pPr>
      <w:r>
        <w:rPr>
          <w:rFonts w:ascii="SKJVQB+å®ä½" w:hAnsi="SKJVQB+å®ä½" w:cs="SKJVQB+å®ä½"/>
          <w:color w:val="222222"/>
          <w:spacing w:val="0"/>
          <w:sz w:val="21"/>
        </w:rPr>
        <w:t>率①</w:t>
      </w:r>
    </w:p>
    <w:p>
      <w:pPr>
        <w:framePr w:w="737" w:wrap="around" w:vAnchor="margin" w:hAnchor="text" w:x="2091" w:y="1413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阶段</w:t>
      </w:r>
    </w:p>
    <w:p>
      <w:pPr>
        <w:framePr w:w="949" w:wrap="around" w:vAnchor="margin" w:hAnchor="text" w:x="8073" w:y="1413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①－③</w:t>
      </w:r>
    </w:p>
    <w:p>
      <w:pPr>
        <w:framePr w:w="949" w:wrap="around" w:vAnchor="margin" w:hAnchor="text" w:x="9290" w:y="1413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②－④</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133</w:t>
      </w:r>
    </w:p>
    <w:p>
      <w:pPr>
        <w:spacing w:before="0" w:after="0" w:line="0" w:lineRule="exact"/>
        <w:ind w:left="0" w:right="0"/>
        <w:jc w:val="left"/>
        <w:rPr>
          <w:rFonts w:ascii="Arial"/>
          <w:color w:val="FF0000"/>
          <w:spacing w:val="0"/>
          <w:sz w:val="2"/>
        </w:rPr>
      </w:pPr>
      <w:r>
        <w:pict>
          <v:shape id="_x0000292" o:spid="_x0000_s131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49" o:title=""/>
            <o:lock v:ext="edit" aspectratio="t"/>
          </v:shape>
        </w:pict>
      </w:r>
      <w:r>
        <w:pict>
          <v:shape id="_x0000293" o:spid="_x0000_s1319" o:spt="75" type="#_x0000_t75" style="position:absolute;left:0pt;margin-left:84.4pt;margin-top:100.75pt;height:655.8pt;width:426.7pt;mso-position-horizontal-relative:page;mso-position-vertical-relative:page;z-index:-2048;mso-width-relative:page;mso-height-relative:page;" filled="f" coordsize="21600,21600">
            <v:path/>
            <v:fill on="f" focussize="0,0"/>
            <v:stroke/>
            <v:imagedata r:id="rId25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1263" w:wrap="around" w:vAnchor="margin" w:hAnchor="text" w:x="1800" w:y="1461"/>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2015.2.10</w:t>
      </w:r>
    </w:p>
    <w:p>
      <w:pPr>
        <w:framePr w:w="1263" w:wrap="around" w:vAnchor="margin" w:hAnchor="text" w:x="1800" w:y="1461"/>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-2015.12.</w:t>
      </w:r>
    </w:p>
    <w:p>
      <w:pPr>
        <w:framePr w:w="1263" w:wrap="around" w:vAnchor="margin" w:hAnchor="text" w:x="1800" w:y="1461"/>
        <w:widowControl w:val="0"/>
        <w:autoSpaceDE w:val="0"/>
        <w:autoSpaceDN w:val="0"/>
        <w:spacing w:before="0" w:after="0" w:line="410" w:lineRule="exact"/>
        <w:ind w:left="0" w:right="0"/>
        <w:jc w:val="left"/>
        <w:rPr>
          <w:rFonts w:ascii="GGHCMB+å®ä½"/>
          <w:color w:val="222222"/>
          <w:spacing w:val="0"/>
          <w:sz w:val="21"/>
        </w:rPr>
      </w:pPr>
      <w:r>
        <w:rPr>
          <w:rFonts w:ascii="GGHCMB+å®ä½"/>
          <w:color w:val="222222"/>
          <w:spacing w:val="0"/>
          <w:sz w:val="21"/>
        </w:rPr>
        <w:t>31</w:t>
      </w:r>
    </w:p>
    <w:p>
      <w:pPr>
        <w:framePr w:w="949" w:wrap="around" w:vAnchor="margin" w:hAnchor="text" w:x="3387" w:y="1461"/>
        <w:widowControl w:val="0"/>
        <w:autoSpaceDE w:val="0"/>
        <w:autoSpaceDN w:val="0"/>
        <w:spacing w:before="0" w:after="0" w:line="211" w:lineRule="exact"/>
        <w:ind w:left="106" w:right="0"/>
        <w:jc w:val="left"/>
        <w:rPr>
          <w:rFonts w:ascii="GGHCMB+å®ä½"/>
          <w:color w:val="222222"/>
          <w:spacing w:val="0"/>
          <w:sz w:val="21"/>
        </w:rPr>
      </w:pPr>
      <w:r>
        <w:rPr>
          <w:rFonts w:ascii="GGHCMB+å®ä½"/>
          <w:color w:val="222222"/>
          <w:spacing w:val="0"/>
          <w:sz w:val="21"/>
        </w:rPr>
        <w:t>6.02%</w:t>
      </w:r>
    </w:p>
    <w:p>
      <w:pPr>
        <w:framePr w:w="949" w:wrap="around" w:vAnchor="margin" w:hAnchor="text" w:x="3387" w:y="1461"/>
        <w:widowControl w:val="0"/>
        <w:autoSpaceDE w:val="0"/>
        <w:autoSpaceDN w:val="0"/>
        <w:spacing w:before="0" w:after="0" w:line="1236" w:lineRule="exact"/>
        <w:ind w:left="106" w:right="0"/>
        <w:jc w:val="left"/>
        <w:rPr>
          <w:rFonts w:ascii="GGHCMB+å®ä½"/>
          <w:color w:val="222222"/>
          <w:spacing w:val="0"/>
          <w:sz w:val="21"/>
        </w:rPr>
      </w:pPr>
      <w:r>
        <w:rPr>
          <w:rFonts w:ascii="GGHCMB+å®ä½"/>
          <w:color w:val="222222"/>
          <w:spacing w:val="0"/>
          <w:sz w:val="21"/>
        </w:rPr>
        <w:t>0.40%</w:t>
      </w:r>
    </w:p>
    <w:p>
      <w:pPr>
        <w:framePr w:w="949" w:wrap="around" w:vAnchor="margin" w:hAnchor="text" w:x="3387"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-2.70%</w:t>
      </w:r>
    </w:p>
    <w:p>
      <w:pPr>
        <w:framePr w:w="949" w:wrap="around" w:vAnchor="margin" w:hAnchor="text" w:x="3387" w:y="1461"/>
        <w:widowControl w:val="0"/>
        <w:autoSpaceDE w:val="0"/>
        <w:autoSpaceDN w:val="0"/>
        <w:spacing w:before="0" w:after="0" w:line="1237" w:lineRule="exact"/>
        <w:ind w:left="106" w:right="0"/>
        <w:jc w:val="left"/>
        <w:rPr>
          <w:rFonts w:ascii="GGHCMB+å®ä½"/>
          <w:color w:val="222222"/>
          <w:spacing w:val="0"/>
          <w:sz w:val="21"/>
        </w:rPr>
      </w:pPr>
      <w:r>
        <w:rPr>
          <w:rFonts w:ascii="GGHCMB+å®ä½"/>
          <w:color w:val="222222"/>
          <w:spacing w:val="0"/>
          <w:sz w:val="21"/>
        </w:rPr>
        <w:t>4.55%</w:t>
      </w:r>
    </w:p>
    <w:p>
      <w:pPr>
        <w:framePr w:w="949" w:wrap="around" w:vAnchor="margin" w:hAnchor="text" w:x="3387" w:y="1461"/>
        <w:widowControl w:val="0"/>
        <w:autoSpaceDE w:val="0"/>
        <w:autoSpaceDN w:val="0"/>
        <w:spacing w:before="0" w:after="0" w:line="1234" w:lineRule="exact"/>
        <w:ind w:left="106" w:right="0"/>
        <w:jc w:val="left"/>
        <w:rPr>
          <w:rFonts w:ascii="GGHCMB+å®ä½"/>
          <w:color w:val="222222"/>
          <w:spacing w:val="0"/>
          <w:sz w:val="21"/>
        </w:rPr>
      </w:pPr>
      <w:r>
        <w:rPr>
          <w:rFonts w:ascii="GGHCMB+å®ä½"/>
          <w:color w:val="222222"/>
          <w:spacing w:val="0"/>
          <w:sz w:val="21"/>
        </w:rPr>
        <w:t>6.34%</w:t>
      </w:r>
    </w:p>
    <w:p>
      <w:pPr>
        <w:framePr w:w="949" w:wrap="around" w:vAnchor="margin" w:hAnchor="text" w:x="3387"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15.15%</w:t>
      </w:r>
    </w:p>
    <w:p>
      <w:pPr>
        <w:framePr w:w="843" w:wrap="around" w:vAnchor="margin" w:hAnchor="text" w:x="4710" w:y="1461"/>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0.32%</w:t>
      </w:r>
    </w:p>
    <w:p>
      <w:pPr>
        <w:framePr w:w="843" w:wrap="around" w:vAnchor="margin" w:hAnchor="text" w:x="4710"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0.14%</w:t>
      </w:r>
    </w:p>
    <w:p>
      <w:pPr>
        <w:framePr w:w="843" w:wrap="around" w:vAnchor="margin" w:hAnchor="text" w:x="4710"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0.13%</w:t>
      </w:r>
    </w:p>
    <w:p>
      <w:pPr>
        <w:framePr w:w="843" w:wrap="around" w:vAnchor="margin" w:hAnchor="text" w:x="4710" w:y="1461"/>
        <w:widowControl w:val="0"/>
        <w:autoSpaceDE w:val="0"/>
        <w:autoSpaceDN w:val="0"/>
        <w:spacing w:before="0" w:after="0" w:line="1237" w:lineRule="exact"/>
        <w:ind w:left="0" w:right="0"/>
        <w:jc w:val="left"/>
        <w:rPr>
          <w:rFonts w:ascii="GGHCMB+å®ä½"/>
          <w:color w:val="222222"/>
          <w:spacing w:val="0"/>
          <w:sz w:val="21"/>
        </w:rPr>
      </w:pPr>
      <w:r>
        <w:rPr>
          <w:rFonts w:ascii="GGHCMB+å®ä½"/>
          <w:color w:val="222222"/>
          <w:spacing w:val="0"/>
          <w:sz w:val="21"/>
        </w:rPr>
        <w:t>0.13%</w:t>
      </w:r>
    </w:p>
    <w:p>
      <w:pPr>
        <w:framePr w:w="843" w:wrap="around" w:vAnchor="margin" w:hAnchor="text" w:x="4710" w:y="1461"/>
        <w:widowControl w:val="0"/>
        <w:autoSpaceDE w:val="0"/>
        <w:autoSpaceDN w:val="0"/>
        <w:spacing w:before="0" w:after="0" w:line="1234" w:lineRule="exact"/>
        <w:ind w:left="0" w:right="0"/>
        <w:jc w:val="left"/>
        <w:rPr>
          <w:rFonts w:ascii="GGHCMB+å®ä½"/>
          <w:color w:val="222222"/>
          <w:spacing w:val="0"/>
          <w:sz w:val="21"/>
        </w:rPr>
      </w:pPr>
      <w:r>
        <w:rPr>
          <w:rFonts w:ascii="GGHCMB+å®ä½"/>
          <w:color w:val="222222"/>
          <w:spacing w:val="0"/>
          <w:sz w:val="21"/>
        </w:rPr>
        <w:t>0.09%</w:t>
      </w:r>
    </w:p>
    <w:p>
      <w:pPr>
        <w:framePr w:w="843" w:wrap="around" w:vAnchor="margin" w:hAnchor="text" w:x="4710"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0.18%</w:t>
      </w:r>
    </w:p>
    <w:p>
      <w:pPr>
        <w:framePr w:w="949" w:wrap="around" w:vAnchor="margin" w:hAnchor="text" w:x="5821" w:y="1461"/>
        <w:widowControl w:val="0"/>
        <w:autoSpaceDE w:val="0"/>
        <w:autoSpaceDN w:val="0"/>
        <w:spacing w:before="0" w:after="0" w:line="211" w:lineRule="exact"/>
        <w:ind w:left="106" w:right="0"/>
        <w:jc w:val="left"/>
        <w:rPr>
          <w:rFonts w:ascii="GGHCMB+å®ä½"/>
          <w:color w:val="222222"/>
          <w:spacing w:val="0"/>
          <w:sz w:val="21"/>
        </w:rPr>
      </w:pPr>
      <w:r>
        <w:rPr>
          <w:rFonts w:ascii="GGHCMB+å®ä½"/>
          <w:color w:val="222222"/>
          <w:spacing w:val="0"/>
          <w:sz w:val="21"/>
        </w:rPr>
        <w:t>7.41%</w:t>
      </w:r>
    </w:p>
    <w:p>
      <w:pPr>
        <w:framePr w:w="949" w:wrap="around" w:vAnchor="margin" w:hAnchor="text" w:x="5821" w:y="1461"/>
        <w:widowControl w:val="0"/>
        <w:autoSpaceDE w:val="0"/>
        <w:autoSpaceDN w:val="0"/>
        <w:spacing w:before="0" w:after="0" w:line="1236" w:lineRule="exact"/>
        <w:ind w:left="106" w:right="0"/>
        <w:jc w:val="left"/>
        <w:rPr>
          <w:rFonts w:ascii="GGHCMB+å®ä½"/>
          <w:color w:val="222222"/>
          <w:spacing w:val="0"/>
          <w:sz w:val="21"/>
        </w:rPr>
      </w:pPr>
      <w:r>
        <w:rPr>
          <w:rFonts w:ascii="GGHCMB+å®ä½"/>
          <w:color w:val="222222"/>
          <w:spacing w:val="0"/>
          <w:sz w:val="21"/>
        </w:rPr>
        <w:t>2.00%</w:t>
      </w:r>
    </w:p>
    <w:p>
      <w:pPr>
        <w:framePr w:w="949" w:wrap="around" w:vAnchor="margin" w:hAnchor="text" w:x="5821"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-0.34%</w:t>
      </w:r>
    </w:p>
    <w:p>
      <w:pPr>
        <w:framePr w:w="949" w:wrap="around" w:vAnchor="margin" w:hAnchor="text" w:x="5821" w:y="1461"/>
        <w:widowControl w:val="0"/>
        <w:autoSpaceDE w:val="0"/>
        <w:autoSpaceDN w:val="0"/>
        <w:spacing w:before="0" w:after="0" w:line="1237" w:lineRule="exact"/>
        <w:ind w:left="106" w:right="0"/>
        <w:jc w:val="left"/>
        <w:rPr>
          <w:rFonts w:ascii="GGHCMB+å®ä½"/>
          <w:color w:val="222222"/>
          <w:spacing w:val="0"/>
          <w:sz w:val="21"/>
        </w:rPr>
      </w:pPr>
      <w:r>
        <w:rPr>
          <w:rFonts w:ascii="GGHCMB+å®ä½"/>
          <w:color w:val="222222"/>
          <w:spacing w:val="0"/>
          <w:sz w:val="21"/>
        </w:rPr>
        <w:t>8.85%</w:t>
      </w:r>
    </w:p>
    <w:p>
      <w:pPr>
        <w:framePr w:w="949" w:wrap="around" w:vAnchor="margin" w:hAnchor="text" w:x="5821" w:y="1461"/>
        <w:widowControl w:val="0"/>
        <w:autoSpaceDE w:val="0"/>
        <w:autoSpaceDN w:val="0"/>
        <w:spacing w:before="0" w:after="0" w:line="1234" w:lineRule="exact"/>
        <w:ind w:left="106" w:right="0"/>
        <w:jc w:val="left"/>
        <w:rPr>
          <w:rFonts w:ascii="GGHCMB+å®ä½"/>
          <w:color w:val="222222"/>
          <w:spacing w:val="0"/>
          <w:sz w:val="21"/>
        </w:rPr>
      </w:pPr>
      <w:r>
        <w:rPr>
          <w:rFonts w:ascii="GGHCMB+å®ä½"/>
          <w:color w:val="222222"/>
          <w:spacing w:val="0"/>
          <w:sz w:val="21"/>
        </w:rPr>
        <w:t>4.96%</w:t>
      </w:r>
    </w:p>
    <w:p>
      <w:pPr>
        <w:framePr w:w="949" w:wrap="around" w:vAnchor="margin" w:hAnchor="text" w:x="5821"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24.73%</w:t>
      </w:r>
    </w:p>
    <w:p>
      <w:pPr>
        <w:framePr w:w="843" w:wrap="around" w:vAnchor="margin" w:hAnchor="text" w:x="7146" w:y="1461"/>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0.08%</w:t>
      </w:r>
    </w:p>
    <w:p>
      <w:pPr>
        <w:framePr w:w="843" w:wrap="around" w:vAnchor="margin" w:hAnchor="text" w:x="7146"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0.09%</w:t>
      </w:r>
    </w:p>
    <w:p>
      <w:pPr>
        <w:framePr w:w="843" w:wrap="around" w:vAnchor="margin" w:hAnchor="text" w:x="7146"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0.06%</w:t>
      </w:r>
    </w:p>
    <w:p>
      <w:pPr>
        <w:framePr w:w="843" w:wrap="around" w:vAnchor="margin" w:hAnchor="text" w:x="7146" w:y="1461"/>
        <w:widowControl w:val="0"/>
        <w:autoSpaceDE w:val="0"/>
        <w:autoSpaceDN w:val="0"/>
        <w:spacing w:before="0" w:after="0" w:line="1237" w:lineRule="exact"/>
        <w:ind w:left="0" w:right="0"/>
        <w:jc w:val="left"/>
        <w:rPr>
          <w:rFonts w:ascii="GGHCMB+å®ä½"/>
          <w:color w:val="222222"/>
          <w:spacing w:val="0"/>
          <w:sz w:val="21"/>
        </w:rPr>
      </w:pPr>
      <w:r>
        <w:rPr>
          <w:rFonts w:ascii="GGHCMB+å®ä½"/>
          <w:color w:val="222222"/>
          <w:spacing w:val="0"/>
          <w:sz w:val="21"/>
        </w:rPr>
        <w:t>0.07%</w:t>
      </w:r>
    </w:p>
    <w:p>
      <w:pPr>
        <w:framePr w:w="843" w:wrap="around" w:vAnchor="margin" w:hAnchor="text" w:x="7146" w:y="1461"/>
        <w:widowControl w:val="0"/>
        <w:autoSpaceDE w:val="0"/>
        <w:autoSpaceDN w:val="0"/>
        <w:spacing w:before="0" w:after="0" w:line="1234" w:lineRule="exact"/>
        <w:ind w:left="0" w:right="0"/>
        <w:jc w:val="left"/>
        <w:rPr>
          <w:rFonts w:ascii="GGHCMB+å®ä½"/>
          <w:color w:val="222222"/>
          <w:spacing w:val="0"/>
          <w:sz w:val="21"/>
        </w:rPr>
      </w:pPr>
      <w:r>
        <w:rPr>
          <w:rFonts w:ascii="GGHCMB+å®ä½"/>
          <w:color w:val="222222"/>
          <w:spacing w:val="0"/>
          <w:sz w:val="21"/>
        </w:rPr>
        <w:t>0.05%</w:t>
      </w:r>
    </w:p>
    <w:p>
      <w:pPr>
        <w:framePr w:w="843" w:wrap="around" w:vAnchor="margin" w:hAnchor="text" w:x="7146"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0.07%</w:t>
      </w:r>
    </w:p>
    <w:p>
      <w:pPr>
        <w:framePr w:w="949" w:wrap="around" w:vAnchor="margin" w:hAnchor="text" w:x="8260" w:y="1461"/>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-1.39%</w:t>
      </w:r>
    </w:p>
    <w:p>
      <w:pPr>
        <w:framePr w:w="949" w:wrap="around" w:vAnchor="margin" w:hAnchor="text" w:x="8260"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-1.60%</w:t>
      </w:r>
    </w:p>
    <w:p>
      <w:pPr>
        <w:framePr w:w="949" w:wrap="around" w:vAnchor="margin" w:hAnchor="text" w:x="8260"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-2.36%</w:t>
      </w:r>
    </w:p>
    <w:p>
      <w:pPr>
        <w:framePr w:w="949" w:wrap="around" w:vAnchor="margin" w:hAnchor="text" w:x="8260" w:y="1461"/>
        <w:widowControl w:val="0"/>
        <w:autoSpaceDE w:val="0"/>
        <w:autoSpaceDN w:val="0"/>
        <w:spacing w:before="0" w:after="0" w:line="1237" w:lineRule="exact"/>
        <w:ind w:left="0" w:right="0"/>
        <w:jc w:val="left"/>
        <w:rPr>
          <w:rFonts w:ascii="GGHCMB+å®ä½"/>
          <w:color w:val="222222"/>
          <w:spacing w:val="0"/>
          <w:sz w:val="21"/>
        </w:rPr>
      </w:pPr>
      <w:r>
        <w:rPr>
          <w:rFonts w:ascii="GGHCMB+å®ä½"/>
          <w:color w:val="222222"/>
          <w:spacing w:val="0"/>
          <w:sz w:val="21"/>
        </w:rPr>
        <w:t>-4.30%</w:t>
      </w:r>
    </w:p>
    <w:p>
      <w:pPr>
        <w:framePr w:w="949" w:wrap="around" w:vAnchor="margin" w:hAnchor="text" w:x="8260" w:y="1461"/>
        <w:widowControl w:val="0"/>
        <w:autoSpaceDE w:val="0"/>
        <w:autoSpaceDN w:val="0"/>
        <w:spacing w:before="0" w:after="0" w:line="1234" w:lineRule="exact"/>
        <w:ind w:left="106" w:right="0"/>
        <w:jc w:val="left"/>
        <w:rPr>
          <w:rFonts w:ascii="GGHCMB+å®ä½"/>
          <w:color w:val="222222"/>
          <w:spacing w:val="0"/>
          <w:sz w:val="21"/>
        </w:rPr>
      </w:pPr>
      <w:r>
        <w:rPr>
          <w:rFonts w:ascii="GGHCMB+å®ä½"/>
          <w:color w:val="222222"/>
          <w:spacing w:val="0"/>
          <w:sz w:val="21"/>
        </w:rPr>
        <w:t>1.38%</w:t>
      </w:r>
    </w:p>
    <w:p>
      <w:pPr>
        <w:framePr w:w="843" w:wrap="around" w:vAnchor="margin" w:hAnchor="text" w:x="9583" w:y="1461"/>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0.24%</w:t>
      </w:r>
    </w:p>
    <w:p>
      <w:pPr>
        <w:framePr w:w="843" w:wrap="around" w:vAnchor="margin" w:hAnchor="text" w:x="9583"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0.05%</w:t>
      </w:r>
    </w:p>
    <w:p>
      <w:pPr>
        <w:framePr w:w="843" w:wrap="around" w:vAnchor="margin" w:hAnchor="text" w:x="9583"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0.07%</w:t>
      </w:r>
    </w:p>
    <w:p>
      <w:pPr>
        <w:framePr w:w="843" w:wrap="around" w:vAnchor="margin" w:hAnchor="text" w:x="9583" w:y="1461"/>
        <w:widowControl w:val="0"/>
        <w:autoSpaceDE w:val="0"/>
        <w:autoSpaceDN w:val="0"/>
        <w:spacing w:before="0" w:after="0" w:line="1237" w:lineRule="exact"/>
        <w:ind w:left="0" w:right="0"/>
        <w:jc w:val="left"/>
        <w:rPr>
          <w:rFonts w:ascii="GGHCMB+å®ä½"/>
          <w:color w:val="222222"/>
          <w:spacing w:val="0"/>
          <w:sz w:val="21"/>
        </w:rPr>
      </w:pPr>
      <w:r>
        <w:rPr>
          <w:rFonts w:ascii="GGHCMB+å®ä½"/>
          <w:color w:val="222222"/>
          <w:spacing w:val="0"/>
          <w:sz w:val="21"/>
        </w:rPr>
        <w:t>0.06%</w:t>
      </w:r>
    </w:p>
    <w:p>
      <w:pPr>
        <w:framePr w:w="843" w:wrap="around" w:vAnchor="margin" w:hAnchor="text" w:x="9583" w:y="1461"/>
        <w:widowControl w:val="0"/>
        <w:autoSpaceDE w:val="0"/>
        <w:autoSpaceDN w:val="0"/>
        <w:spacing w:before="0" w:after="0" w:line="1234" w:lineRule="exact"/>
        <w:ind w:left="0" w:right="0"/>
        <w:jc w:val="left"/>
        <w:rPr>
          <w:rFonts w:ascii="GGHCMB+å®ä½"/>
          <w:color w:val="222222"/>
          <w:spacing w:val="0"/>
          <w:sz w:val="21"/>
        </w:rPr>
      </w:pPr>
      <w:r>
        <w:rPr>
          <w:rFonts w:ascii="GGHCMB+å®ä½"/>
          <w:color w:val="222222"/>
          <w:spacing w:val="0"/>
          <w:sz w:val="21"/>
        </w:rPr>
        <w:t>0.04%</w:t>
      </w:r>
    </w:p>
    <w:p>
      <w:pPr>
        <w:framePr w:w="843" w:wrap="around" w:vAnchor="margin" w:hAnchor="text" w:x="9583" w:y="1461"/>
        <w:widowControl w:val="0"/>
        <w:autoSpaceDE w:val="0"/>
        <w:autoSpaceDN w:val="0"/>
        <w:spacing w:before="0" w:after="0" w:line="1236" w:lineRule="exact"/>
        <w:ind w:left="0" w:right="0"/>
        <w:jc w:val="left"/>
        <w:rPr>
          <w:rFonts w:ascii="GGHCMB+å®ä½"/>
          <w:color w:val="222222"/>
          <w:spacing w:val="0"/>
          <w:sz w:val="21"/>
        </w:rPr>
      </w:pPr>
      <w:r>
        <w:rPr>
          <w:rFonts w:ascii="GGHCMB+å®ä½"/>
          <w:color w:val="222222"/>
          <w:spacing w:val="0"/>
          <w:sz w:val="21"/>
        </w:rPr>
        <w:t>0.11%</w:t>
      </w:r>
    </w:p>
    <w:p>
      <w:pPr>
        <w:framePr w:w="1263" w:wrap="around" w:vAnchor="margin" w:hAnchor="text" w:x="1800" w:y="2697"/>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2016.1.1-</w:t>
      </w:r>
    </w:p>
    <w:p>
      <w:pPr>
        <w:framePr w:w="1263" w:wrap="around" w:vAnchor="margin" w:hAnchor="text" w:x="1800" w:y="2697"/>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2016.12.3</w:t>
      </w:r>
    </w:p>
    <w:p>
      <w:pPr>
        <w:framePr w:w="1263" w:wrap="around" w:vAnchor="margin" w:hAnchor="text" w:x="1800" w:y="2697"/>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1</w:t>
      </w:r>
    </w:p>
    <w:p>
      <w:pPr>
        <w:framePr w:w="1263" w:wrap="around" w:vAnchor="margin" w:hAnchor="text" w:x="1800" w:y="3933"/>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2017.1.1-</w:t>
      </w:r>
    </w:p>
    <w:p>
      <w:pPr>
        <w:framePr w:w="1263" w:wrap="around" w:vAnchor="margin" w:hAnchor="text" w:x="1800" w:y="3933"/>
        <w:widowControl w:val="0"/>
        <w:autoSpaceDE w:val="0"/>
        <w:autoSpaceDN w:val="0"/>
        <w:spacing w:before="0" w:after="0" w:line="409" w:lineRule="exact"/>
        <w:ind w:left="0" w:right="0"/>
        <w:jc w:val="left"/>
        <w:rPr>
          <w:rFonts w:ascii="GGHCMB+å®ä½"/>
          <w:color w:val="222222"/>
          <w:spacing w:val="0"/>
          <w:sz w:val="21"/>
        </w:rPr>
      </w:pPr>
      <w:r>
        <w:rPr>
          <w:rFonts w:ascii="GGHCMB+å®ä½"/>
          <w:color w:val="222222"/>
          <w:spacing w:val="0"/>
          <w:sz w:val="21"/>
        </w:rPr>
        <w:t>2017.12.3</w:t>
      </w:r>
    </w:p>
    <w:p>
      <w:pPr>
        <w:framePr w:w="1263" w:wrap="around" w:vAnchor="margin" w:hAnchor="text" w:x="1800" w:y="3933"/>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1</w:t>
      </w:r>
    </w:p>
    <w:p>
      <w:pPr>
        <w:framePr w:w="1263" w:wrap="around" w:vAnchor="margin" w:hAnchor="text" w:x="1800" w:y="5170"/>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2018.1.1-</w:t>
      </w:r>
    </w:p>
    <w:p>
      <w:pPr>
        <w:framePr w:w="1263" w:wrap="around" w:vAnchor="margin" w:hAnchor="text" w:x="1800" w:y="5170"/>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2018.12.3</w:t>
      </w:r>
    </w:p>
    <w:p>
      <w:pPr>
        <w:framePr w:w="1263" w:wrap="around" w:vAnchor="margin" w:hAnchor="text" w:x="1800" w:y="5170"/>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1</w:t>
      </w:r>
    </w:p>
    <w:p>
      <w:pPr>
        <w:framePr w:w="1263" w:wrap="around" w:vAnchor="margin" w:hAnchor="text" w:x="1800" w:y="6403"/>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2019.1.1-</w:t>
      </w:r>
    </w:p>
    <w:p>
      <w:pPr>
        <w:framePr w:w="1263" w:wrap="around" w:vAnchor="margin" w:hAnchor="text" w:x="1800" w:y="6403"/>
        <w:widowControl w:val="0"/>
        <w:autoSpaceDE w:val="0"/>
        <w:autoSpaceDN w:val="0"/>
        <w:spacing w:before="0" w:after="0" w:line="410" w:lineRule="exact"/>
        <w:ind w:left="0" w:right="0"/>
        <w:jc w:val="left"/>
        <w:rPr>
          <w:rFonts w:ascii="GGHCMB+å®ä½"/>
          <w:color w:val="222222"/>
          <w:spacing w:val="0"/>
          <w:sz w:val="21"/>
        </w:rPr>
      </w:pPr>
      <w:r>
        <w:rPr>
          <w:rFonts w:ascii="GGHCMB+å®ä½"/>
          <w:color w:val="222222"/>
          <w:spacing w:val="0"/>
          <w:sz w:val="21"/>
        </w:rPr>
        <w:t>2019.12.3</w:t>
      </w:r>
    </w:p>
    <w:p>
      <w:pPr>
        <w:framePr w:w="1263" w:wrap="around" w:vAnchor="margin" w:hAnchor="text" w:x="1800" w:y="6403"/>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1</w:t>
      </w:r>
    </w:p>
    <w:p>
      <w:pPr>
        <w:framePr w:w="1157" w:wrap="around" w:vAnchor="margin" w:hAnchor="text" w:x="1800" w:y="764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自基金成</w:t>
      </w:r>
    </w:p>
    <w:p>
      <w:pPr>
        <w:framePr w:w="1157" w:wrap="around" w:vAnchor="margin" w:hAnchor="text" w:x="1800" w:y="764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立起至今</w:t>
      </w:r>
    </w:p>
    <w:p>
      <w:pPr>
        <w:framePr w:w="949" w:wrap="around" w:vAnchor="margin" w:hAnchor="text" w:x="8260" w:y="7640"/>
        <w:widowControl w:val="0"/>
        <w:autoSpaceDE w:val="0"/>
        <w:autoSpaceDN w:val="0"/>
        <w:spacing w:before="0" w:after="0" w:line="211" w:lineRule="exact"/>
        <w:ind w:left="0" w:right="0"/>
        <w:jc w:val="left"/>
        <w:rPr>
          <w:rFonts w:ascii="GGHCMB+å®ä½"/>
          <w:color w:val="222222"/>
          <w:spacing w:val="0"/>
          <w:sz w:val="21"/>
        </w:rPr>
      </w:pPr>
      <w:r>
        <w:rPr>
          <w:rFonts w:ascii="GGHCMB+å®ä½"/>
          <w:color w:val="222222"/>
          <w:spacing w:val="0"/>
          <w:sz w:val="21"/>
        </w:rPr>
        <w:t>-9.58%</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134</w:t>
      </w:r>
    </w:p>
    <w:p>
      <w:pPr>
        <w:spacing w:before="0" w:after="0" w:line="0" w:lineRule="exact"/>
        <w:ind w:left="0" w:right="0"/>
        <w:jc w:val="left"/>
        <w:rPr>
          <w:rFonts w:ascii="Arial"/>
          <w:color w:val="FF0000"/>
          <w:spacing w:val="0"/>
          <w:sz w:val="2"/>
        </w:rPr>
      </w:pPr>
      <w:r>
        <w:pict>
          <v:shape id="_x0000294" o:spid="_x0000_s132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51" o:title=""/>
            <o:lock v:ext="edit" aspectratio="t"/>
          </v:shape>
        </w:pict>
      </w:r>
      <w:r>
        <w:pict>
          <v:shape id="_x0000295" o:spid="_x0000_s1321" o:spt="75" type="#_x0000_t75" style="position:absolute;left:0pt;margin-left:84.4pt;margin-top:71.1pt;height:371.25pt;width:426.7pt;mso-position-horizontal-relative:page;mso-position-vertical-relative:page;z-index:-2048;mso-width-relative:page;mso-height-relative:page;" filled="f" coordsize="21600,21600">
            <v:path/>
            <v:fill on="f" focussize="0,0"/>
            <v:stroke/>
            <v:imagedata r:id="rId25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530" w:wrap="around" w:vAnchor="margin" w:hAnchor="text" w:x="4899"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10</w:t>
      </w:r>
      <w:r>
        <w:rPr>
          <w:rFonts w:ascii="SKJVQB+å®ä½" w:hAnsi="SKJVQB+å®ä½" w:cs="SKJVQB+å®ä½"/>
          <w:color w:val="222222"/>
          <w:spacing w:val="0"/>
          <w:sz w:val="28"/>
        </w:rPr>
        <w:t>基金的财产</w:t>
      </w:r>
    </w:p>
    <w:p>
      <w:pPr>
        <w:framePr w:w="1998"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一、基金资产总值</w:t>
      </w:r>
    </w:p>
    <w:p>
      <w:pPr>
        <w:framePr w:w="9553" w:wrap="around" w:vAnchor="margin" w:hAnchor="text" w:x="1800" w:y="276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基金资产总值是指购买的各类证券及票据价值、银行存款本息和基金应收的申购基金</w:t>
      </w:r>
    </w:p>
    <w:p>
      <w:pPr>
        <w:framePr w:w="9553" w:wrap="around" w:vAnchor="margin" w:hAnchor="text" w:x="1800" w:y="276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款以及其他投资所形成的价值总和。</w:t>
      </w:r>
    </w:p>
    <w:p>
      <w:pPr>
        <w:framePr w:w="1998" w:wrap="around" w:vAnchor="margin" w:hAnchor="text" w:x="2220" w:y="399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二、基金资产净值</w:t>
      </w:r>
    </w:p>
    <w:p>
      <w:pPr>
        <w:framePr w:w="6045" w:wrap="around" w:vAnchor="margin" w:hAnchor="text" w:x="2220" w:y="439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基金资产净值是指基金资产总值减去基金负债后的价值。</w:t>
      </w:r>
    </w:p>
    <w:p>
      <w:pPr>
        <w:framePr w:w="2209" w:wrap="around" w:vAnchor="margin" w:hAnchor="text" w:x="2220" w:y="521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三、基金财产的账户</w:t>
      </w:r>
    </w:p>
    <w:p>
      <w:pPr>
        <w:framePr w:w="9553" w:wrap="around" w:vAnchor="margin" w:hAnchor="text" w:x="1800" w:y="562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基金托管人根据相关法律法规、规范性文件为本基金开立资金账户、证券账户以及投</w:t>
      </w:r>
    </w:p>
    <w:p>
      <w:pPr>
        <w:framePr w:w="9553" w:wrap="around" w:vAnchor="margin" w:hAnchor="text" w:x="1800" w:y="562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资所需的其他专用账户。开立的基金专用账户与基金管理人、基金托管人、基金销售机构</w:t>
      </w:r>
    </w:p>
    <w:p>
      <w:pPr>
        <w:framePr w:w="9553" w:wrap="around" w:vAnchor="margin" w:hAnchor="text" w:x="1800" w:y="56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和基金登记机构自有的财产账户以及其他基金财产账户相独立。</w:t>
      </w:r>
    </w:p>
    <w:p>
      <w:pPr>
        <w:framePr w:w="2901" w:wrap="around" w:vAnchor="margin" w:hAnchor="text" w:x="2220" w:y="725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四、基金财产的保管和处分</w:t>
      </w:r>
    </w:p>
    <w:p>
      <w:pPr>
        <w:framePr w:w="9553" w:wrap="around" w:vAnchor="margin" w:hAnchor="text" w:x="1800" w:y="766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本基金财产独立于基金管理人、基金托管人和基金销售机构的财产，并由基金托管人</w:t>
      </w:r>
    </w:p>
    <w:p>
      <w:pPr>
        <w:framePr w:w="9553" w:wrap="around" w:vAnchor="margin" w:hAnchor="text" w:x="1800" w:y="766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保管。基金管理人、基金托管人、基金登记机构和基金销售机构以其自有的财产承担其自</w:t>
      </w:r>
    </w:p>
    <w:p>
      <w:pPr>
        <w:framePr w:w="9553" w:wrap="around" w:vAnchor="margin" w:hAnchor="text" w:x="1800" w:y="766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身的法律责任，其债权人不得对本基金财产行使请求冻结、扣押或其他权利。除依法律法</w:t>
      </w:r>
    </w:p>
    <w:p>
      <w:pPr>
        <w:framePr w:w="9553" w:wrap="around" w:vAnchor="margin" w:hAnchor="text" w:x="1800" w:y="766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规和《基金合同》的规定处分外，基金财产不得被处分。</w:t>
      </w:r>
    </w:p>
    <w:p>
      <w:pPr>
        <w:framePr w:w="9553" w:wrap="around" w:vAnchor="margin" w:hAnchor="text" w:x="1800" w:y="930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基金管理人、基金托管人因依法解散、被依法撤销或者被依法宣告破产等原因进行清</w:t>
      </w:r>
    </w:p>
    <w:p>
      <w:pPr>
        <w:framePr w:w="9553" w:wrap="around" w:vAnchor="margin" w:hAnchor="text" w:x="1800" w:y="930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算的，基金财产不属于其清算财产。基金管理人管理运作基金财产所产生的债权，不得与</w:t>
      </w:r>
    </w:p>
    <w:p>
      <w:pPr>
        <w:framePr w:w="9553" w:wrap="around" w:vAnchor="margin" w:hAnchor="text" w:x="1800" w:y="930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其固有资产产生的债务相互抵销；基金管理人管理运作不同基金的基金财产所产生的债权</w:t>
      </w:r>
    </w:p>
    <w:p>
      <w:pPr>
        <w:framePr w:w="9553" w:wrap="around" w:vAnchor="margin" w:hAnchor="text" w:x="1800" w:y="930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债务不得相互抵销。非因基金财产本身承担的债务，不得对基金财产强制执行。</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135</w:t>
      </w:r>
    </w:p>
    <w:p>
      <w:pPr>
        <w:spacing w:before="0" w:after="0" w:line="0" w:lineRule="exact"/>
        <w:ind w:left="0" w:right="0"/>
        <w:jc w:val="left"/>
        <w:rPr>
          <w:rFonts w:ascii="Arial"/>
          <w:color w:val="FF0000"/>
          <w:spacing w:val="0"/>
          <w:sz w:val="2"/>
        </w:rPr>
      </w:pPr>
      <w:r>
        <w:pict>
          <v:shape id="_x0000296" o:spid="_x0000_s132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53" o:title=""/>
            <o:lock v:ext="edit" aspectratio="t"/>
          </v:shape>
        </w:pict>
      </w:r>
      <w:r>
        <w:pict>
          <v:shape id="_x0000297" o:spid="_x0000_s1323" o:spt="75" type="#_x0000_t75" style="position:absolute;left:0pt;margin-left:88.6pt;margin-top:71.1pt;height:474.2pt;width:418.3pt;mso-position-horizontal-relative:page;mso-position-vertical-relative:page;z-index:-2048;mso-width-relative:page;mso-height-relative:page;" filled="f" coordsize="21600,21600">
            <v:path/>
            <v:fill on="f" focussize="0,0"/>
            <v:stroke/>
            <v:imagedata r:id="rId25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811" w:wrap="around" w:vAnchor="margin" w:hAnchor="text" w:x="4758"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11</w:t>
      </w:r>
      <w:r>
        <w:rPr>
          <w:rFonts w:ascii="SKJVQB+å®ä½" w:hAnsi="SKJVQB+å®ä½" w:cs="SKJVQB+å®ä½"/>
          <w:color w:val="222222"/>
          <w:spacing w:val="0"/>
          <w:sz w:val="28"/>
        </w:rPr>
        <w:t>基金资产估值</w:t>
      </w:r>
    </w:p>
    <w:p>
      <w:pPr>
        <w:framePr w:w="1369"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一、估值日</w:t>
      </w:r>
    </w:p>
    <w:p>
      <w:pPr>
        <w:framePr w:w="9553" w:wrap="around" w:vAnchor="margin" w:hAnchor="text" w:x="1800" w:y="276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本基金的估值日为本基金相关的证券交易场所的交易日以及国家法律法规规定需要对</w:t>
      </w:r>
    </w:p>
    <w:p>
      <w:pPr>
        <w:framePr w:w="9553" w:wrap="around" w:vAnchor="margin" w:hAnchor="text" w:x="1800" w:y="276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外披露基金净值的非交易日。</w:t>
      </w:r>
    </w:p>
    <w:p>
      <w:pPr>
        <w:framePr w:w="1578" w:wrap="around" w:vAnchor="margin" w:hAnchor="text" w:x="2220" w:y="3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二、估值对象</w:t>
      </w:r>
    </w:p>
    <w:p>
      <w:pPr>
        <w:framePr w:w="9547" w:wrap="around" w:vAnchor="margin" w:hAnchor="text" w:x="1800" w:y="399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基金所拥有的股票、权证、债券、期货合约和银行存款本息、应收款项、其他投资等</w:t>
      </w:r>
    </w:p>
    <w:p>
      <w:pPr>
        <w:framePr w:w="9547" w:wrap="around" w:vAnchor="margin" w:hAnchor="text" w:x="1800" w:y="399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资产及负债。</w:t>
      </w:r>
    </w:p>
    <w:p>
      <w:pPr>
        <w:framePr w:w="1578" w:wrap="around" w:vAnchor="margin" w:hAnchor="text" w:x="2220" w:y="48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三、估值方法</w:t>
      </w:r>
    </w:p>
    <w:p>
      <w:pPr>
        <w:framePr w:w="3989" w:wrap="around" w:vAnchor="margin" w:hAnchor="text" w:x="2220" w:y="521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、证券交易所上市的有价证券的估值</w:t>
      </w:r>
    </w:p>
    <w:p>
      <w:pPr>
        <w:framePr w:w="9560" w:wrap="around" w:vAnchor="margin" w:hAnchor="text" w:x="1800" w:y="562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）交易所上市的有价证券（包括股票、权证等），以其估值日在证券交易所挂牌的</w:t>
      </w:r>
    </w:p>
    <w:p>
      <w:pPr>
        <w:framePr w:w="9560" w:wrap="around" w:vAnchor="margin" w:hAnchor="text" w:x="1800" w:y="562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市价（收盘价）估值；估值日无交易的，且最近交易日后经济环境未发生重大变化或证券发</w:t>
      </w:r>
    </w:p>
    <w:p>
      <w:pPr>
        <w:framePr w:w="9560" w:wrap="around" w:vAnchor="margin" w:hAnchor="text" w:x="1800" w:y="56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行机构未发生影响证券价格的重大事件的，以最近交易日的市价（收盘价）估值；如最近交</w:t>
      </w:r>
    </w:p>
    <w:p>
      <w:pPr>
        <w:framePr w:w="9560" w:wrap="around" w:vAnchor="margin" w:hAnchor="text" w:x="1800" w:y="56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易日后经济环境发生了重大变化或证券发行机构发生影响证券价格的重大事件的，可参考</w:t>
      </w:r>
    </w:p>
    <w:p>
      <w:pPr>
        <w:framePr w:w="9560" w:wrap="around" w:vAnchor="margin" w:hAnchor="text" w:x="1800" w:y="56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类似投资品种的现行市价及重大变化因素，调整最近交易市价，确定公允价格；</w:t>
      </w:r>
    </w:p>
    <w:p>
      <w:pPr>
        <w:framePr w:w="9560" w:wrap="around" w:vAnchor="margin" w:hAnchor="text" w:x="1800" w:y="5623"/>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）交易所上市实行净价交易的债券按估值日收盘价估值，估值日没有交易的，且最</w:t>
      </w:r>
    </w:p>
    <w:p>
      <w:pPr>
        <w:framePr w:w="9560" w:wrap="around" w:vAnchor="margin" w:hAnchor="text" w:x="1800" w:y="562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近交易日后经济环境未发生重大变化，按最近交易日的收盘价估值。如最近交易日后经济</w:t>
      </w:r>
    </w:p>
    <w:p>
      <w:pPr>
        <w:framePr w:w="9560" w:wrap="around" w:vAnchor="margin" w:hAnchor="text" w:x="1800" w:y="56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环境发生了重大变化的，可参考类似投资品种的现行市价及重大变化因素，调整最近交易</w:t>
      </w:r>
    </w:p>
    <w:p>
      <w:pPr>
        <w:framePr w:w="9560" w:wrap="around" w:vAnchor="margin" w:hAnchor="text" w:x="1800" w:y="562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市价，确定公允价格；</w:t>
      </w:r>
    </w:p>
    <w:p>
      <w:pPr>
        <w:framePr w:w="9556" w:wrap="around" w:vAnchor="margin" w:hAnchor="text" w:x="1800" w:y="930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）交易所上市未实行净价交易的债券按估值日收盘价减去债券收盘价中所含的债券</w:t>
      </w:r>
    </w:p>
    <w:p>
      <w:pPr>
        <w:framePr w:w="9556" w:wrap="around" w:vAnchor="margin" w:hAnchor="text" w:x="1800" w:y="930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应收利息得到的净价进行估值；估值日没有交易的，且最近交易日后经济环境未发生重大</w:t>
      </w:r>
    </w:p>
    <w:p>
      <w:pPr>
        <w:framePr w:w="9556" w:wrap="around" w:vAnchor="margin" w:hAnchor="text" w:x="1800" w:y="930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变化，按最近交易日债券收盘价减去债券收盘价中所含的债券应收利息得到的净价进行估</w:t>
      </w:r>
    </w:p>
    <w:p>
      <w:pPr>
        <w:framePr w:w="9556" w:wrap="around" w:vAnchor="margin" w:hAnchor="text" w:x="1800" w:y="930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值。如最近交易日后经济环境发生了重大变化的，可参考类似投资品种的现行市价及重大</w:t>
      </w:r>
    </w:p>
    <w:p>
      <w:pPr>
        <w:framePr w:w="9556" w:wrap="around" w:vAnchor="margin" w:hAnchor="text" w:x="1800" w:y="930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变化因素，调整最近交易市价，确定公允价格；</w:t>
      </w:r>
    </w:p>
    <w:p>
      <w:pPr>
        <w:framePr w:w="9556" w:wrap="around" w:vAnchor="margin" w:hAnchor="text" w:x="1800" w:y="1134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）交易所上市不存在活跃市场的有价证券，采用估值技术确定公允价值。交易所上</w:t>
      </w:r>
    </w:p>
    <w:p>
      <w:pPr>
        <w:framePr w:w="9556" w:wrap="around" w:vAnchor="margin" w:hAnchor="text" w:x="1800" w:y="1134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市的资产支持证券，采用估值技术确定公允价值，在估值技术难以可靠计量公允价值的情</w:t>
      </w:r>
    </w:p>
    <w:p>
      <w:pPr>
        <w:framePr w:w="9556" w:wrap="around" w:vAnchor="margin" w:hAnchor="text" w:x="1800" w:y="1134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况下，按成本估值。</w:t>
      </w:r>
    </w:p>
    <w:p>
      <w:pPr>
        <w:framePr w:w="5678" w:wrap="around" w:vAnchor="margin" w:hAnchor="text" w:x="2220" w:y="1257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、处于未上市期间的有价证券应区分如下情况处理：</w:t>
      </w:r>
    </w:p>
    <w:p>
      <w:pPr>
        <w:framePr w:w="9557" w:wrap="around" w:vAnchor="margin" w:hAnchor="text" w:x="1800" w:y="129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）送股、转增股、配股和公开增发的股票，按估值日在证券交易所挂牌的同一股票</w:t>
      </w:r>
    </w:p>
    <w:p>
      <w:pPr>
        <w:framePr w:w="9557" w:wrap="around" w:vAnchor="margin" w:hAnchor="text" w:x="1800" w:y="129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的估值方法估值；该日无交易的，以最近一日的市价（收盘价）估值；</w:t>
      </w:r>
    </w:p>
    <w:p>
      <w:pPr>
        <w:framePr w:w="9557" w:wrap="around" w:vAnchor="margin" w:hAnchor="text" w:x="1800" w:y="12978"/>
        <w:widowControl w:val="0"/>
        <w:autoSpaceDE w:val="0"/>
        <w:autoSpaceDN w:val="0"/>
        <w:spacing w:before="0" w:after="0" w:line="4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）首次公开发行未上市的股票、债券和权证，采用估值技术确定公允价值，在估值</w:t>
      </w:r>
    </w:p>
    <w:p>
      <w:pPr>
        <w:framePr w:w="9557" w:wrap="around" w:vAnchor="margin" w:hAnchor="text" w:x="1800" w:y="129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技术难以可靠计量公允价值的情况下，按成本估值；</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136</w:t>
      </w:r>
    </w:p>
    <w:p>
      <w:pPr>
        <w:spacing w:before="0" w:after="0" w:line="0" w:lineRule="exact"/>
        <w:ind w:left="0" w:right="0"/>
        <w:jc w:val="left"/>
        <w:rPr>
          <w:rFonts w:ascii="Arial"/>
          <w:color w:val="FF0000"/>
          <w:spacing w:val="0"/>
          <w:sz w:val="2"/>
        </w:rPr>
      </w:pPr>
      <w:r>
        <w:pict>
          <v:shape id="_x0000298" o:spid="_x0000_s132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55" o:title=""/>
            <o:lock v:ext="edit" aspectratio="t"/>
          </v:shape>
        </w:pict>
      </w:r>
      <w:r>
        <w:pict>
          <v:shape id="_x0000299" o:spid="_x0000_s1325" o:spt="75" type="#_x0000_t75" style="position:absolute;left:0pt;margin-left:88.6pt;margin-top:71.1pt;height:658.1pt;width:418.3pt;mso-position-horizontal-relative:page;mso-position-vertical-relative:page;z-index:-2048;mso-width-relative:page;mso-height-relative:page;" filled="f" coordsize="21600,21600">
            <v:path/>
            <v:fill on="f" focussize="0,0"/>
            <v:stroke/>
            <v:imagedata r:id="rId25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6"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）首次公开发行有明确锁定期的股票，同一股票在交易所上市后，按交易所上市的</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同一股票的估值方法估值；非公开发行有明确锁定期的股票，按监管机构或行业协会有关</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规定确定公允价值。</w:t>
      </w:r>
    </w:p>
    <w:p>
      <w:pPr>
        <w:framePr w:w="9556"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、全国银行间债券市场交易的债券、资产支持证券等固定收益品种，采用估值技术确</w:t>
      </w:r>
    </w:p>
    <w:p>
      <w:pPr>
        <w:framePr w:w="9556"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定公允价值。</w:t>
      </w:r>
    </w:p>
    <w:p>
      <w:pPr>
        <w:framePr w:w="9556"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、同一债券同时在两个或两个以上市场交易的，按债券所处的市场分别估值。</w:t>
      </w:r>
    </w:p>
    <w:p>
      <w:pPr>
        <w:framePr w:w="9556" w:wrap="around" w:vAnchor="margin" w:hAnchor="text" w:x="1800" w:y="349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、本基金投资期货合约，按估值当日结算价进行估值，估值当日无结算价的，且最近</w:t>
      </w:r>
    </w:p>
    <w:p>
      <w:pPr>
        <w:framePr w:w="9556"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交易日后经济环境未发生重大变化的，采用最近交易日结算价估值。</w:t>
      </w:r>
    </w:p>
    <w:p>
      <w:pPr>
        <w:framePr w:w="9556" w:wrap="around" w:vAnchor="margin" w:hAnchor="text" w:x="1800" w:y="3494"/>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、中小企业私募债，采用估值技术确定公允价值，在估值技术难以可靠计量公允价值</w:t>
      </w:r>
    </w:p>
    <w:p>
      <w:pPr>
        <w:framePr w:w="9556"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的情况下，按成本估值。</w:t>
      </w:r>
    </w:p>
    <w:p>
      <w:pPr>
        <w:framePr w:w="9556"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、如有确凿证据表明按上述方法进行估值不能客观反映其公允价值的，基金管理人可</w:t>
      </w:r>
    </w:p>
    <w:p>
      <w:pPr>
        <w:framePr w:w="9556"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根据具体情况与基金托管人商定后，按最能反映公允价值的价格估值。</w:t>
      </w:r>
    </w:p>
    <w:p>
      <w:pPr>
        <w:framePr w:w="9556" w:wrap="around" w:vAnchor="margin" w:hAnchor="text" w:x="1800" w:y="5537"/>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、相关法律法规以及监管部门有强制规定的，从其规定。如有新增事项，按国家最新</w:t>
      </w:r>
    </w:p>
    <w:p>
      <w:pPr>
        <w:framePr w:w="9556"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规定估值。</w:t>
      </w:r>
    </w:p>
    <w:p>
      <w:pPr>
        <w:framePr w:w="9554"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如基金管理人或基金托管人发现基金估值违反基金合同订明的估值方法、程序及相关</w:t>
      </w:r>
    </w:p>
    <w:p>
      <w:pPr>
        <w:framePr w:w="9554"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法律法规的规定或者未能充分维护基金份额持有人利益时，应立即通知对方，共同查明原</w:t>
      </w:r>
    </w:p>
    <w:p>
      <w:pPr>
        <w:framePr w:w="9554"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因，双方协商解决。</w:t>
      </w:r>
    </w:p>
    <w:p>
      <w:pPr>
        <w:framePr w:w="9553"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根据有关法律法规，基金资产净值计算和基金会计核算的义务由基金管理人承担。本</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基金的基金会计责任方由基金管理人担任，因此，就与本基金有关的会计问题，如经相关</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各方在平等基础上充分讨论后，仍无法达成一致的意见，按照基金管理人对基金资产净值</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的计算结果对外予以公布。</w:t>
      </w:r>
    </w:p>
    <w:p>
      <w:pPr>
        <w:framePr w:w="1578"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四、估值程序</w:t>
      </w:r>
    </w:p>
    <w:p>
      <w:pPr>
        <w:framePr w:w="9556"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、基金份额净值是按照每个工作日闭市后，基金资产净值除以当日基金份额的余额数</w:t>
      </w:r>
    </w:p>
    <w:p>
      <w:pPr>
        <w:framePr w:w="9556" w:wrap="around" w:vAnchor="margin" w:hAnchor="text" w:x="1800" w:y="104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量计算，精确到</w:t>
      </w:r>
      <w:r>
        <w:rPr>
          <w:rFonts w:ascii="GGHCMB+å®ä½"/>
          <w:color w:val="222222"/>
          <w:spacing w:val="0"/>
          <w:sz w:val="21"/>
        </w:rPr>
        <w:t>0.001</w:t>
      </w:r>
      <w:r>
        <w:rPr>
          <w:rFonts w:ascii="SKJVQB+å®ä½" w:hAnsi="SKJVQB+å®ä½" w:cs="SKJVQB+å®ä½"/>
          <w:color w:val="222222"/>
          <w:spacing w:val="0"/>
          <w:sz w:val="21"/>
        </w:rPr>
        <w:t>元，小数点后第</w:t>
      </w:r>
      <w:r>
        <w:rPr>
          <w:rFonts w:ascii="GGHCMB+å®ä½"/>
          <w:color w:val="222222"/>
          <w:spacing w:val="0"/>
          <w:sz w:val="21"/>
        </w:rPr>
        <w:t>4</w:t>
      </w:r>
      <w:r>
        <w:rPr>
          <w:rFonts w:ascii="SKJVQB+å®ä½" w:hAnsi="SKJVQB+å®ä½" w:cs="SKJVQB+å®ä½"/>
          <w:color w:val="222222"/>
          <w:spacing w:val="0"/>
          <w:sz w:val="21"/>
        </w:rPr>
        <w:t>位四舍五入。国家另有规定的，从其规定。</w:t>
      </w:r>
    </w:p>
    <w:p>
      <w:pPr>
        <w:framePr w:w="9556" w:wrap="around" w:vAnchor="margin" w:hAnchor="text" w:x="1800" w:y="1044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基金管理人应每个工作日计算基金资产净值及基金份额净值，并按规定披露。</w:t>
      </w:r>
    </w:p>
    <w:p>
      <w:pPr>
        <w:framePr w:w="9556" w:wrap="around" w:vAnchor="margin" w:hAnchor="text" w:x="1800" w:y="1044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、基金管理人应每个工作日对基金资产估值。但基金管理人根据法律法规或本基金合</w:t>
      </w:r>
    </w:p>
    <w:p>
      <w:pPr>
        <w:framePr w:w="9556" w:wrap="around" w:vAnchor="margin" w:hAnchor="text" w:x="1800" w:y="1044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同的规定暂停估值时除外。基金管理人每个工作日对基金资产估值后，将基金份额净值结</w:t>
      </w:r>
    </w:p>
    <w:p>
      <w:pPr>
        <w:framePr w:w="9556"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果发送基金托管人，经基金托管人复核无误后，由基金管理人对外公布。</w:t>
      </w:r>
    </w:p>
    <w:p>
      <w:pPr>
        <w:framePr w:w="9556" w:wrap="around" w:vAnchor="margin" w:hAnchor="text" w:x="1800" w:y="1044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五、估值错误的处理</w:t>
      </w:r>
    </w:p>
    <w:p>
      <w:pPr>
        <w:framePr w:w="9798"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基金管理人和基金托管人将采取必要、适当、合理的措施确保基金资产估值的准确性、</w:t>
      </w:r>
    </w:p>
    <w:p>
      <w:pPr>
        <w:framePr w:w="9798"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及时性。当基金份额净值小数点后</w:t>
      </w:r>
      <w:r>
        <w:rPr>
          <w:rFonts w:ascii="GGHCMB+å®ä½"/>
          <w:color w:val="222222"/>
          <w:spacing w:val="0"/>
          <w:sz w:val="21"/>
        </w:rPr>
        <w:t>3</w:t>
      </w:r>
      <w:r>
        <w:rPr>
          <w:rFonts w:ascii="SKJVQB+å®ä½" w:hAnsi="SKJVQB+å®ä½" w:cs="SKJVQB+å®ä½"/>
          <w:color w:val="222222"/>
          <w:spacing w:val="0"/>
          <w:sz w:val="21"/>
        </w:rPr>
        <w:t xml:space="preserve">位以内  </w:t>
      </w:r>
      <w:r>
        <w:rPr>
          <w:rFonts w:ascii="GGHCMB+å®ä½"/>
          <w:color w:val="222222"/>
          <w:spacing w:val="0"/>
          <w:sz w:val="21"/>
        </w:rPr>
        <w:t>(</w:t>
      </w:r>
      <w:r>
        <w:rPr>
          <w:rFonts w:ascii="SKJVQB+å®ä½" w:hAnsi="SKJVQB+å®ä½" w:cs="SKJVQB+å®ä½"/>
          <w:color w:val="222222"/>
          <w:spacing w:val="0"/>
          <w:sz w:val="21"/>
        </w:rPr>
        <w:t>含第</w:t>
      </w:r>
      <w:r>
        <w:rPr>
          <w:rFonts w:ascii="GGHCMB+å®ä½"/>
          <w:color w:val="222222"/>
          <w:spacing w:val="0"/>
          <w:sz w:val="21"/>
        </w:rPr>
        <w:t>3</w:t>
      </w:r>
      <w:r>
        <w:rPr>
          <w:rFonts w:ascii="SKJVQB+å®ä½" w:hAnsi="SKJVQB+å®ä½" w:cs="SKJVQB+å®ä½"/>
          <w:color w:val="222222"/>
          <w:spacing w:val="0"/>
          <w:sz w:val="21"/>
        </w:rPr>
        <w:t>位</w:t>
      </w:r>
      <w:r>
        <w:rPr>
          <w:rFonts w:ascii="GGHCMB+å®ä½"/>
          <w:color w:val="222222"/>
          <w:spacing w:val="0"/>
          <w:sz w:val="21"/>
        </w:rPr>
        <w:t>)</w:t>
      </w:r>
      <w:r>
        <w:rPr>
          <w:rFonts w:ascii="SKJVQB+å®ä½" w:hAnsi="SKJVQB+å®ä½" w:cs="SKJVQB+å®ä½"/>
          <w:color w:val="222222"/>
          <w:spacing w:val="0"/>
          <w:sz w:val="21"/>
        </w:rPr>
        <w:t>发生估值错误时，视为基金份额净</w:t>
      </w:r>
    </w:p>
    <w:p>
      <w:pPr>
        <w:framePr w:w="9798" w:wrap="around" w:vAnchor="margin" w:hAnchor="text" w:x="1800" w:y="1330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值错误。</w:t>
      </w:r>
    </w:p>
    <w:p>
      <w:pPr>
        <w:framePr w:w="4593" w:wrap="around" w:vAnchor="margin" w:hAnchor="text" w:x="2220" w:y="1452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本基金合同的当事人应按照以下约定处理：</w:t>
      </w:r>
    </w:p>
    <w:p>
      <w:pPr>
        <w:framePr w:w="1892"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、估值错误类型</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137</w:t>
      </w:r>
    </w:p>
    <w:p>
      <w:pPr>
        <w:spacing w:before="0" w:after="0" w:line="0" w:lineRule="exact"/>
        <w:ind w:left="0" w:right="0"/>
        <w:jc w:val="left"/>
        <w:rPr>
          <w:rFonts w:ascii="Arial"/>
          <w:color w:val="FF0000"/>
          <w:spacing w:val="0"/>
          <w:sz w:val="2"/>
        </w:rPr>
      </w:pPr>
      <w:r>
        <w:pict>
          <v:shape id="_x0000300" o:spid="_x0000_s132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01" o:spid="_x0000_s1327"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本基金运作过程中，如果由于基金管理人或基金托管人、或登记机构、或销售机构、</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或投资人自身的过错造成估值错误，导致其他当事人遭受损失的，过错的责任人应当对由</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于该估值错误遭受损失当事人</w:t>
      </w:r>
      <w:r>
        <w:rPr>
          <w:rFonts w:ascii="GGHCMB+å®ä½"/>
          <w:color w:val="222222"/>
          <w:spacing w:val="0"/>
          <w:sz w:val="21"/>
        </w:rPr>
        <w:t>(</w:t>
      </w:r>
      <w:r>
        <w:rPr>
          <w:rFonts w:ascii="SKJVQB+å®ä½" w:hAnsi="SKJVQB+å®ä½" w:cs="SKJVQB+å®ä½"/>
          <w:color w:val="222222"/>
          <w:spacing w:val="0"/>
          <w:sz w:val="21"/>
        </w:rPr>
        <w:t>“受损方”</w:t>
      </w:r>
      <w:r>
        <w:rPr>
          <w:rFonts w:ascii="GGHCMB+å®ä½"/>
          <w:color w:val="222222"/>
          <w:spacing w:val="0"/>
          <w:sz w:val="21"/>
        </w:rPr>
        <w:t>)</w:t>
      </w:r>
      <w:r>
        <w:rPr>
          <w:rFonts w:ascii="SKJVQB+å®ä½" w:hAnsi="SKJVQB+å®ä½" w:cs="SKJVQB+å®ä½"/>
          <w:color w:val="222222"/>
          <w:spacing w:val="0"/>
          <w:sz w:val="21"/>
        </w:rPr>
        <w:t>的直接损失按下述“估值错误处理原则”给予</w:t>
      </w:r>
    </w:p>
    <w:p>
      <w:pPr>
        <w:framePr w:w="9553"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赔偿，承担赔偿责任。</w:t>
      </w:r>
    </w:p>
    <w:p>
      <w:pPr>
        <w:framePr w:w="9553"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上述估值错误的主要类型包括但不限于：资料申报差错、数据传输差错、数据计算差</w:t>
      </w:r>
    </w:p>
    <w:p>
      <w:pPr>
        <w:framePr w:w="9553"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错、系统故障差错、下达指令差错等。对于因技术原因引起的差错，若系同行业现有技术</w:t>
      </w:r>
    </w:p>
    <w:p>
      <w:pPr>
        <w:framePr w:w="9553"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水平不能预见、不能避免、不能克服，则属不可抗力，按照下述规定执行。</w:t>
      </w:r>
    </w:p>
    <w:p>
      <w:pPr>
        <w:framePr w:w="9553" w:wrap="around" w:vAnchor="margin" w:hAnchor="text" w:x="1800" w:y="3086"/>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由于不可抗力原因造成投资人的交易资料灭失或被错误处理或造成其他差错，因不可</w:t>
      </w:r>
    </w:p>
    <w:p>
      <w:pPr>
        <w:framePr w:w="9553" w:wrap="around" w:vAnchor="margin" w:hAnchor="text" w:x="1800" w:y="3086"/>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抗力原因出现差错的当事人不对其他当事人承担赔偿责任，但因该差错取得不当得利的当</w:t>
      </w:r>
    </w:p>
    <w:p>
      <w:pPr>
        <w:framePr w:w="9553"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事人仍应负有返还不当得利的义务。</w:t>
      </w:r>
    </w:p>
    <w:p>
      <w:pPr>
        <w:framePr w:w="2312" w:wrap="around" w:vAnchor="margin" w:hAnchor="text" w:x="2220" w:y="553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、估值错误处理原则</w:t>
      </w:r>
    </w:p>
    <w:p>
      <w:pPr>
        <w:framePr w:w="9799" w:wrap="around" w:vAnchor="margin" w:hAnchor="text" w:x="1800" w:y="59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）估值错误已发生，但尚未给当事人造成损失时，估值错误责任方应及时协调各方，</w:t>
      </w:r>
    </w:p>
    <w:p>
      <w:pPr>
        <w:framePr w:w="9799"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及时进行更正，因更正估值错误发生的费用由估值错误责任方承担；由于估值错误责任方</w:t>
      </w:r>
    </w:p>
    <w:p>
      <w:pPr>
        <w:framePr w:w="979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未及时更正已产生的估值错误，给当事人造成损失的，由估值错误责任方对直接损失承担</w:t>
      </w:r>
    </w:p>
    <w:p>
      <w:pPr>
        <w:framePr w:w="979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赔偿责任；若估值错误责任方已经积极协调，并且有协助义务的当事人有足够的时间进行</w:t>
      </w:r>
    </w:p>
    <w:p>
      <w:pPr>
        <w:framePr w:w="979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更正而未更正，则其应当承担相应赔偿责任。估值错误责任方应对更正的情况向有关当事</w:t>
      </w:r>
    </w:p>
    <w:p>
      <w:pPr>
        <w:framePr w:w="979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人进行确认，确保估值错误已得到更正。</w:t>
      </w:r>
    </w:p>
    <w:p>
      <w:pPr>
        <w:framePr w:w="9556"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）估值错误的责任方对有关当事人的直接损失负责，不对间接损失负责，并且仅对</w:t>
      </w:r>
    </w:p>
    <w:p>
      <w:pPr>
        <w:framePr w:w="9556"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估值错误的有关直接当事人负责，不对第三方负责。</w:t>
      </w:r>
    </w:p>
    <w:p>
      <w:pPr>
        <w:framePr w:w="9556" w:wrap="around" w:vAnchor="margin" w:hAnchor="text" w:x="1800" w:y="921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）因估值错误而获得不当得利的当事人负有及时返还不当得利的义务。但估值错误</w:t>
      </w:r>
    </w:p>
    <w:p>
      <w:pPr>
        <w:framePr w:w="9556"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责任方仍应对估值错误负责。如果由于获得不当得利的当事人不返还或不全部返还不当得</w:t>
      </w:r>
    </w:p>
    <w:p>
      <w:pPr>
        <w:framePr w:w="9556" w:wrap="around" w:vAnchor="margin" w:hAnchor="text" w:x="1800" w:y="921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利造成其他当事人的利益损失</w:t>
      </w:r>
      <w:r>
        <w:rPr>
          <w:rFonts w:ascii="GGHCMB+å®ä½"/>
          <w:color w:val="222222"/>
          <w:spacing w:val="0"/>
          <w:sz w:val="21"/>
        </w:rPr>
        <w:t>(</w:t>
      </w:r>
      <w:r>
        <w:rPr>
          <w:rFonts w:ascii="SKJVQB+å®ä½" w:hAnsi="SKJVQB+å®ä½" w:cs="SKJVQB+å®ä½"/>
          <w:color w:val="222222"/>
          <w:spacing w:val="0"/>
          <w:sz w:val="21"/>
        </w:rPr>
        <w:t>“受损方”</w:t>
      </w:r>
      <w:r>
        <w:rPr>
          <w:rFonts w:ascii="GGHCMB+å®ä½"/>
          <w:color w:val="222222"/>
          <w:spacing w:val="0"/>
          <w:sz w:val="21"/>
        </w:rPr>
        <w:t>)</w:t>
      </w:r>
      <w:r>
        <w:rPr>
          <w:rFonts w:ascii="SKJVQB+å®ä½" w:hAnsi="SKJVQB+å®ä½" w:cs="SKJVQB+å®ä½"/>
          <w:color w:val="222222"/>
          <w:spacing w:val="0"/>
          <w:sz w:val="21"/>
        </w:rPr>
        <w:t>，则估值错误责任方应赔偿受损方的损失，并</w:t>
      </w:r>
    </w:p>
    <w:p>
      <w:pPr>
        <w:framePr w:w="9556"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在其支付的赔偿金额的范围内对获得不当得利的当事人享有要求交付不当得利的权利；如</w:t>
      </w:r>
    </w:p>
    <w:p>
      <w:pPr>
        <w:framePr w:w="9556" w:wrap="around" w:vAnchor="margin" w:hAnchor="text" w:x="1800" w:y="921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果获得不当得利的当事人已经将此部分不当得利返还给受损方，则受损方应当将其已经获</w:t>
      </w:r>
    </w:p>
    <w:p>
      <w:pPr>
        <w:framePr w:w="9556"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得的赔偿额加上已经获得的不当得利返还的总和超过其实际损失的差额部分支付给估值错</w:t>
      </w:r>
    </w:p>
    <w:p>
      <w:pPr>
        <w:framePr w:w="9556"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误责任方。</w:t>
      </w:r>
    </w:p>
    <w:p>
      <w:pPr>
        <w:framePr w:w="8096" w:wrap="around" w:vAnchor="margin" w:hAnchor="text" w:x="2220" w:y="1207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）估值错误调整采用尽量恢复至假设未发生估值错误的正确情形的方式。</w:t>
      </w:r>
    </w:p>
    <w:p>
      <w:pPr>
        <w:framePr w:w="8096" w:wrap="around" w:vAnchor="margin" w:hAnchor="text" w:x="222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、估值错误处理程序</w:t>
      </w:r>
    </w:p>
    <w:p>
      <w:pPr>
        <w:framePr w:w="9556" w:wrap="around" w:vAnchor="margin" w:hAnchor="text" w:x="1800" w:y="1289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估值错误被发现后，有关的当事人应当及时进行处理，处理的程序如下：</w:t>
      </w:r>
    </w:p>
    <w:p>
      <w:pPr>
        <w:framePr w:w="9556" w:wrap="around" w:vAnchor="margin" w:hAnchor="text" w:x="1800" w:y="1289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）查明估值错误发生的原因，列明所有的当事人，并根据估值错误发生的原因确定</w:t>
      </w:r>
    </w:p>
    <w:p>
      <w:pPr>
        <w:framePr w:w="9556"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估值错误的责任方；</w:t>
      </w:r>
    </w:p>
    <w:p>
      <w:pPr>
        <w:framePr w:w="9556" w:wrap="around" w:vAnchor="margin" w:hAnchor="text" w:x="1800" w:y="1411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）根据估值错误处理原则或当事人协商的方法对因估值错误造成的损失进行评估；</w:t>
      </w:r>
    </w:p>
    <w:p>
      <w:pPr>
        <w:framePr w:w="9556" w:wrap="around" w:vAnchor="margin" w:hAnchor="text" w:x="1800" w:y="1411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）根据估值错误处理原则或当事人协商的方法由估值错误的责任方进行更正和赔偿</w:t>
      </w:r>
    </w:p>
    <w:p>
      <w:pPr>
        <w:framePr w:w="9556"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损失；</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138</w:t>
      </w:r>
    </w:p>
    <w:p>
      <w:pPr>
        <w:spacing w:before="0" w:after="0" w:line="0" w:lineRule="exact"/>
        <w:ind w:left="0" w:right="0"/>
        <w:jc w:val="left"/>
        <w:rPr>
          <w:rFonts w:ascii="Arial"/>
          <w:color w:val="FF0000"/>
          <w:spacing w:val="0"/>
          <w:sz w:val="2"/>
        </w:rPr>
      </w:pPr>
      <w:r>
        <w:pict>
          <v:shape id="_x0000302" o:spid="_x0000_s132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03" o:spid="_x0000_s1329"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6"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）根据估值错误处理的方法，需要修改基金登记机构交易数据的，由基金登记机构</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进行更正，并就估值错误的更正向有关当事人进行确认。</w:t>
      </w:r>
    </w:p>
    <w:p>
      <w:pPr>
        <w:framePr w:w="4712" w:wrap="around" w:vAnchor="margin" w:hAnchor="text" w:x="2220" w:y="226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、基金份额净值估值错误处理的方法如下：</w:t>
      </w:r>
    </w:p>
    <w:p>
      <w:pPr>
        <w:framePr w:w="9799"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）基金份额净值计算出现错误时，基金管理人应当立即予以纠正，通报基金托管人，</w:t>
      </w:r>
    </w:p>
    <w:p>
      <w:pPr>
        <w:framePr w:w="979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并采取合理的措施防止损失进一步扩大。</w:t>
      </w:r>
    </w:p>
    <w:p>
      <w:pPr>
        <w:framePr w:w="9557"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 xml:space="preserve">）错误偏差达到基金份额净值的 </w:t>
      </w:r>
      <w:r>
        <w:rPr>
          <w:rFonts w:ascii="GGHCMB+å®ä½"/>
          <w:color w:val="222222"/>
          <w:spacing w:val="0"/>
          <w:sz w:val="21"/>
        </w:rPr>
        <w:t>0.25%</w:t>
      </w:r>
      <w:r>
        <w:rPr>
          <w:rFonts w:ascii="SKJVQB+å®ä½" w:hAnsi="SKJVQB+å®ä½" w:cs="SKJVQB+å®ä½"/>
          <w:color w:val="222222"/>
          <w:spacing w:val="0"/>
          <w:sz w:val="21"/>
        </w:rPr>
        <w:t>时，基金管理人应当通报基金托管人并报中</w:t>
      </w:r>
    </w:p>
    <w:p>
      <w:pPr>
        <w:framePr w:w="9557"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国证监会备案；错误偏差达到基金份额净值的</w:t>
      </w:r>
      <w:r>
        <w:rPr>
          <w:rFonts w:ascii="GGHCMB+å®ä½"/>
          <w:color w:val="222222"/>
          <w:spacing w:val="0"/>
          <w:sz w:val="21"/>
        </w:rPr>
        <w:t>0.5%</w:t>
      </w:r>
      <w:r>
        <w:rPr>
          <w:rFonts w:ascii="SKJVQB+å®ä½" w:hAnsi="SKJVQB+å®ä½" w:cs="SKJVQB+å®ä½"/>
          <w:color w:val="222222"/>
          <w:spacing w:val="0"/>
          <w:sz w:val="21"/>
        </w:rPr>
        <w:t>时，基金管理人应当公告。</w:t>
      </w:r>
    </w:p>
    <w:p>
      <w:pPr>
        <w:framePr w:w="9557" w:wrap="around" w:vAnchor="margin" w:hAnchor="text" w:x="1800" w:y="3494"/>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）前述内容如法律法规或监管机关另有规定的，从其规定处理。</w:t>
      </w:r>
    </w:p>
    <w:p>
      <w:pPr>
        <w:framePr w:w="9557" w:wrap="around" w:vAnchor="margin" w:hAnchor="text" w:x="1800" w:y="3494"/>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六、暂停估值的情形</w:t>
      </w:r>
    </w:p>
    <w:p>
      <w:pPr>
        <w:framePr w:w="9557"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、基金投资所涉及的证券、期货交易市场遇法定节假日或因其他原因暂停营业时；</w:t>
      </w:r>
    </w:p>
    <w:p>
      <w:pPr>
        <w:framePr w:w="9557"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、因不可抗力致使基金管理人、基金托管人无法准确评估基金资产价值时；</w:t>
      </w:r>
    </w:p>
    <w:p>
      <w:pPr>
        <w:framePr w:w="9557"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 xml:space="preserve">、当前一估值日基金资产净值 </w:t>
      </w:r>
      <w:r>
        <w:rPr>
          <w:rFonts w:ascii="GGHCMB+å®ä½"/>
          <w:color w:val="222222"/>
          <w:spacing w:val="0"/>
          <w:sz w:val="21"/>
        </w:rPr>
        <w:t>50%</w:t>
      </w:r>
      <w:r>
        <w:rPr>
          <w:rFonts w:ascii="SKJVQB+å®ä½" w:hAnsi="SKJVQB+å®ä½" w:cs="SKJVQB+å®ä½"/>
          <w:color w:val="222222"/>
          <w:spacing w:val="0"/>
          <w:sz w:val="21"/>
        </w:rPr>
        <w:t>以上的资产出现无可参考的活跃市场价格且采用估</w:t>
      </w:r>
    </w:p>
    <w:p>
      <w:pPr>
        <w:framePr w:w="9557" w:wrap="around" w:vAnchor="margin" w:hAnchor="text" w:x="1800" w:y="512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值技术仍导致公允价值存在重大不确定性时，经与基金托管人协商一致的，基金应当暂停</w:t>
      </w:r>
    </w:p>
    <w:p>
      <w:pPr>
        <w:framePr w:w="9557"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估值；</w:t>
      </w:r>
    </w:p>
    <w:p>
      <w:pPr>
        <w:framePr w:w="4712" w:wrap="around" w:vAnchor="margin" w:hAnchor="text" w:x="2220" w:y="717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、中国证监会和基金合同认定的其他情形。</w:t>
      </w:r>
    </w:p>
    <w:p>
      <w:pPr>
        <w:framePr w:w="2209"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七、基金净值的确认</w:t>
      </w:r>
    </w:p>
    <w:p>
      <w:pPr>
        <w:framePr w:w="9786"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用于基金信息披露的基金资产净值和基金份额净值由基金管理人负责计算，基金托管</w:t>
      </w:r>
    </w:p>
    <w:p>
      <w:pPr>
        <w:framePr w:w="9786"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人负责进行复核。基金管理人应于每个开放日交易结束后计算当日的基金资产净值和基金</w:t>
      </w:r>
    </w:p>
    <w:p>
      <w:pPr>
        <w:framePr w:w="9786"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份额净值并发送给基金托管人。基金托管人对净值计算结果复核确认后发送给基金管理人，</w:t>
      </w:r>
    </w:p>
    <w:p>
      <w:pPr>
        <w:framePr w:w="9786"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由基金管理人对基金净值按规定公布。</w:t>
      </w:r>
    </w:p>
    <w:p>
      <w:pPr>
        <w:framePr w:w="2209" w:wrap="around" w:vAnchor="margin" w:hAnchor="text" w:x="2220" w:y="96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八、特殊情况的处理</w:t>
      </w:r>
    </w:p>
    <w:p>
      <w:pPr>
        <w:framePr w:w="9557"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、基金管理人或基金托管人按估值方法的第</w:t>
      </w:r>
      <w:r>
        <w:rPr>
          <w:rFonts w:ascii="GGHCMB+å®ä½"/>
          <w:color w:val="222222"/>
          <w:spacing w:val="0"/>
          <w:sz w:val="21"/>
        </w:rPr>
        <w:t>7</w:t>
      </w:r>
      <w:r>
        <w:rPr>
          <w:rFonts w:ascii="SKJVQB+å®ä½" w:hAnsi="SKJVQB+å®ä½" w:cs="SKJVQB+å®ä½"/>
          <w:color w:val="222222"/>
          <w:spacing w:val="0"/>
          <w:sz w:val="21"/>
        </w:rPr>
        <w:t>项进行估值时，所造成的误差不作为基</w:t>
      </w:r>
    </w:p>
    <w:p>
      <w:pPr>
        <w:framePr w:w="9557"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金资产估值错误处理。</w:t>
      </w:r>
    </w:p>
    <w:p>
      <w:pPr>
        <w:framePr w:w="9556" w:wrap="around" w:vAnchor="margin" w:hAnchor="text" w:x="1800" w:y="1084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、由于不可抗力原因，或由于证券交易所、期货交易所及登记结算公司发送的数据错</w:t>
      </w:r>
    </w:p>
    <w:p>
      <w:pPr>
        <w:framePr w:w="9556"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误等，基金管理人和基金托管人虽然已经采取必要、适当、合理的措施进行检查，但未能</w:t>
      </w:r>
    </w:p>
    <w:p>
      <w:pPr>
        <w:framePr w:w="9556"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发现错误的，由此造成的基金资产估值错误，基金管理人和基金托管人免除赔偿责任。但</w:t>
      </w:r>
    </w:p>
    <w:p>
      <w:pPr>
        <w:framePr w:w="9556" w:wrap="around" w:vAnchor="margin" w:hAnchor="text" w:x="1800" w:y="1084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基金管理人、基金托管人应当积极采取必要的措施减轻或消除由此造成的影响。</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139</w:t>
      </w:r>
    </w:p>
    <w:p>
      <w:pPr>
        <w:spacing w:before="0" w:after="0" w:line="0" w:lineRule="exact"/>
        <w:ind w:left="0" w:right="0"/>
        <w:jc w:val="left"/>
        <w:rPr>
          <w:rFonts w:ascii="Arial"/>
          <w:color w:val="FF0000"/>
          <w:spacing w:val="0"/>
          <w:sz w:val="2"/>
        </w:rPr>
      </w:pPr>
      <w:r>
        <w:pict>
          <v:shape id="_x0000304" o:spid="_x0000_s133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7" o:title=""/>
            <o:lock v:ext="edit" aspectratio="t"/>
          </v:shape>
        </w:pict>
      </w:r>
      <w:r>
        <w:pict>
          <v:shape id="_x0000305" o:spid="_x0000_s1331" o:spt="75" type="#_x0000_t75" style="position:absolute;left:0pt;margin-left:88.6pt;margin-top:71.1pt;height:551.6pt;width:418.3pt;mso-position-horizontal-relative:page;mso-position-vertical-relative:page;z-index:-2048;mso-width-relative:page;mso-height-relative:page;" filled="f" coordsize="21600,21600">
            <v:path/>
            <v:fill on="f" focussize="0,0"/>
            <v:stroke/>
            <v:imagedata r:id="rId25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395" w:wrap="around" w:vAnchor="margin" w:hAnchor="text" w:x="4477"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12</w:t>
      </w:r>
      <w:r>
        <w:rPr>
          <w:rFonts w:ascii="SKJVQB+å®ä½" w:hAnsi="SKJVQB+å®ä½" w:cs="SKJVQB+å®ä½"/>
          <w:color w:val="222222"/>
          <w:spacing w:val="0"/>
          <w:sz w:val="28"/>
        </w:rPr>
        <w:t>基金的收益与分配</w:t>
      </w:r>
    </w:p>
    <w:p>
      <w:pPr>
        <w:framePr w:w="2209"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一、基金利润的构成</w:t>
      </w:r>
    </w:p>
    <w:p>
      <w:pPr>
        <w:framePr w:w="9553" w:wrap="around" w:vAnchor="margin" w:hAnchor="text" w:x="1800" w:y="276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基金利润指基金利息收入、投资收益、公允价值变动收益和其他收入扣除相关费用后</w:t>
      </w:r>
    </w:p>
    <w:p>
      <w:pPr>
        <w:framePr w:w="9553" w:wrap="around" w:vAnchor="margin" w:hAnchor="text" w:x="1800" w:y="276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的余额，基金已实现收益指基金利润减去公允价值变动收益后的余额。</w:t>
      </w:r>
    </w:p>
    <w:p>
      <w:pPr>
        <w:framePr w:w="2418" w:wrap="around" w:vAnchor="margin" w:hAnchor="text" w:x="2220" w:y="399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二、基金可供分配利润</w:t>
      </w:r>
    </w:p>
    <w:p>
      <w:pPr>
        <w:framePr w:w="9553" w:wrap="around" w:vAnchor="margin" w:hAnchor="text" w:x="1800" w:y="439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基金可供分配利润指截至收益分配基准日基金未分配利润与未分配利润中已实现收益</w:t>
      </w:r>
    </w:p>
    <w:p>
      <w:pPr>
        <w:framePr w:w="9553" w:wrap="around" w:vAnchor="margin" w:hAnchor="text" w:x="1800" w:y="439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的孰低数。</w:t>
      </w:r>
    </w:p>
    <w:p>
      <w:pPr>
        <w:framePr w:w="2418" w:wrap="around" w:vAnchor="margin" w:hAnchor="text" w:x="2220" w:y="562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三、基金收益分配原则</w:t>
      </w:r>
    </w:p>
    <w:p>
      <w:pPr>
        <w:framePr w:w="9557" w:wrap="around" w:vAnchor="margin" w:hAnchor="text" w:x="1800" w:y="603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 xml:space="preserve">、在符合有关基金分红条件的前提下，本基金每年收益分配次数最多为 </w:t>
      </w:r>
      <w:r>
        <w:rPr>
          <w:rFonts w:ascii="GGHCMB+å®ä½"/>
          <w:color w:val="222222"/>
          <w:spacing w:val="0"/>
          <w:sz w:val="21"/>
        </w:rPr>
        <w:t>12</w:t>
      </w:r>
      <w:r>
        <w:rPr>
          <w:rFonts w:ascii="SKJVQB+å®ä½" w:hAnsi="SKJVQB+å®ä½" w:cs="SKJVQB+å®ä½"/>
          <w:color w:val="222222"/>
          <w:spacing w:val="0"/>
          <w:sz w:val="21"/>
        </w:rPr>
        <w:t>次，每份</w:t>
      </w:r>
    </w:p>
    <w:p>
      <w:pPr>
        <w:framePr w:w="9557" w:wrap="around" w:vAnchor="margin" w:hAnchor="text" w:x="1800" w:y="60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基金份额每次基金收益分配比例不得低于基金收益分配基准日每份基金份额可供分配利润</w:t>
      </w:r>
    </w:p>
    <w:p>
      <w:pPr>
        <w:framePr w:w="9557" w:wrap="around" w:vAnchor="margin" w:hAnchor="text" w:x="1800" w:y="60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10%</w:t>
      </w:r>
      <w:r>
        <w:rPr>
          <w:rFonts w:ascii="SKJVQB+å®ä½" w:hAnsi="SKJVQB+å®ä½" w:cs="SKJVQB+å®ä½"/>
          <w:color w:val="222222"/>
          <w:spacing w:val="0"/>
          <w:sz w:val="21"/>
        </w:rPr>
        <w:t>，若《基金合同》生效不满</w:t>
      </w:r>
      <w:r>
        <w:rPr>
          <w:rFonts w:ascii="GGHCMB+å®ä½"/>
          <w:color w:val="222222"/>
          <w:spacing w:val="0"/>
          <w:sz w:val="21"/>
        </w:rPr>
        <w:t>3</w:t>
      </w:r>
      <w:r>
        <w:rPr>
          <w:rFonts w:ascii="SKJVQB+å®ä½" w:hAnsi="SKJVQB+å®ä½" w:cs="SKJVQB+å®ä½"/>
          <w:color w:val="222222"/>
          <w:spacing w:val="0"/>
          <w:sz w:val="21"/>
        </w:rPr>
        <w:t>个月可不进行收益分配；</w:t>
      </w:r>
    </w:p>
    <w:p>
      <w:pPr>
        <w:framePr w:w="9557" w:wrap="around" w:vAnchor="margin" w:hAnchor="text" w:x="1800" w:y="603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、本基金收益分配方式分两种：现金分红与红利再投资，投资人可选择现金红利或将</w:t>
      </w:r>
    </w:p>
    <w:p>
      <w:pPr>
        <w:framePr w:w="9557" w:wrap="around" w:vAnchor="margin" w:hAnchor="text" w:x="1800" w:y="60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现金红利自动转为基金份额进行再投资；若投资人不选择，本基金默认的收益分配方式是</w:t>
      </w:r>
    </w:p>
    <w:p>
      <w:pPr>
        <w:framePr w:w="9557" w:wrap="around" w:vAnchor="margin" w:hAnchor="text" w:x="1800" w:y="603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现金分红；</w:t>
      </w:r>
    </w:p>
    <w:p>
      <w:pPr>
        <w:framePr w:w="9557" w:wrap="around" w:vAnchor="margin" w:hAnchor="text" w:x="1800" w:y="848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、基金收益分配后基金份额净值不能低于面值；即基金收益分配基准日的基金份额净</w:t>
      </w:r>
    </w:p>
    <w:p>
      <w:pPr>
        <w:framePr w:w="9557" w:wrap="around" w:vAnchor="margin" w:hAnchor="text" w:x="1800" w:y="848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值减去每单位基金份额收益分配金额后不能低于面值；</w:t>
      </w:r>
    </w:p>
    <w:p>
      <w:pPr>
        <w:framePr w:w="4955" w:wrap="around" w:vAnchor="margin" w:hAnchor="text" w:x="2220" w:y="930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、同一类别的每份基金份额享有同等分配权；</w:t>
      </w:r>
    </w:p>
    <w:p>
      <w:pPr>
        <w:framePr w:w="5195" w:wrap="around" w:vAnchor="margin" w:hAnchor="text" w:x="2220" w:y="971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、法律法规或监管机关另有规定的，从其规定。</w:t>
      </w:r>
    </w:p>
    <w:p>
      <w:pPr>
        <w:framePr w:w="9553" w:wrap="around" w:vAnchor="margin" w:hAnchor="text" w:x="1800" w:y="1011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在对基金份额持有人利益无实质不利影响的前提下，基金管理人、登记机构可对基金</w:t>
      </w:r>
    </w:p>
    <w:p>
      <w:pPr>
        <w:framePr w:w="9553" w:wrap="around" w:vAnchor="margin" w:hAnchor="text" w:x="1800" w:y="10119"/>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收益分配原则进行调整，不需召开基金份额持有人大会。</w:t>
      </w:r>
    </w:p>
    <w:p>
      <w:pPr>
        <w:framePr w:w="1998" w:wrap="around" w:vAnchor="margin" w:hAnchor="text" w:x="2220" w:y="1134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四、收益分配方案</w:t>
      </w:r>
    </w:p>
    <w:p>
      <w:pPr>
        <w:framePr w:w="9798" w:wrap="around" w:vAnchor="margin" w:hAnchor="text" w:x="1800" w:y="1175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基金收益分配方案中应载明截止收益分配基准日的可供分配利润、基金收益分配对象、</w:t>
      </w:r>
    </w:p>
    <w:p>
      <w:pPr>
        <w:framePr w:w="9798" w:wrap="around" w:vAnchor="margin" w:hAnchor="text" w:x="1800" w:y="1175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分配时间、分配数额及比例、分配方式等内容。</w:t>
      </w:r>
    </w:p>
    <w:p>
      <w:pPr>
        <w:framePr w:w="4110" w:wrap="around" w:vAnchor="margin" w:hAnchor="text" w:x="2220" w:y="129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五、收益分配方案的确定、公告与实施</w:t>
      </w:r>
    </w:p>
    <w:p>
      <w:pPr>
        <w:framePr w:w="9074" w:wrap="around" w:vAnchor="margin" w:hAnchor="text" w:x="2220" w:y="133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本基金收益分配方案由基金管理人拟定，并由基金托管人复核，在 </w:t>
      </w:r>
      <w:r>
        <w:rPr>
          <w:rFonts w:ascii="GGHCMB+å®ä½"/>
          <w:color w:val="222222"/>
          <w:spacing w:val="0"/>
          <w:sz w:val="21"/>
        </w:rPr>
        <w:t>2</w:t>
      </w:r>
      <w:r>
        <w:rPr>
          <w:rFonts w:ascii="SKJVQB+å®ä½" w:hAnsi="SKJVQB+å®ä½" w:cs="SKJVQB+å®ä½"/>
          <w:color w:val="222222"/>
          <w:spacing w:val="0"/>
          <w:sz w:val="21"/>
        </w:rPr>
        <w:t>日内在指定媒介</w:t>
      </w:r>
    </w:p>
    <w:p>
      <w:pPr>
        <w:framePr w:w="949" w:wrap="around" w:vAnchor="margin" w:hAnchor="text" w:x="1800" w:y="1379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公告。</w:t>
      </w:r>
    </w:p>
    <w:p>
      <w:pPr>
        <w:framePr w:w="9070" w:wrap="around" w:vAnchor="margin" w:hAnchor="text" w:x="2220" w:y="1420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基金红利发放日距离收益分配基准日（即可供分配利润计算截止日）的时间不得超过</w:t>
      </w:r>
    </w:p>
    <w:p>
      <w:pPr>
        <w:framePr w:w="1630" w:wrap="around" w:vAnchor="margin" w:hAnchor="text" w:x="1800" w:y="146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个工作日。</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140</w:t>
      </w:r>
    </w:p>
    <w:p>
      <w:pPr>
        <w:spacing w:before="0" w:after="0" w:line="0" w:lineRule="exact"/>
        <w:ind w:left="0" w:right="0"/>
        <w:jc w:val="left"/>
        <w:rPr>
          <w:rFonts w:ascii="Arial"/>
          <w:color w:val="FF0000"/>
          <w:spacing w:val="0"/>
          <w:sz w:val="2"/>
        </w:rPr>
      </w:pPr>
      <w:r>
        <w:pict>
          <v:shape id="_x0000306" o:spid="_x0000_s133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1" o:title=""/>
            <o:lock v:ext="edit" aspectratio="t"/>
          </v:shape>
        </w:pict>
      </w:r>
      <w:r>
        <w:pict>
          <v:shape id="_x0000307" o:spid="_x0000_s1333" o:spt="75" type="#_x0000_t75" style="position:absolute;left:0pt;margin-left:88.6pt;margin-top:71.1pt;height:699pt;width:418.3pt;mso-position-horizontal-relative:page;mso-position-vertical-relative:page;z-index:-2048;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387"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六、基金收益分配中发生的费用</w:t>
      </w:r>
    </w:p>
    <w:p>
      <w:pPr>
        <w:framePr w:w="9553" w:wrap="around" w:vAnchor="margin" w:hAnchor="text" w:x="1800" w:y="186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基金收益分配时所发生的银行转账或其他手续费用由投资人自行承担。当投资人的现</w:t>
      </w:r>
    </w:p>
    <w:p>
      <w:pPr>
        <w:framePr w:w="9553"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金红利小于一定金额，不足以支付银行转账或其他手续费用时，基金登记机构可将基金份</w:t>
      </w:r>
    </w:p>
    <w:p>
      <w:pPr>
        <w:framePr w:w="9553" w:wrap="around" w:vAnchor="margin" w:hAnchor="text" w:x="1800" w:y="186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额持有人的现金红利自动转为基金份额。红利再投资的计算方法，依照登记机构相关业务</w:t>
      </w:r>
    </w:p>
    <w:p>
      <w:pPr>
        <w:framePr w:w="9553"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规则执行。</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141</w:t>
      </w:r>
    </w:p>
    <w:p>
      <w:pPr>
        <w:spacing w:before="0" w:after="0" w:line="0" w:lineRule="exact"/>
        <w:ind w:left="0" w:right="0"/>
        <w:jc w:val="left"/>
        <w:rPr>
          <w:rFonts w:ascii="Arial"/>
          <w:color w:val="FF0000"/>
          <w:spacing w:val="0"/>
          <w:sz w:val="2"/>
        </w:rPr>
      </w:pPr>
      <w:r>
        <w:pict>
          <v:shape id="_x0000308" o:spid="_x0000_s133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58" o:title=""/>
            <o:lock v:ext="edit" aspectratio="t"/>
          </v:shape>
        </w:pict>
      </w:r>
      <w:r>
        <w:pict>
          <v:shape id="_x0000309" o:spid="_x0000_s1335" o:spt="75" type="#_x0000_t75" style="position:absolute;left:0pt;margin-left:88.6pt;margin-top:71.1pt;height:102.15pt;width:418.3pt;mso-position-horizontal-relative:page;mso-position-vertical-relative:page;z-index:-2048;mso-width-relative:page;mso-height-relative:page;" filled="f" coordsize="21600,21600">
            <v:path/>
            <v:fill on="f" focussize="0,0"/>
            <v:stroke/>
            <v:imagedata r:id="rId1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395" w:wrap="around" w:vAnchor="margin" w:hAnchor="text" w:x="4477"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13</w:t>
      </w:r>
      <w:r>
        <w:rPr>
          <w:rFonts w:ascii="SKJVQB+å®ä½" w:hAnsi="SKJVQB+å®ä½" w:cs="SKJVQB+å®ä½"/>
          <w:color w:val="222222"/>
          <w:spacing w:val="0"/>
          <w:sz w:val="28"/>
        </w:rPr>
        <w:t>基金的费用与税收</w:t>
      </w:r>
    </w:p>
    <w:p>
      <w:pPr>
        <w:framePr w:w="2209"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一、基金费用的种类</w:t>
      </w:r>
    </w:p>
    <w:p>
      <w:pPr>
        <w:framePr w:w="2780" w:wrap="around" w:vAnchor="margin" w:hAnchor="text" w:x="2220" w:y="276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、基金管理人的管理费；</w:t>
      </w:r>
    </w:p>
    <w:p>
      <w:pPr>
        <w:framePr w:w="2780" w:wrap="around" w:vAnchor="margin" w:hAnchor="text" w:x="2220" w:y="317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、基金托管人的托管费；</w:t>
      </w:r>
    </w:p>
    <w:p>
      <w:pPr>
        <w:framePr w:w="8096" w:wrap="around" w:vAnchor="margin" w:hAnchor="text" w:x="2220" w:y="3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w:t>
      </w:r>
      <w:r>
        <w:rPr>
          <w:rFonts w:ascii="GGHCMB+å®ä½"/>
          <w:color w:val="222222"/>
          <w:spacing w:val="0"/>
          <w:sz w:val="21"/>
        </w:rPr>
        <w:t>C</w:t>
      </w:r>
      <w:r>
        <w:rPr>
          <w:rFonts w:ascii="SKJVQB+å®ä½" w:hAnsi="SKJVQB+å®ä½" w:cs="SKJVQB+å®ä½"/>
          <w:color w:val="222222"/>
          <w:spacing w:val="0"/>
          <w:sz w:val="21"/>
        </w:rPr>
        <w:t>类基金份额的基金财产中计提的销售服务费</w:t>
      </w:r>
    </w:p>
    <w:p>
      <w:pPr>
        <w:framePr w:w="8096" w:wrap="around" w:vAnchor="margin" w:hAnchor="text" w:x="2220" w:y="3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、《基金合同》生效后与基金相关的信息披露费用；</w:t>
      </w:r>
    </w:p>
    <w:p>
      <w:pPr>
        <w:framePr w:w="8096" w:wrap="around" w:vAnchor="margin" w:hAnchor="text" w:x="2220" w:y="3580"/>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、《基金合同》生效后与基金相关的会计师费、律师费、诉讼费和仲裁费；</w:t>
      </w:r>
    </w:p>
    <w:p>
      <w:pPr>
        <w:framePr w:w="8096" w:wrap="around" w:vAnchor="margin" w:hAnchor="text" w:x="2220" w:y="3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、基金份额持有人大会费用；</w:t>
      </w:r>
    </w:p>
    <w:p>
      <w:pPr>
        <w:framePr w:w="3506" w:wrap="around" w:vAnchor="margin" w:hAnchor="text" w:x="2220" w:y="521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、基金的证券、期货交易费用；</w:t>
      </w:r>
    </w:p>
    <w:p>
      <w:pPr>
        <w:framePr w:w="2780" w:wrap="around" w:vAnchor="margin" w:hAnchor="text" w:x="2220" w:y="562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、基金的银行汇划费用；</w:t>
      </w:r>
    </w:p>
    <w:p>
      <w:pPr>
        <w:framePr w:w="3989" w:wrap="around" w:vAnchor="margin" w:hAnchor="text" w:x="2220" w:y="60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、基金相关账户的开户及维护费用；</w:t>
      </w:r>
    </w:p>
    <w:p>
      <w:pPr>
        <w:framePr w:w="8704" w:wrap="around" w:vAnchor="margin" w:hAnchor="text" w:x="2220" w:y="644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、按照国家有关规定和《基金合同》约定，可以在基金财产中列支的其他费用。</w:t>
      </w:r>
    </w:p>
    <w:p>
      <w:pPr>
        <w:framePr w:w="4836" w:wrap="around" w:vAnchor="margin" w:hAnchor="text" w:x="2220" w:y="725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二、基金费用计提方法、计提标准和支付方式</w:t>
      </w:r>
    </w:p>
    <w:p>
      <w:pPr>
        <w:framePr w:w="4836" w:wrap="around" w:vAnchor="margin" w:hAnchor="text" w:x="2220" w:y="725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、基金管理人的管理费</w:t>
      </w:r>
    </w:p>
    <w:p>
      <w:pPr>
        <w:framePr w:w="9002" w:wrap="around" w:vAnchor="margin" w:hAnchor="text" w:x="2220" w:y="807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本基金的管理费按前一日基金资产净值的</w:t>
      </w:r>
      <w:r>
        <w:rPr>
          <w:rFonts w:ascii="GGHCMB+å®ä½"/>
          <w:color w:val="222222"/>
          <w:spacing w:val="0"/>
          <w:sz w:val="21"/>
        </w:rPr>
        <w:t>0.3%</w:t>
      </w:r>
      <w:r>
        <w:rPr>
          <w:rFonts w:ascii="SKJVQB+å®ä½" w:hAnsi="SKJVQB+å®ä½" w:cs="SKJVQB+å®ä½"/>
          <w:color w:val="222222"/>
          <w:spacing w:val="0"/>
          <w:sz w:val="21"/>
        </w:rPr>
        <w:t>年费率计提。管理费的计算方法如下：</w:t>
      </w:r>
    </w:p>
    <w:p>
      <w:pPr>
        <w:framePr w:w="9002" w:wrap="around" w:vAnchor="margin" w:hAnchor="text" w:x="222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w:t>
      </w:r>
      <w:r>
        <w:rPr>
          <w:rFonts w:ascii="GGHCMB+å®ä½"/>
          <w:color w:val="222222"/>
          <w:spacing w:val="0"/>
          <w:sz w:val="21"/>
        </w:rPr>
        <w:t>0.3%</w:t>
      </w:r>
      <w:r>
        <w:rPr>
          <w:rFonts w:ascii="SKJVQB+å®ä½" w:hAnsi="SKJVQB+å®ä½" w:cs="SKJVQB+å®ä½"/>
          <w:color w:val="222222"/>
          <w:spacing w:val="0"/>
          <w:sz w:val="21"/>
        </w:rPr>
        <w:t>÷当年天数</w:t>
      </w:r>
    </w:p>
    <w:p>
      <w:pPr>
        <w:framePr w:w="3083" w:wrap="around" w:vAnchor="margin" w:hAnchor="text" w:x="2220" w:y="889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为每日应计提的基金管理费</w:t>
      </w:r>
    </w:p>
    <w:p>
      <w:pPr>
        <w:framePr w:w="2840" w:wrap="around" w:vAnchor="margin" w:hAnchor="text" w:x="2220" w:y="930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为前一日的基金资产净值</w:t>
      </w:r>
    </w:p>
    <w:p>
      <w:pPr>
        <w:framePr w:w="9557" w:wrap="around" w:vAnchor="margin" w:hAnchor="text" w:x="1800" w:y="971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framePr w:w="9557" w:wrap="around" w:vAnchor="margin" w:hAnchor="text" w:x="1800" w:y="971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金财产中一次性支付给基金管理人。若遇法定节假日、公休日等，支付日期顺延。</w:t>
      </w:r>
    </w:p>
    <w:p>
      <w:pPr>
        <w:framePr w:w="9557" w:wrap="around" w:vAnchor="margin" w:hAnchor="text" w:x="1800" w:y="9711"/>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、基金托管人的托管费</w:t>
      </w:r>
    </w:p>
    <w:p>
      <w:pPr>
        <w:framePr w:w="9551" w:wrap="around" w:vAnchor="margin" w:hAnchor="text" w:x="1800" w:y="1093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本基金的托管费按前一日基金资产净值的  </w:t>
      </w:r>
      <w:r>
        <w:rPr>
          <w:rFonts w:ascii="GGHCMB+å®ä½"/>
          <w:color w:val="222222"/>
          <w:spacing w:val="0"/>
          <w:sz w:val="21"/>
        </w:rPr>
        <w:t>0.1%</w:t>
      </w:r>
      <w:r>
        <w:rPr>
          <w:rFonts w:ascii="SKJVQB+å®ä½" w:hAnsi="SKJVQB+å®ä½" w:cs="SKJVQB+å®ä½"/>
          <w:color w:val="222222"/>
          <w:spacing w:val="0"/>
          <w:sz w:val="21"/>
        </w:rPr>
        <w:t>的年费率计提。托管费的计算方法如</w:t>
      </w:r>
    </w:p>
    <w:p>
      <w:pPr>
        <w:framePr w:w="9551"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下：</w:t>
      </w:r>
    </w:p>
    <w:p>
      <w:pPr>
        <w:framePr w:w="2423" w:wrap="around" w:vAnchor="margin" w:hAnchor="text" w:x="2220" w:y="1175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w:t>
      </w:r>
      <w:r>
        <w:rPr>
          <w:rFonts w:ascii="GGHCMB+å®ä½"/>
          <w:color w:val="222222"/>
          <w:spacing w:val="0"/>
          <w:sz w:val="21"/>
        </w:rPr>
        <w:t>0.1%</w:t>
      </w:r>
      <w:r>
        <w:rPr>
          <w:rFonts w:ascii="SKJVQB+å®ä½" w:hAnsi="SKJVQB+å®ä½" w:cs="SKJVQB+å®ä½"/>
          <w:color w:val="222222"/>
          <w:spacing w:val="0"/>
          <w:sz w:val="21"/>
        </w:rPr>
        <w:t>÷当年天数</w:t>
      </w:r>
    </w:p>
    <w:p>
      <w:pPr>
        <w:framePr w:w="3083" w:wrap="around" w:vAnchor="margin" w:hAnchor="text" w:x="2220" w:y="1216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为每日应计提的基金托管费</w:t>
      </w:r>
    </w:p>
    <w:p>
      <w:pPr>
        <w:framePr w:w="2840" w:wrap="around" w:vAnchor="margin" w:hAnchor="text" w:x="2220" w:y="1257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为前一日的基金资产净值</w:t>
      </w:r>
    </w:p>
    <w:p>
      <w:pPr>
        <w:framePr w:w="9557" w:wrap="around" w:vAnchor="margin" w:hAnchor="text" w:x="1800" w:y="129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基金托管费每日计算，逐日累计至每月月末，按月支付，于次月前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framePr w:w="9557" w:wrap="around" w:vAnchor="margin" w:hAnchor="text" w:x="1800" w:y="129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金财产中一次性支取。若遇法定节假日、公休日等</w:t>
      </w:r>
      <w:r>
        <w:rPr>
          <w:rFonts w:ascii="GGHCMB+å®ä½"/>
          <w:color w:val="222222"/>
          <w:spacing w:val="0"/>
          <w:sz w:val="21"/>
        </w:rPr>
        <w:t>,</w:t>
      </w:r>
      <w:r>
        <w:rPr>
          <w:rFonts w:ascii="SKJVQB+å®ä½" w:hAnsi="SKJVQB+å®ä½" w:cs="SKJVQB+å®ä½"/>
          <w:color w:val="222222"/>
          <w:spacing w:val="0"/>
          <w:sz w:val="21"/>
        </w:rPr>
        <w:t>支付日期顺延。</w:t>
      </w:r>
    </w:p>
    <w:p>
      <w:pPr>
        <w:framePr w:w="9557" w:wrap="around" w:vAnchor="margin" w:hAnchor="text" w:x="1800" w:y="12978"/>
        <w:widowControl w:val="0"/>
        <w:autoSpaceDE w:val="0"/>
        <w:autoSpaceDN w:val="0"/>
        <w:spacing w:before="0" w:after="0" w:line="4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w:t>
      </w:r>
      <w:r>
        <w:rPr>
          <w:rFonts w:ascii="GGHCMB+å®ä½"/>
          <w:color w:val="222222"/>
          <w:spacing w:val="0"/>
          <w:sz w:val="21"/>
        </w:rPr>
        <w:t>C</w:t>
      </w:r>
      <w:r>
        <w:rPr>
          <w:rFonts w:ascii="SKJVQB+å®ä½" w:hAnsi="SKJVQB+å®ä½" w:cs="SKJVQB+å®ä½"/>
          <w:color w:val="222222"/>
          <w:spacing w:val="0"/>
          <w:sz w:val="21"/>
        </w:rPr>
        <w:t>类基金份额的基金财产中计提的销售服务费</w:t>
      </w:r>
    </w:p>
    <w:p>
      <w:pPr>
        <w:framePr w:w="9557" w:wrap="around" w:vAnchor="margin" w:hAnchor="text" w:x="1800" w:y="1297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w:t>
      </w:r>
      <w:r>
        <w:rPr>
          <w:rFonts w:ascii="GGHCMB+å®ä½"/>
          <w:color w:val="222222"/>
          <w:spacing w:val="0"/>
          <w:sz w:val="21"/>
        </w:rPr>
        <w:t>A</w:t>
      </w:r>
      <w:r>
        <w:rPr>
          <w:rFonts w:ascii="SKJVQB+å®ä½" w:hAnsi="SKJVQB+å®ä½" w:cs="SKJVQB+å®ä½"/>
          <w:color w:val="222222"/>
          <w:spacing w:val="0"/>
          <w:sz w:val="21"/>
        </w:rPr>
        <w:t>类基金份额不收取销售服务费，</w:t>
      </w:r>
      <w:r>
        <w:rPr>
          <w:rFonts w:ascii="GGHCMB+å®ä½"/>
          <w:color w:val="222222"/>
          <w:spacing w:val="0"/>
          <w:sz w:val="21"/>
        </w:rPr>
        <w:t>C</w:t>
      </w:r>
      <w:r>
        <w:rPr>
          <w:rFonts w:ascii="SKJVQB+å®ä½" w:hAnsi="SKJVQB+å®ä½" w:cs="SKJVQB+å®ä½"/>
          <w:color w:val="222222"/>
          <w:spacing w:val="0"/>
          <w:sz w:val="21"/>
        </w:rPr>
        <w:t>类基金份额的销售服务费年费率为</w:t>
      </w:r>
      <w:r>
        <w:rPr>
          <w:rFonts w:ascii="GGHCMB+å®ä½"/>
          <w:color w:val="222222"/>
          <w:spacing w:val="0"/>
          <w:sz w:val="21"/>
        </w:rPr>
        <w:t>0.4%</w:t>
      </w:r>
      <w:r>
        <w:rPr>
          <w:rFonts w:ascii="SKJVQB+å®ä½" w:hAnsi="SKJVQB+å®ä½" w:cs="SKJVQB+å®ä½"/>
          <w:color w:val="222222"/>
          <w:spacing w:val="0"/>
          <w:sz w:val="21"/>
        </w:rPr>
        <w:t>。本</w:t>
      </w:r>
    </w:p>
    <w:p>
      <w:pPr>
        <w:framePr w:w="9557" w:wrap="around" w:vAnchor="margin" w:hAnchor="text" w:x="1800" w:y="129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基金销售服务费按前一日</w:t>
      </w:r>
      <w:r>
        <w:rPr>
          <w:rFonts w:ascii="GGHCMB+å®ä½"/>
          <w:color w:val="222222"/>
          <w:spacing w:val="0"/>
          <w:sz w:val="21"/>
        </w:rPr>
        <w:t>C</w:t>
      </w:r>
      <w:r>
        <w:rPr>
          <w:rFonts w:ascii="SKJVQB+å®ä½" w:hAnsi="SKJVQB+å®ä½" w:cs="SKJVQB+å®ä½"/>
          <w:color w:val="222222"/>
          <w:spacing w:val="0"/>
          <w:sz w:val="21"/>
        </w:rPr>
        <w:t>类基金份额资产净值的</w:t>
      </w:r>
      <w:r>
        <w:rPr>
          <w:rFonts w:ascii="GGHCMB+å®ä½"/>
          <w:color w:val="222222"/>
          <w:spacing w:val="0"/>
          <w:sz w:val="21"/>
        </w:rPr>
        <w:t>0.4%</w:t>
      </w:r>
      <w:r>
        <w:rPr>
          <w:rFonts w:ascii="SKJVQB+å®ä½" w:hAnsi="SKJVQB+å®ä½" w:cs="SKJVQB+å®ä½"/>
          <w:color w:val="222222"/>
          <w:spacing w:val="0"/>
          <w:sz w:val="21"/>
        </w:rPr>
        <w:t>年费率计提。计算方法如下：</w:t>
      </w:r>
    </w:p>
    <w:p>
      <w:pPr>
        <w:framePr w:w="9557" w:wrap="around" w:vAnchor="margin" w:hAnchor="text" w:x="1800" w:y="1297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×年销售服务费率÷当年天数</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142</w:t>
      </w:r>
    </w:p>
    <w:p>
      <w:pPr>
        <w:spacing w:before="0" w:after="0" w:line="0" w:lineRule="exact"/>
        <w:ind w:left="0" w:right="0"/>
        <w:jc w:val="left"/>
        <w:rPr>
          <w:rFonts w:ascii="Arial"/>
          <w:color w:val="FF0000"/>
          <w:spacing w:val="0"/>
          <w:sz w:val="2"/>
        </w:rPr>
      </w:pPr>
      <w:r>
        <w:pict>
          <v:shape id="_x0000310" o:spid="_x0000_s133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1" o:title=""/>
            <o:lock v:ext="edit" aspectratio="t"/>
          </v:shape>
        </w:pict>
      </w:r>
      <w:r>
        <w:pict>
          <v:shape id="_x0000311" o:spid="_x0000_s1337" o:spt="75" type="#_x0000_t75" style="position:absolute;left:0pt;margin-left:88.6pt;margin-top:71.1pt;height:699pt;width:418.3pt;mso-position-horizontal-relative:page;mso-position-vertical-relative:page;z-index:-2048;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016"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w:t>
      </w:r>
      <w:r>
        <w:rPr>
          <w:rFonts w:ascii="GGHCMB+å®ä½"/>
          <w:color w:val="222222"/>
          <w:spacing w:val="0"/>
          <w:sz w:val="21"/>
        </w:rPr>
        <w:t>C</w:t>
      </w:r>
      <w:r>
        <w:rPr>
          <w:rFonts w:ascii="SKJVQB+å®ä½" w:hAnsi="SKJVQB+å®ä½" w:cs="SKJVQB+å®ä½"/>
          <w:color w:val="222222"/>
          <w:spacing w:val="0"/>
          <w:sz w:val="21"/>
        </w:rPr>
        <w:t>类基金份额每日应计提的基金销售服务费</w:t>
      </w:r>
    </w:p>
    <w:p>
      <w:pPr>
        <w:framePr w:w="4049" w:wrap="around" w:vAnchor="margin" w:hAnchor="text" w:x="2220" w:y="186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w:t>
      </w:r>
      <w:r>
        <w:rPr>
          <w:rFonts w:ascii="GGHCMB+å®ä½"/>
          <w:color w:val="222222"/>
          <w:spacing w:val="0"/>
          <w:sz w:val="21"/>
        </w:rPr>
        <w:t>C</w:t>
      </w:r>
      <w:r>
        <w:rPr>
          <w:rFonts w:ascii="SKJVQB+å®ä½" w:hAnsi="SKJVQB+å®ä½" w:cs="SKJVQB+å®ä½"/>
          <w:color w:val="222222"/>
          <w:spacing w:val="0"/>
          <w:sz w:val="21"/>
        </w:rPr>
        <w:t>类基金份额前一日基金资产净值</w:t>
      </w:r>
    </w:p>
    <w:p>
      <w:pPr>
        <w:framePr w:w="9557"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销售服务费每日计算，逐日累计至每月月末，按月支付，于次月前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framePr w:w="9557"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金财产中一次性支付给基金管理人并由基金管理人代付给各基金销售机构。若遇法定节假</w:t>
      </w:r>
    </w:p>
    <w:p>
      <w:pPr>
        <w:framePr w:w="9557"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日、休息日，支付日期顺延。</w:t>
      </w:r>
    </w:p>
    <w:p>
      <w:pPr>
        <w:framePr w:w="9557"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上述“一、基金费用的种类中第 </w:t>
      </w:r>
      <w:r>
        <w:rPr>
          <w:rFonts w:ascii="GGHCMB+å®ä½"/>
          <w:color w:val="222222"/>
          <w:spacing w:val="0"/>
          <w:sz w:val="21"/>
        </w:rPr>
        <w:t>4</w:t>
      </w: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项费用”，根据有关法规及相应协议规定，按</w:t>
      </w:r>
    </w:p>
    <w:p>
      <w:pPr>
        <w:framePr w:w="9557"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费用实际支出金额列入当期费用，由基金托管人从基金财产中支付。</w:t>
      </w:r>
    </w:p>
    <w:p>
      <w:pPr>
        <w:framePr w:w="2901" w:wrap="around" w:vAnchor="margin" w:hAnchor="text" w:x="2220" w:y="47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三、不列入基金费用的项目</w:t>
      </w:r>
    </w:p>
    <w:p>
      <w:pPr>
        <w:framePr w:w="2901"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下列费用不列入基金费用：</w:t>
      </w:r>
    </w:p>
    <w:p>
      <w:pPr>
        <w:framePr w:w="9556"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、基金管理人和基金托管人因未履行或未完全履行义务导致的费用支出或基金财产的</w:t>
      </w:r>
    </w:p>
    <w:p>
      <w:pPr>
        <w:framePr w:w="9556"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损失；</w:t>
      </w:r>
    </w:p>
    <w:p>
      <w:pPr>
        <w:framePr w:w="7370" w:wrap="around" w:vAnchor="margin" w:hAnchor="text" w:x="2220" w:y="63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、基金管理人和基金托管人处理与基金运作无关的事项发生的费用；</w:t>
      </w:r>
    </w:p>
    <w:p>
      <w:pPr>
        <w:framePr w:w="7370" w:wrap="around" w:vAnchor="margin" w:hAnchor="text" w:x="222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、《基金合同》生效前的相关费用；</w:t>
      </w:r>
    </w:p>
    <w:p>
      <w:pPr>
        <w:framePr w:w="8336" w:wrap="around" w:vAnchor="margin" w:hAnchor="text" w:x="2220" w:y="717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、其他根据相关法律法规及中国证监会的有关规定不得列入基金费用的项目。</w:t>
      </w:r>
    </w:p>
    <w:p>
      <w:pPr>
        <w:framePr w:w="1578"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四、费用调整</w:t>
      </w:r>
    </w:p>
    <w:p>
      <w:pPr>
        <w:framePr w:w="9553"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基金管理人可以根据与基金份额持有人利益一致的原则，结合产品特点和投资人的需</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求设置基金管理费率的结构和水平。</w:t>
      </w:r>
    </w:p>
    <w:p>
      <w:pPr>
        <w:framePr w:w="9553" w:wrap="around" w:vAnchor="margin" w:hAnchor="text" w:x="1800" w:y="921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基金管理人和基金托管人可根据基金规模等因素协商一致，酌情调低基金管理费率、</w:t>
      </w:r>
    </w:p>
    <w:p>
      <w:pPr>
        <w:framePr w:w="9553"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托管费率、销售服务费率，无须召开基金份额持有人大会。除根据法律法规要求提高该等</w:t>
      </w:r>
    </w:p>
    <w:p>
      <w:pPr>
        <w:framePr w:w="9553" w:wrap="around" w:vAnchor="margin" w:hAnchor="text" w:x="1800" w:y="921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报酬标准以外，提高上述费率需经基金份额持有人大会决议通过。基金管理人必须于新的</w:t>
      </w:r>
    </w:p>
    <w:p>
      <w:pPr>
        <w:framePr w:w="9553"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费率实施日前根据《信息披露办法》的有关规定在指定媒介上公告。</w:t>
      </w:r>
    </w:p>
    <w:p>
      <w:pPr>
        <w:framePr w:w="1578" w:wrap="around" w:vAnchor="margin" w:hAnchor="text" w:x="2220" w:y="112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五、基金税收</w:t>
      </w:r>
    </w:p>
    <w:p>
      <w:pPr>
        <w:framePr w:w="8461" w:wrap="around" w:vAnchor="margin" w:hAnchor="text" w:x="2220" w:y="1166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本基金运作过程中涉及的各纳税主体，其纳税义务按国家税收法律、法规执行。</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143</w:t>
      </w:r>
    </w:p>
    <w:p>
      <w:pPr>
        <w:spacing w:before="0" w:after="0" w:line="0" w:lineRule="exact"/>
        <w:ind w:left="0" w:right="0"/>
        <w:jc w:val="left"/>
        <w:rPr>
          <w:rFonts w:ascii="Arial"/>
          <w:color w:val="FF0000"/>
          <w:spacing w:val="0"/>
          <w:sz w:val="2"/>
        </w:rPr>
      </w:pPr>
      <w:r>
        <w:pict>
          <v:shape id="_x0000312" o:spid="_x0000_s133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59" o:title=""/>
            <o:lock v:ext="edit" aspectratio="t"/>
          </v:shape>
        </w:pict>
      </w:r>
      <w:r>
        <w:pict>
          <v:shape id="_x0000313" o:spid="_x0000_s1339" o:spt="75" type="#_x0000_t75" style="position:absolute;left:0pt;margin-left:88.6pt;margin-top:71.1pt;height:531.2pt;width:418.3pt;mso-position-horizontal-relative:page;mso-position-vertical-relative:page;z-index:-2048;mso-width-relative:page;mso-height-relative:page;" filled="f" coordsize="21600,21600">
            <v:path/>
            <v:fill on="f" focussize="0,0"/>
            <v:stroke/>
            <v:imagedata r:id="rId26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395" w:wrap="around" w:vAnchor="margin" w:hAnchor="text" w:x="4477"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14</w:t>
      </w:r>
      <w:r>
        <w:rPr>
          <w:rFonts w:ascii="SKJVQB+å®ä½" w:hAnsi="SKJVQB+å®ä½" w:cs="SKJVQB+å®ä½"/>
          <w:color w:val="222222"/>
          <w:spacing w:val="0"/>
          <w:sz w:val="28"/>
        </w:rPr>
        <w:t>基金的会计与审计</w:t>
      </w:r>
    </w:p>
    <w:p>
      <w:pPr>
        <w:framePr w:w="1998"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一、基金会计政策</w:t>
      </w:r>
    </w:p>
    <w:p>
      <w:pPr>
        <w:framePr w:w="4712" w:wrap="around" w:vAnchor="margin" w:hAnchor="text" w:x="2220" w:y="276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、基金管理人为本基金的基金会计责任方；</w:t>
      </w:r>
    </w:p>
    <w:p>
      <w:pPr>
        <w:framePr w:w="9554" w:wrap="around" w:vAnchor="margin" w:hAnchor="text" w:x="1800" w:y="317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、基金的会计年度为公历年度的</w:t>
      </w:r>
      <w:r>
        <w:rPr>
          <w:rFonts w:ascii="GGHCMB+å®ä½"/>
          <w:color w:val="222222"/>
          <w:spacing w:val="0"/>
          <w:sz w:val="21"/>
        </w:rPr>
        <w:t>1</w:t>
      </w:r>
      <w:r>
        <w:rPr>
          <w:rFonts w:ascii="SKJVQB+å®ä½" w:hAnsi="SKJVQB+å®ä½" w:cs="SKJVQB+å®ä½"/>
          <w:color w:val="222222"/>
          <w:spacing w:val="0"/>
          <w:sz w:val="21"/>
        </w:rPr>
        <w:t>月</w:t>
      </w:r>
      <w:r>
        <w:rPr>
          <w:rFonts w:ascii="GGHCMB+å®ä½"/>
          <w:color w:val="222222"/>
          <w:spacing w:val="0"/>
          <w:sz w:val="21"/>
        </w:rPr>
        <w:t>1</w:t>
      </w:r>
      <w:r>
        <w:rPr>
          <w:rFonts w:ascii="SKJVQB+å®ä½" w:hAnsi="SKJVQB+å®ä½" w:cs="SKJVQB+å®ä½"/>
          <w:color w:val="222222"/>
          <w:spacing w:val="0"/>
          <w:sz w:val="21"/>
        </w:rPr>
        <w:t>日至</w:t>
      </w:r>
      <w:r>
        <w:rPr>
          <w:rFonts w:ascii="GGHCMB+å®ä½"/>
          <w:color w:val="222222"/>
          <w:spacing w:val="0"/>
          <w:sz w:val="21"/>
        </w:rPr>
        <w:t>12</w:t>
      </w:r>
      <w:r>
        <w:rPr>
          <w:rFonts w:ascii="SKJVQB+å®ä½" w:hAnsi="SKJVQB+å®ä½" w:cs="SKJVQB+å®ä½"/>
          <w:color w:val="222222"/>
          <w:spacing w:val="0"/>
          <w:sz w:val="21"/>
        </w:rPr>
        <w:t>月</w:t>
      </w:r>
      <w:r>
        <w:rPr>
          <w:rFonts w:ascii="GGHCMB+å®ä½"/>
          <w:color w:val="222222"/>
          <w:spacing w:val="0"/>
          <w:sz w:val="21"/>
        </w:rPr>
        <w:t>31</w:t>
      </w:r>
      <w:r>
        <w:rPr>
          <w:rFonts w:ascii="SKJVQB+å®ä½" w:hAnsi="SKJVQB+å®ä½" w:cs="SKJVQB+å®ä½"/>
          <w:color w:val="222222"/>
          <w:spacing w:val="0"/>
          <w:sz w:val="21"/>
        </w:rPr>
        <w:t>日；基金首次募集的会计年度按</w:t>
      </w:r>
    </w:p>
    <w:p>
      <w:pPr>
        <w:framePr w:w="9554" w:wrap="around" w:vAnchor="margin" w:hAnchor="text" w:x="1800" w:y="317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如下原则：如果《基金合同》生效少于</w:t>
      </w:r>
      <w:r>
        <w:rPr>
          <w:rFonts w:ascii="GGHCMB+å®ä½"/>
          <w:color w:val="222222"/>
          <w:spacing w:val="0"/>
          <w:sz w:val="21"/>
        </w:rPr>
        <w:t>2</w:t>
      </w:r>
      <w:r>
        <w:rPr>
          <w:rFonts w:ascii="SKJVQB+å®ä½" w:hAnsi="SKJVQB+å®ä½" w:cs="SKJVQB+å®ä½"/>
          <w:color w:val="222222"/>
          <w:spacing w:val="0"/>
          <w:sz w:val="21"/>
        </w:rPr>
        <w:t>个月，可以并入下一个会计年度；</w:t>
      </w:r>
    </w:p>
    <w:p>
      <w:pPr>
        <w:framePr w:w="9554" w:wrap="around" w:vAnchor="margin" w:hAnchor="text" w:x="1800" w:y="3173"/>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、基金核算以人民币为记账本位币，以人民币元为记账单位；</w:t>
      </w:r>
    </w:p>
    <w:p>
      <w:pPr>
        <w:framePr w:w="9554" w:wrap="around" w:vAnchor="margin" w:hAnchor="text" w:x="1800" w:y="3173"/>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、会计制度执行国家有关会计制度；</w:t>
      </w:r>
    </w:p>
    <w:p>
      <w:pPr>
        <w:framePr w:w="3506" w:wrap="around" w:vAnchor="margin" w:hAnchor="text" w:x="2220" w:y="48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、本基金独立建账、独立核算；</w:t>
      </w:r>
    </w:p>
    <w:p>
      <w:pPr>
        <w:framePr w:w="9556" w:wrap="around" w:vAnchor="margin" w:hAnchor="text" w:x="1800" w:y="521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、基金管理人及基金托管人各自保留完整的会计账目、凭证并进行日常的会计核算，</w:t>
      </w:r>
    </w:p>
    <w:p>
      <w:pPr>
        <w:framePr w:w="9556" w:wrap="around" w:vAnchor="margin" w:hAnchor="text" w:x="1800" w:y="52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按照有关规定编制基金会计报表；</w:t>
      </w:r>
    </w:p>
    <w:p>
      <w:pPr>
        <w:framePr w:w="9556" w:wrap="around" w:vAnchor="margin" w:hAnchor="text" w:x="1800" w:y="603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、基金托管人每月与基金管理人就基金的会计核算、报表编制等进行核对并以书面方</w:t>
      </w:r>
    </w:p>
    <w:p>
      <w:pPr>
        <w:framePr w:w="9556" w:wrap="around" w:vAnchor="margin" w:hAnchor="text" w:x="1800" w:y="60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式确认。</w:t>
      </w:r>
    </w:p>
    <w:p>
      <w:pPr>
        <w:framePr w:w="2209" w:wrap="around" w:vAnchor="margin" w:hAnchor="text" w:x="2220" w:y="725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二、基金的年度审计</w:t>
      </w:r>
    </w:p>
    <w:p>
      <w:pPr>
        <w:framePr w:w="9556" w:wrap="around" w:vAnchor="margin" w:hAnchor="text" w:x="1800" w:y="766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、基金管理人聘请与基金管理人、基金托管人相互独立的具有证券从业资格的会计师</w:t>
      </w:r>
    </w:p>
    <w:p>
      <w:pPr>
        <w:framePr w:w="9556" w:wrap="around" w:vAnchor="margin" w:hAnchor="text" w:x="1800" w:y="766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事务所及其注册会计师对本基金的年度财务报表进行审计。</w:t>
      </w:r>
    </w:p>
    <w:p>
      <w:pPr>
        <w:framePr w:w="9556" w:wrap="around" w:vAnchor="margin" w:hAnchor="text" w:x="1800" w:y="766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、会计师事务所更换经办注册会计师，应事先征得基金管理人同意。</w:t>
      </w:r>
    </w:p>
    <w:p>
      <w:pPr>
        <w:framePr w:w="9556" w:wrap="around" w:vAnchor="margin" w:hAnchor="text" w:x="1800" w:y="766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、基金管理人认为有充足理由更换会计师事务所，须通报基金托管人。更换会计师事</w:t>
      </w:r>
    </w:p>
    <w:p>
      <w:pPr>
        <w:framePr w:w="9556" w:wrap="around" w:vAnchor="margin" w:hAnchor="text" w:x="1800" w:y="766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务所需在</w:t>
      </w:r>
      <w:r>
        <w:rPr>
          <w:rFonts w:ascii="GGHCMB+å®ä½"/>
          <w:color w:val="222222"/>
          <w:spacing w:val="0"/>
          <w:sz w:val="21"/>
        </w:rPr>
        <w:t>2</w:t>
      </w:r>
      <w:r>
        <w:rPr>
          <w:rFonts w:ascii="SKJVQB+å®ä½" w:hAnsi="SKJVQB+å®ä½" w:cs="SKJVQB+å®ä½"/>
          <w:color w:val="222222"/>
          <w:spacing w:val="0"/>
          <w:sz w:val="21"/>
        </w:rPr>
        <w:t>日内在指定媒介公告。</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144</w:t>
      </w:r>
    </w:p>
    <w:p>
      <w:pPr>
        <w:spacing w:before="0" w:after="0" w:line="0" w:lineRule="exact"/>
        <w:ind w:left="0" w:right="0"/>
        <w:jc w:val="left"/>
        <w:rPr>
          <w:rFonts w:ascii="Arial"/>
          <w:color w:val="FF0000"/>
          <w:spacing w:val="0"/>
          <w:sz w:val="2"/>
        </w:rPr>
      </w:pPr>
      <w:r>
        <w:pict>
          <v:shape id="_x0000314" o:spid="_x0000_s134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61" o:title=""/>
            <o:lock v:ext="edit" aspectratio="t"/>
          </v:shape>
        </w:pict>
      </w:r>
      <w:r>
        <w:pict>
          <v:shape id="_x0000315" o:spid="_x0000_s1341" o:spt="75" type="#_x0000_t75" style="position:absolute;left:0pt;margin-left:88.6pt;margin-top:71.1pt;height:413pt;width:418.3pt;mso-position-horizontal-relative:page;mso-position-vertical-relative:page;z-index:-2048;mso-width-relative:page;mso-height-relative:page;" filled="f" coordsize="21600,21600">
            <v:path/>
            <v:fill on="f" focussize="0,0"/>
            <v:stroke/>
            <v:imagedata r:id="rId26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91" w:wrap="around" w:vAnchor="margin" w:hAnchor="text" w:x="4619"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15</w:t>
      </w:r>
      <w:r>
        <w:rPr>
          <w:rFonts w:ascii="SKJVQB+å®ä½" w:hAnsi="SKJVQB+å®ä½" w:cs="SKJVQB+å®ä½"/>
          <w:color w:val="222222"/>
          <w:spacing w:val="0"/>
          <w:sz w:val="28"/>
        </w:rPr>
        <w:t>基金的信息披露</w:t>
      </w:r>
    </w:p>
    <w:p>
      <w:pPr>
        <w:framePr w:w="9560" w:wrap="around" w:vAnchor="margin" w:hAnchor="text" w:x="1800" w:y="23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一、本基金的信息披露应符合《基金法》、《运作办法》、《信息披露办法》、《基金</w:t>
      </w:r>
    </w:p>
    <w:p>
      <w:pPr>
        <w:framePr w:w="9560"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合同》及其他有关规定。相关法律法规关于信息披露的披露方式、登载媒介、报备方式等规</w:t>
      </w:r>
    </w:p>
    <w:p>
      <w:pPr>
        <w:framePr w:w="9560"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定发生变化时，本基金从其最新规定。</w:t>
      </w:r>
    </w:p>
    <w:p>
      <w:pPr>
        <w:framePr w:w="2209" w:wrap="around" w:vAnchor="margin" w:hAnchor="text" w:x="2220" w:y="399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二、信息披露义务人</w:t>
      </w:r>
    </w:p>
    <w:p>
      <w:pPr>
        <w:framePr w:w="9553" w:wrap="around" w:vAnchor="margin" w:hAnchor="text" w:x="1800" w:y="439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本基金信息披露义务人包括基金管理人、基金托管人、召集基金份额持有人大会的基</w:t>
      </w:r>
    </w:p>
    <w:p>
      <w:pPr>
        <w:framePr w:w="9553" w:wrap="around" w:vAnchor="margin" w:hAnchor="text" w:x="1800" w:y="439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金份额持有人等法律法规和中国证监会规定的自然人、法人和非法人组织。</w:t>
      </w:r>
    </w:p>
    <w:p>
      <w:pPr>
        <w:framePr w:w="9553" w:wrap="around" w:vAnchor="margin" w:hAnchor="text" w:x="1800" w:y="439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本基金信息披露义务人以保护基金份额持有人利益为根本出发点，按照法律法规和中</w:t>
      </w:r>
    </w:p>
    <w:p>
      <w:pPr>
        <w:framePr w:w="9553" w:wrap="around" w:vAnchor="margin" w:hAnchor="text" w:x="1800" w:y="439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国证监会的规定披露基金信息，并保证所披露信息的真实性、准确性、完整性、及时性、</w:t>
      </w:r>
    </w:p>
    <w:p>
      <w:pPr>
        <w:framePr w:w="9553" w:wrap="around" w:vAnchor="margin" w:hAnchor="text" w:x="1800" w:y="439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简明性和易得性。</w:t>
      </w:r>
    </w:p>
    <w:p>
      <w:pPr>
        <w:framePr w:w="9560" w:wrap="around" w:vAnchor="margin" w:hAnchor="text" w:x="1800" w:y="644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本基金信息披露义务人应当在中国证监会规定时间内，将应予披露的基金信息通过中</w:t>
      </w:r>
    </w:p>
    <w:p>
      <w:pPr>
        <w:framePr w:w="9560" w:wrap="around" w:vAnchor="margin" w:hAnchor="text" w:x="1800" w:y="644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国证监会指定媒介披露，并保证基金投资人能够按照《基金合同》约定的时间和方式查阅或</w:t>
      </w:r>
    </w:p>
    <w:p>
      <w:pPr>
        <w:framePr w:w="9560" w:wrap="around" w:vAnchor="margin" w:hAnchor="text" w:x="1800" w:y="644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者复制公开披露的信息资料。</w:t>
      </w:r>
    </w:p>
    <w:p>
      <w:pPr>
        <w:framePr w:w="7735" w:wrap="around" w:vAnchor="margin" w:hAnchor="text" w:x="2220" w:y="807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三、本基金信息披露义务人承诺公开披露的基金信息，不得有下列行为：</w:t>
      </w:r>
    </w:p>
    <w:p>
      <w:pPr>
        <w:framePr w:w="7735" w:wrap="around" w:vAnchor="margin" w:hAnchor="text" w:x="222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、虚假记载、误导性陈述或者重大遗漏；</w:t>
      </w:r>
    </w:p>
    <w:p>
      <w:pPr>
        <w:framePr w:w="3263" w:wrap="around" w:vAnchor="margin" w:hAnchor="text" w:x="2220" w:y="889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、对证券投资业绩进行预测；</w:t>
      </w:r>
    </w:p>
    <w:p>
      <w:pPr>
        <w:framePr w:w="3506" w:wrap="around" w:vAnchor="margin" w:hAnchor="text" w:x="2220" w:y="930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、违规承诺收益或者承担损失；</w:t>
      </w:r>
    </w:p>
    <w:p>
      <w:pPr>
        <w:framePr w:w="8337" w:wrap="around" w:vAnchor="margin" w:hAnchor="text" w:x="2220" w:y="971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、诋毁其他基金管理人、基金托管人或者基金销售机构；</w:t>
      </w:r>
    </w:p>
    <w:p>
      <w:pPr>
        <w:framePr w:w="8337" w:wrap="around" w:vAnchor="margin" w:hAnchor="text" w:x="2220" w:y="971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、登载任何自然人、法人或者非法人组织的祝贺性、恭维性或推荐性的文字；</w:t>
      </w:r>
    </w:p>
    <w:p>
      <w:pPr>
        <w:framePr w:w="8337" w:wrap="around" w:vAnchor="margin" w:hAnchor="text" w:x="2220" w:y="971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、中国证监会禁止的其他行为。</w:t>
      </w:r>
    </w:p>
    <w:p>
      <w:pPr>
        <w:framePr w:w="9553" w:wrap="around" w:vAnchor="margin" w:hAnchor="text" w:x="1800" w:y="1134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四、本基金公开披露的信息应采用中文文本。如同时采用外文文本的，基金信息披露</w:t>
      </w:r>
    </w:p>
    <w:p>
      <w:pPr>
        <w:framePr w:w="9553" w:wrap="around" w:vAnchor="margin" w:hAnchor="text" w:x="1800" w:y="1134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义务人应保证不同文本的内容一致。不同文本发生歧义的，以中文文本为准。</w:t>
      </w:r>
    </w:p>
    <w:p>
      <w:pPr>
        <w:framePr w:w="9553" w:wrap="around" w:vAnchor="margin" w:hAnchor="text" w:x="1800" w:y="1134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本基金公开披露的信息采用阿拉伯数字；除特别说明外，货币单位为人民币元。</w:t>
      </w:r>
    </w:p>
    <w:p>
      <w:pPr>
        <w:framePr w:w="2661" w:wrap="around" w:vAnchor="margin" w:hAnchor="text" w:x="2220" w:y="129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五、公开披露的基金信息</w:t>
      </w:r>
    </w:p>
    <w:p>
      <w:pPr>
        <w:framePr w:w="2901" w:wrap="around" w:vAnchor="margin" w:hAnchor="text" w:x="2220" w:y="133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公开披露的基金信息包括：</w:t>
      </w:r>
    </w:p>
    <w:p>
      <w:pPr>
        <w:framePr w:w="9556" w:wrap="around" w:vAnchor="margin" w:hAnchor="text" w:x="1800" w:y="1379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（一）基金招募说明书、《基金合同》、基金托管协议、基金产品资料概要</w:t>
      </w:r>
    </w:p>
    <w:p>
      <w:pPr>
        <w:framePr w:w="9556" w:wrap="around" w:vAnchor="margin" w:hAnchor="text" w:x="1800" w:y="1379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、《基金合同》是界定《基金合同》当事人的各项权利、义务关系，明确基金份额持</w:t>
      </w:r>
    </w:p>
    <w:p>
      <w:pPr>
        <w:framePr w:w="9556" w:wrap="around" w:vAnchor="margin" w:hAnchor="text" w:x="1800" w:y="1379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有人大会召开的规则及具体程序，说明基金产品的特性等涉及基金投资人重大利益的事项</w:t>
      </w:r>
    </w:p>
    <w:p>
      <w:pPr>
        <w:framePr w:w="9556" w:wrap="around" w:vAnchor="margin" w:hAnchor="text" w:x="1800" w:y="1379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的法律文件。</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145</w:t>
      </w:r>
    </w:p>
    <w:p>
      <w:pPr>
        <w:spacing w:before="0" w:after="0" w:line="0" w:lineRule="exact"/>
        <w:ind w:left="0" w:right="0"/>
        <w:jc w:val="left"/>
        <w:rPr>
          <w:rFonts w:ascii="Arial"/>
          <w:color w:val="FF0000"/>
          <w:spacing w:val="0"/>
          <w:sz w:val="2"/>
        </w:rPr>
      </w:pPr>
      <w:r>
        <w:pict>
          <v:shape id="_x0000316" o:spid="_x0000_s134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1" o:title=""/>
            <o:lock v:ext="edit" aspectratio="t"/>
          </v:shape>
        </w:pict>
      </w:r>
      <w:r>
        <w:pict>
          <v:shape id="_x0000317" o:spid="_x0000_s1343" o:spt="75" type="#_x0000_t75" style="position:absolute;left:0pt;margin-left:88.6pt;margin-top:71.1pt;height:699pt;width:418.3pt;mso-position-horizontal-relative:page;mso-position-vertical-relative:page;z-index:-2048;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9"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、基金招募说明书应当最大限度地披露影响基金投资人决策的全部事项，说明基金认</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购、申购和赎回安排、基金投资、基金产品特性、风险揭示、信息披露及基金份额持有人</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服务等内容。《基金合同》生效后，基金招募说明书的信息发生重大变更的，基金管理人应</w:t>
      </w:r>
    </w:p>
    <w:p>
      <w:pPr>
        <w:framePr w:w="9559"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当在三个工作日内，更新基金招募说明书并登载在指定网站上；基金招募说明书其他信息</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发生变更的，基金管理人至少每年更新一次。基金终止运作的，基金管理人不再更新招募</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说明书。</w:t>
      </w:r>
    </w:p>
    <w:p>
      <w:pPr>
        <w:framePr w:w="9798"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本基金在招募说明书的显著位置披露投资中小企业私募债券的流动性风险和信用风险，</w:t>
      </w:r>
    </w:p>
    <w:p>
      <w:pPr>
        <w:framePr w:w="9798"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并说明投资中小企业私募债券对基金总体风险的影响。</w:t>
      </w:r>
    </w:p>
    <w:p>
      <w:pPr>
        <w:framePr w:w="9559"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本基金在招募说明书（更新）等文件中披露国债期货交易情况，包括投资政策、持仓情</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况、损益情况、风险指标等，并充分揭示国债期货交易对基金总体风险的影响以及是否符</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合既定的投资政策和投资目标。</w:t>
      </w:r>
    </w:p>
    <w:p>
      <w:pPr>
        <w:framePr w:w="9556" w:wrap="around" w:vAnchor="margin" w:hAnchor="text" w:x="1800" w:y="59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、基金托管协议是界定基金托管人和基金管理人在基金财产保管及基金运作监督等活</w:t>
      </w:r>
    </w:p>
    <w:p>
      <w:pPr>
        <w:framePr w:w="9556"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动中的权利、义务关系的法律文件。</w:t>
      </w:r>
    </w:p>
    <w:p>
      <w:pPr>
        <w:framePr w:w="9559" w:wrap="around" w:vAnchor="margin" w:hAnchor="text" w:x="1800" w:y="676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、基金产品资料概要是基金招募说明书的摘要文件，用于向投资者提供简明的基金概</w:t>
      </w:r>
    </w:p>
    <w:p>
      <w:pPr>
        <w:framePr w:w="9559"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要信息。《基金合同》生效后，基金产品资料概要的信息发生重大变更的，基金管理人应当</w:t>
      </w:r>
    </w:p>
    <w:p>
      <w:pPr>
        <w:framePr w:w="9559"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在三个工作日内，更新基金产品资料概要，并登载在指定网站及基金销售机构网站或营业</w:t>
      </w:r>
    </w:p>
    <w:p>
      <w:pPr>
        <w:framePr w:w="9559"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网点；基金产品资料概要其他信息发生变更的，基金管理人至少每年更新一次。基金终止</w:t>
      </w:r>
    </w:p>
    <w:p>
      <w:pPr>
        <w:framePr w:w="9559" w:wrap="around" w:vAnchor="margin" w:hAnchor="text" w:x="1800" w:y="676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运作的，基金管理人不再更新基金产品资料概要。基金产品资料概要的正文应当包括产品</w:t>
      </w:r>
    </w:p>
    <w:p>
      <w:pPr>
        <w:framePr w:w="9559"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概况、基金投资与净值表现、投资本基金涉及的费用、风险揭示与重要提示等中国证监会</w:t>
      </w:r>
    </w:p>
    <w:p>
      <w:pPr>
        <w:framePr w:w="9559"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规定的披露事项，相关内容不得与基金合同、招募说明书有实质性差异。基金管理人将在</w:t>
      </w:r>
    </w:p>
    <w:p>
      <w:pPr>
        <w:framePr w:w="9559"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《信息披露办法》实施之日起一年内，按照《信息披露办法》、《基金合同》及基金招募说</w:t>
      </w:r>
    </w:p>
    <w:p>
      <w:pPr>
        <w:framePr w:w="9559" w:wrap="around" w:vAnchor="margin" w:hAnchor="text" w:x="1800" w:y="676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明书规定的基金产品资料概要编制、披露与更新要求执行。</w:t>
      </w:r>
    </w:p>
    <w:p>
      <w:pPr>
        <w:framePr w:w="9557"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基金募集申请经中国证监会注册后，基金管理人在基金份额发售的 </w:t>
      </w:r>
      <w:r>
        <w:rPr>
          <w:rFonts w:ascii="GGHCMB+å®ä½"/>
          <w:color w:val="222222"/>
          <w:spacing w:val="0"/>
          <w:sz w:val="21"/>
        </w:rPr>
        <w:t>3</w:t>
      </w:r>
      <w:r>
        <w:rPr>
          <w:rFonts w:ascii="SKJVQB+å®ä½" w:hAnsi="SKJVQB+å®ä½" w:cs="SKJVQB+å®ä½"/>
          <w:color w:val="222222"/>
          <w:spacing w:val="0"/>
          <w:sz w:val="21"/>
        </w:rPr>
        <w:t>日前，将基金招</w:t>
      </w:r>
    </w:p>
    <w:p>
      <w:pPr>
        <w:framePr w:w="9557" w:wrap="around" w:vAnchor="margin" w:hAnchor="text" w:x="1800" w:y="104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募说明书、《基金合同》摘要登载在指定媒介上；基金管理人、基金托管人应当将《基金合</w:t>
      </w:r>
    </w:p>
    <w:p>
      <w:pPr>
        <w:framePr w:w="9557"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同》、基金托管协议登载在网站上。</w:t>
      </w:r>
    </w:p>
    <w:p>
      <w:pPr>
        <w:framePr w:w="2661" w:wrap="around" w:vAnchor="margin" w:hAnchor="text" w:x="2220" w:y="1166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（二）基金份额发售公告</w:t>
      </w:r>
    </w:p>
    <w:p>
      <w:pPr>
        <w:framePr w:w="9553" w:wrap="around" w:vAnchor="margin" w:hAnchor="text" w:x="1800" w:y="1207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基金管理人应当就基金份额发售的具体事宜编制基金份额发售公告，并在披露招募说</w:t>
      </w:r>
    </w:p>
    <w:p>
      <w:pPr>
        <w:framePr w:w="9553"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明书的当日登载于指定媒介上。</w:t>
      </w:r>
    </w:p>
    <w:p>
      <w:pPr>
        <w:framePr w:w="3144" w:wrap="around" w:vAnchor="margin" w:hAnchor="text" w:x="2220" w:y="1289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（三）《基金合同》生效公告</w:t>
      </w:r>
    </w:p>
    <w:p>
      <w:pPr>
        <w:framePr w:w="9559"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基金管理人应当在收到中国证监会确认文件的次日在指定媒介上登载《基金合同》生效</w:t>
      </w:r>
    </w:p>
    <w:p>
      <w:pPr>
        <w:framePr w:w="9559"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公告。</w:t>
      </w:r>
    </w:p>
    <w:p>
      <w:pPr>
        <w:framePr w:w="2209" w:wrap="around" w:vAnchor="margin" w:hAnchor="text" w:x="2220" w:y="1411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（四）基金净值信息</w:t>
      </w:r>
    </w:p>
    <w:p>
      <w:pPr>
        <w:framePr w:w="9559" w:wrap="around" w:vAnchor="margin" w:hAnchor="text" w:x="1800" w:y="1452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《基金合同》生效后，在开始办理基金份额申购或者赎回前，基金管理人应当至少每周</w:t>
      </w:r>
    </w:p>
    <w:p>
      <w:pPr>
        <w:framePr w:w="9559" w:wrap="around" w:vAnchor="margin" w:hAnchor="text" w:x="1800" w:y="1452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在指定网站披露一次基金份额净值和基金份额累计净值。</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146</w:t>
      </w:r>
    </w:p>
    <w:p>
      <w:pPr>
        <w:spacing w:before="0" w:after="0" w:line="0" w:lineRule="exact"/>
        <w:ind w:left="0" w:right="0"/>
        <w:jc w:val="left"/>
        <w:rPr>
          <w:rFonts w:ascii="Arial"/>
          <w:color w:val="FF0000"/>
          <w:spacing w:val="0"/>
          <w:sz w:val="2"/>
        </w:rPr>
      </w:pPr>
      <w:r>
        <w:pict>
          <v:shape id="_x0000318" o:spid="_x0000_s134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19" o:spid="_x0000_s1345"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在开始办理基金份额申购或者赎回后，基金管理人应当在不晚于每个开放日的次日，</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通过指定网站、基金销售机构网站或者营业网点披露开放日的基金份额净值和基金份额累</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计净值。</w:t>
      </w:r>
    </w:p>
    <w:p>
      <w:pPr>
        <w:framePr w:w="9553"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基金管理人应当在不晚于半年度和年度最后一日的次日，在指定网站披露半年度和年</w:t>
      </w:r>
    </w:p>
    <w:p>
      <w:pPr>
        <w:framePr w:w="9553"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度最后一日的基金份额净值和基金份额累计净值。</w:t>
      </w:r>
    </w:p>
    <w:p>
      <w:pPr>
        <w:framePr w:w="3387" w:wrap="around" w:vAnchor="margin" w:hAnchor="text" w:x="2220" w:y="34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（五）基金份额申购、赎回价格</w:t>
      </w:r>
    </w:p>
    <w:p>
      <w:pPr>
        <w:framePr w:w="9560"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基金管理人应当在《基金合同》、招募说明书等信息披露文件上载明基金份额申购、赎</w:t>
      </w:r>
    </w:p>
    <w:p>
      <w:pPr>
        <w:framePr w:w="9560"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回价格的计算方式及有关申购、赎回费率，并保证投资人能够在基金份额销售机构网站或</w:t>
      </w:r>
    </w:p>
    <w:p>
      <w:pPr>
        <w:framePr w:w="9560" w:wrap="around" w:vAnchor="margin" w:hAnchor="text" w:x="1800" w:y="390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营业网点查阅或者复制前述信息资料。</w:t>
      </w:r>
    </w:p>
    <w:p>
      <w:pPr>
        <w:framePr w:w="9560"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（六）基金定期报告，包括包括基金年度报告、基金中期报告和基金季度报告</w:t>
      </w:r>
    </w:p>
    <w:p>
      <w:pPr>
        <w:framePr w:w="9560"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基金管理人应当在每年结束之日起三个月内，编制完成基金年度报告，将年度报告登</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载在指定网站上，并将年度报告提示性公告登载在指定报刊上。基金年度报告中的财务会</w:t>
      </w:r>
    </w:p>
    <w:p>
      <w:pPr>
        <w:framePr w:w="9560" w:wrap="around" w:vAnchor="margin" w:hAnchor="text" w:x="1800" w:y="512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计报告应当经过具有证券、期货相关业务资格的会计师事务所审计。</w:t>
      </w:r>
    </w:p>
    <w:p>
      <w:pPr>
        <w:framePr w:w="9560"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基金管理人应当在上半年结束之日起两个月内，编制完成基金中期报告，将中期报告</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登载在指定网站上，并将中期报告提示性公告登载在指定报刊上。</w:t>
      </w:r>
    </w:p>
    <w:p>
      <w:pPr>
        <w:framePr w:w="9560"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基金管理人应当在季度结束之日起</w:t>
      </w:r>
      <w:r>
        <w:rPr>
          <w:rFonts w:ascii="GGHCMB+å®ä½"/>
          <w:color w:val="222222"/>
          <w:spacing w:val="0"/>
          <w:sz w:val="21"/>
        </w:rPr>
        <w:t>15</w:t>
      </w:r>
      <w:r>
        <w:rPr>
          <w:rFonts w:ascii="SKJVQB+å®ä½" w:hAnsi="SKJVQB+å®ä½" w:cs="SKJVQB+å®ä½"/>
          <w:color w:val="222222"/>
          <w:spacing w:val="0"/>
          <w:sz w:val="21"/>
        </w:rPr>
        <w:t>个工作日内，编制完成基金季度报告，将季度报</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告登载在指定网站上，并将季度报告提示性公告登载在指定报刊上。</w:t>
      </w:r>
    </w:p>
    <w:p>
      <w:pPr>
        <w:framePr w:w="9560" w:wrap="around" w:vAnchor="margin" w:hAnchor="text" w:x="1800" w:y="5129"/>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《基金合同》生效不足</w:t>
      </w:r>
      <w:r>
        <w:rPr>
          <w:rFonts w:ascii="GGHCMB+å®ä½"/>
          <w:color w:val="222222"/>
          <w:spacing w:val="0"/>
          <w:sz w:val="21"/>
        </w:rPr>
        <w:t>2</w:t>
      </w:r>
      <w:r>
        <w:rPr>
          <w:rFonts w:ascii="SKJVQB+å®ä½" w:hAnsi="SKJVQB+å®ä½" w:cs="SKJVQB+å®ä½"/>
          <w:color w:val="222222"/>
          <w:spacing w:val="0"/>
          <w:sz w:val="21"/>
        </w:rPr>
        <w:t>个月的，基金管理人可以不编制当期季度报告、中期报告或者</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年度报告。</w:t>
      </w:r>
    </w:p>
    <w:p>
      <w:pPr>
        <w:framePr w:w="9559" w:wrap="around" w:vAnchor="margin" w:hAnchor="text" w:x="1800" w:y="921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本基金在季度报告、中期报告、年度报告等定期报告和更新招募说明书（更新）等文件</w:t>
      </w:r>
    </w:p>
    <w:p>
      <w:pPr>
        <w:framePr w:w="9559"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中披露中小企业私募债券的投资情况。</w:t>
      </w:r>
    </w:p>
    <w:p>
      <w:pPr>
        <w:framePr w:w="9798"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本基金在季度报告、中期报告、年度报告等定期报告等文件中披露国债期货交易情况，</w:t>
      </w:r>
    </w:p>
    <w:p>
      <w:pPr>
        <w:framePr w:w="9798"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包括投资政策、持仓情况、损益情况、风险指标等，并充分揭示国债期货交易对基金总体</w:t>
      </w:r>
    </w:p>
    <w:p>
      <w:pPr>
        <w:framePr w:w="9798" w:wrap="around" w:vAnchor="margin" w:hAnchor="text" w:x="1800" w:y="1003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风险的影响以及是否符合既定的投资政策和投资目标。</w:t>
      </w:r>
    </w:p>
    <w:p>
      <w:pPr>
        <w:framePr w:w="9560" w:wrap="around" w:vAnchor="margin" w:hAnchor="text" w:x="1800" w:y="11257"/>
        <w:widowControl w:val="0"/>
        <w:autoSpaceDE w:val="0"/>
        <w:autoSpaceDN w:val="0"/>
        <w:spacing w:before="0" w:after="0" w:line="211" w:lineRule="exact"/>
        <w:ind w:left="420" w:right="0"/>
        <w:jc w:val="left"/>
        <w:rPr>
          <w:rFonts w:ascii="GGHCMB+å®ä½"/>
          <w:color w:val="222222"/>
          <w:spacing w:val="0"/>
          <w:sz w:val="21"/>
        </w:rPr>
      </w:pPr>
      <w:r>
        <w:rPr>
          <w:rFonts w:ascii="SKJVQB+å®ä½" w:hAnsi="SKJVQB+å®ä½" w:cs="SKJVQB+å®ä½"/>
          <w:color w:val="222222"/>
          <w:spacing w:val="0"/>
          <w:sz w:val="21"/>
        </w:rPr>
        <w:t xml:space="preserve">基金运作期间，如报告期内出现单一投资者持有基金份额达到或超过基金总份额  </w:t>
      </w:r>
      <w:r>
        <w:rPr>
          <w:rFonts w:ascii="GGHCMB+å®ä½"/>
          <w:color w:val="222222"/>
          <w:spacing w:val="0"/>
          <w:sz w:val="21"/>
        </w:rPr>
        <w:t xml:space="preserve"> 20%</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的情形，为保障其他投资者的权益，基金管理人至少应当在基金定期报告“影响投资者决</w:t>
      </w:r>
    </w:p>
    <w:p>
      <w:pPr>
        <w:framePr w:w="9560"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策的其他重要信息”项下披露该投资者的类别、报告期末持有份额及占比、报告期内持有</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份额变化情况及产品的特有风险，中国证监会认定的特殊情形除外。</w:t>
      </w:r>
    </w:p>
    <w:p>
      <w:pPr>
        <w:framePr w:w="9560" w:wrap="around" w:vAnchor="margin" w:hAnchor="text" w:x="1800" w:y="1125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基金持续运作过程中，应当在基金年度报告和中期报告中披露基金组合资产情况及其</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流动性风险分析等。</w:t>
      </w:r>
    </w:p>
    <w:p>
      <w:pPr>
        <w:framePr w:w="1789" w:wrap="around" w:vAnchor="margin" w:hAnchor="text" w:x="2220" w:y="137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（七）临时报告</w:t>
      </w:r>
    </w:p>
    <w:p>
      <w:pPr>
        <w:framePr w:w="9557" w:wrap="around" w:vAnchor="margin" w:hAnchor="text" w:x="1800" w:y="1411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本基金发生重大事件，有关信息披露义务人应当在 </w:t>
      </w:r>
      <w:r>
        <w:rPr>
          <w:rFonts w:ascii="GGHCMB+å®ä½"/>
          <w:color w:val="222222"/>
          <w:spacing w:val="0"/>
          <w:sz w:val="21"/>
        </w:rPr>
        <w:t>2</w:t>
      </w:r>
      <w:r>
        <w:rPr>
          <w:rFonts w:ascii="SKJVQB+å®ä½" w:hAnsi="SKJVQB+å®ä½" w:cs="SKJVQB+å®ä½"/>
          <w:color w:val="222222"/>
          <w:spacing w:val="0"/>
          <w:sz w:val="21"/>
        </w:rPr>
        <w:t>日内编制临时报告书，并登载在</w:t>
      </w:r>
    </w:p>
    <w:p>
      <w:pPr>
        <w:framePr w:w="9557"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指定报刊和指定网站上。</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147</w:t>
      </w:r>
    </w:p>
    <w:p>
      <w:pPr>
        <w:spacing w:before="0" w:after="0" w:line="0" w:lineRule="exact"/>
        <w:ind w:left="0" w:right="0"/>
        <w:jc w:val="left"/>
        <w:rPr>
          <w:rFonts w:ascii="Arial"/>
          <w:color w:val="FF0000"/>
          <w:spacing w:val="0"/>
          <w:sz w:val="2"/>
        </w:rPr>
      </w:pPr>
      <w:r>
        <w:pict>
          <v:shape id="_x0000320" o:spid="_x0000_s134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21" o:spid="_x0000_s1347"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070"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前款所称重大事件，是指可能对基金份额持有人权益或者基金份额的价格产生重大影</w:t>
      </w:r>
    </w:p>
    <w:p>
      <w:pPr>
        <w:framePr w:w="1789" w:wrap="around" w:vAnchor="margin" w:hAnchor="text" w:x="1800" w:y="186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响的下列事件：</w:t>
      </w:r>
    </w:p>
    <w:p>
      <w:pPr>
        <w:framePr w:w="4955" w:wrap="around" w:vAnchor="margin" w:hAnchor="text" w:x="2220" w:y="226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、基金份额持有人大会的召开及决定的事项；</w:t>
      </w:r>
    </w:p>
    <w:p>
      <w:pPr>
        <w:framePr w:w="3746" w:wrap="around" w:vAnchor="margin" w:hAnchor="text" w:x="222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、终止《基金合同》、基金清算；</w:t>
      </w:r>
    </w:p>
    <w:p>
      <w:pPr>
        <w:framePr w:w="3746" w:wrap="around" w:vAnchor="margin" w:hAnchor="text" w:x="2220" w:y="30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、基金扩募、延长基金合同期限；</w:t>
      </w:r>
    </w:p>
    <w:p>
      <w:pPr>
        <w:framePr w:w="3746" w:wrap="around" w:vAnchor="margin" w:hAnchor="text" w:x="2220" w:y="34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、转换基金运作方式、基金合并；</w:t>
      </w:r>
    </w:p>
    <w:p>
      <w:pPr>
        <w:framePr w:w="9556"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、更换基金管理人、基金托管人、基金份额登记机构，基金改聘会计师事务所；</w:t>
      </w:r>
    </w:p>
    <w:p>
      <w:pPr>
        <w:framePr w:w="9556" w:wrap="around" w:vAnchor="margin" w:hAnchor="text" w:x="1800" w:y="390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、基金管理人委托基金服务机构代为办理基金的份额登记、核算、估值等事项，基金</w:t>
      </w:r>
    </w:p>
    <w:p>
      <w:pPr>
        <w:framePr w:w="9556" w:wrap="around" w:vAnchor="margin" w:hAnchor="text" w:x="1800" w:y="390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托管人委托基金服务机构代为办理基金的核算、估值、复核等事项；</w:t>
      </w:r>
    </w:p>
    <w:p>
      <w:pPr>
        <w:framePr w:w="9556" w:wrap="around" w:vAnchor="margin" w:hAnchor="text" w:x="1800" w:y="390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、基金管理人、基金托管人的法定名称、住所发生变更；</w:t>
      </w:r>
    </w:p>
    <w:p>
      <w:pPr>
        <w:framePr w:w="9556" w:wrap="around" w:vAnchor="margin" w:hAnchor="text" w:x="1800" w:y="390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、基金管理人变更持有百分之五以上股权的股东、基金管理人的实际控制人变更；</w:t>
      </w:r>
    </w:p>
    <w:p>
      <w:pPr>
        <w:framePr w:w="9556" w:wrap="around" w:vAnchor="margin" w:hAnchor="text" w:x="1800" w:y="390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、基金募集期延长或提前结束募集；</w:t>
      </w:r>
    </w:p>
    <w:p>
      <w:pPr>
        <w:framePr w:w="9553"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、基金管理人的高级管理人员、基金经理和基金托管人专门基金托管部门负责人发</w:t>
      </w:r>
    </w:p>
    <w:p>
      <w:pPr>
        <w:framePr w:w="9553"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生变动；</w:t>
      </w:r>
    </w:p>
    <w:p>
      <w:pPr>
        <w:framePr w:w="9560"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11</w:t>
      </w:r>
      <w:r>
        <w:rPr>
          <w:rFonts w:ascii="SKJVQB+å®ä½" w:hAnsi="SKJVQB+å®ä½" w:cs="SKJVQB+å®ä½"/>
          <w:color w:val="222222"/>
          <w:spacing w:val="0"/>
          <w:sz w:val="21"/>
        </w:rPr>
        <w:t>、基金管理人的董事在最近</w:t>
      </w:r>
      <w:r>
        <w:rPr>
          <w:rFonts w:ascii="GGHCMB+å®ä½"/>
          <w:color w:val="222222"/>
          <w:spacing w:val="0"/>
          <w:sz w:val="21"/>
        </w:rPr>
        <w:t>12</w:t>
      </w:r>
      <w:r>
        <w:rPr>
          <w:rFonts w:ascii="SKJVQB+å®ä½" w:hAnsi="SKJVQB+å®ä½" w:cs="SKJVQB+å®ä½"/>
          <w:color w:val="222222"/>
          <w:spacing w:val="0"/>
          <w:sz w:val="21"/>
        </w:rPr>
        <w:t>个月变更超过百分之五十；</w:t>
      </w:r>
    </w:p>
    <w:p>
      <w:pPr>
        <w:framePr w:w="9560" w:wrap="around" w:vAnchor="margin" w:hAnchor="text" w:x="1800" w:y="717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12</w:t>
      </w:r>
      <w:r>
        <w:rPr>
          <w:rFonts w:ascii="SKJVQB+å®ä½" w:hAnsi="SKJVQB+å®ä½" w:cs="SKJVQB+å®ä½"/>
          <w:color w:val="222222"/>
          <w:spacing w:val="0"/>
          <w:sz w:val="21"/>
        </w:rPr>
        <w:t>、基金管理人、基金托管人基金托管部门的主要业务人员在最近</w:t>
      </w:r>
      <w:r>
        <w:rPr>
          <w:rFonts w:ascii="GGHCMB+å®ä½"/>
          <w:color w:val="222222"/>
          <w:spacing w:val="0"/>
          <w:sz w:val="21"/>
        </w:rPr>
        <w:t>12</w:t>
      </w:r>
      <w:r>
        <w:rPr>
          <w:rFonts w:ascii="SKJVQB+å®ä½" w:hAnsi="SKJVQB+å®ä½" w:cs="SKJVQB+å®ä½"/>
          <w:color w:val="222222"/>
          <w:spacing w:val="0"/>
          <w:sz w:val="21"/>
        </w:rPr>
        <w:t>个月变动超过百</w:t>
      </w:r>
    </w:p>
    <w:p>
      <w:pPr>
        <w:framePr w:w="9560"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分之三十；</w:t>
      </w:r>
    </w:p>
    <w:p>
      <w:pPr>
        <w:framePr w:w="9553"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13</w:t>
      </w:r>
      <w:r>
        <w:rPr>
          <w:rFonts w:ascii="SKJVQB+å®ä½" w:hAnsi="SKJVQB+å®ä½" w:cs="SKJVQB+å®ä½"/>
          <w:color w:val="222222"/>
          <w:spacing w:val="0"/>
          <w:sz w:val="21"/>
        </w:rPr>
        <w:t>、涉及基金管理业务、基金财产、基金托管业务的诉讼或仲裁；</w:t>
      </w:r>
    </w:p>
    <w:p>
      <w:pPr>
        <w:framePr w:w="9553" w:wrap="around" w:vAnchor="margin" w:hAnchor="text" w:x="1800" w:y="839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14</w:t>
      </w:r>
      <w:r>
        <w:rPr>
          <w:rFonts w:ascii="SKJVQB+å®ä½" w:hAnsi="SKJVQB+å®ä½" w:cs="SKJVQB+å®ä½"/>
          <w:color w:val="222222"/>
          <w:spacing w:val="0"/>
          <w:sz w:val="21"/>
        </w:rPr>
        <w:t>、基金管理人或其高级管理人员、基金经理因基金管理业务相关行为受到重大行政</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处罚、刑事处罚，基金托管人或其专门基金托管部门负责人因基金托管业务相关行为受到</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重大行政处罚、刑事处罚；</w:t>
      </w:r>
    </w:p>
    <w:p>
      <w:pPr>
        <w:framePr w:w="9553"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、基金管理人运用基金财产买卖基金管理人、基金托管人及其控股股东、实际控制</w:t>
      </w:r>
    </w:p>
    <w:p>
      <w:pPr>
        <w:framePr w:w="9553"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人或者与其有重大利害关系的公司发行的证券或者承销期内承销的证券，或者从事其他重</w:t>
      </w:r>
    </w:p>
    <w:p>
      <w:pPr>
        <w:framePr w:w="9553" w:wrap="around" w:vAnchor="margin" w:hAnchor="text" w:x="1800" w:y="1003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大关联交易事项，但中国证监会另有规定的除外；</w:t>
      </w:r>
    </w:p>
    <w:p>
      <w:pPr>
        <w:framePr w:w="2661" w:wrap="around" w:vAnchor="margin" w:hAnchor="text" w:x="2220" w:y="112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16</w:t>
      </w:r>
      <w:r>
        <w:rPr>
          <w:rFonts w:ascii="SKJVQB+å®ä½" w:hAnsi="SKJVQB+å®ä½" w:cs="SKJVQB+å®ä½"/>
          <w:color w:val="222222"/>
          <w:spacing w:val="0"/>
          <w:sz w:val="21"/>
        </w:rPr>
        <w:t>、基金收益分配事项；</w:t>
      </w:r>
    </w:p>
    <w:p>
      <w:pPr>
        <w:framePr w:w="9553"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17</w:t>
      </w:r>
      <w:r>
        <w:rPr>
          <w:rFonts w:ascii="SKJVQB+å®ä½" w:hAnsi="SKJVQB+å®ä½" w:cs="SKJVQB+å®ä½"/>
          <w:color w:val="222222"/>
          <w:spacing w:val="0"/>
          <w:sz w:val="21"/>
        </w:rPr>
        <w:t>、管理费、托管费、销售服务费、申购费、赎回费等费用计提标准、计提方式和费</w:t>
      </w:r>
    </w:p>
    <w:p>
      <w:pPr>
        <w:framePr w:w="9553"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率发生变更；</w:t>
      </w:r>
    </w:p>
    <w:p>
      <w:pPr>
        <w:framePr w:w="6286" w:wrap="around" w:vAnchor="margin" w:hAnchor="text" w:x="2220" w:y="1248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18</w:t>
      </w:r>
      <w:r>
        <w:rPr>
          <w:rFonts w:ascii="SKJVQB+å®ä½" w:hAnsi="SKJVQB+å®ä½" w:cs="SKJVQB+å®ä½"/>
          <w:color w:val="222222"/>
          <w:spacing w:val="0"/>
          <w:sz w:val="21"/>
        </w:rPr>
        <w:t>、基金份额净值计价错误达基金份额净值百分之零点五；</w:t>
      </w:r>
    </w:p>
    <w:p>
      <w:pPr>
        <w:framePr w:w="6286" w:wrap="around" w:vAnchor="margin" w:hAnchor="text" w:x="222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19</w:t>
      </w:r>
      <w:r>
        <w:rPr>
          <w:rFonts w:ascii="SKJVQB+å®ä½" w:hAnsi="SKJVQB+å®ä½" w:cs="SKJVQB+å®ä½"/>
          <w:color w:val="222222"/>
          <w:spacing w:val="0"/>
          <w:sz w:val="21"/>
        </w:rPr>
        <w:t>、本基金开始办理申购、赎回；</w:t>
      </w:r>
    </w:p>
    <w:p>
      <w:pPr>
        <w:framePr w:w="4110" w:wrap="around" w:vAnchor="margin" w:hAnchor="text" w:x="2220" w:y="1330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20</w:t>
      </w:r>
      <w:r>
        <w:rPr>
          <w:rFonts w:ascii="SKJVQB+å®ä½" w:hAnsi="SKJVQB+å®ä½" w:cs="SKJVQB+å®ä½"/>
          <w:color w:val="222222"/>
          <w:spacing w:val="0"/>
          <w:sz w:val="21"/>
        </w:rPr>
        <w:t>、本基金发生巨额赎回并延期办理；</w:t>
      </w:r>
    </w:p>
    <w:p>
      <w:pPr>
        <w:framePr w:w="9553"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21</w:t>
      </w:r>
      <w:r>
        <w:rPr>
          <w:rFonts w:ascii="SKJVQB+å®ä½" w:hAnsi="SKJVQB+å®ä½" w:cs="SKJVQB+å®ä½"/>
          <w:color w:val="222222"/>
          <w:spacing w:val="0"/>
          <w:sz w:val="21"/>
        </w:rPr>
        <w:t>、本基金连续发生巨额赎回并暂停接受赎回申请或延缓支付赎回款项；</w:t>
      </w:r>
    </w:p>
    <w:p>
      <w:pPr>
        <w:framePr w:w="9553" w:wrap="around" w:vAnchor="margin" w:hAnchor="text" w:x="1800" w:y="13708"/>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22</w:t>
      </w:r>
      <w:r>
        <w:rPr>
          <w:rFonts w:ascii="SKJVQB+å®ä½" w:hAnsi="SKJVQB+å®ä½" w:cs="SKJVQB+å®ä½"/>
          <w:color w:val="222222"/>
          <w:spacing w:val="0"/>
          <w:sz w:val="21"/>
        </w:rPr>
        <w:t>、本基金暂停接受申购、赎回申请或重新接受申购、赎回申请；</w:t>
      </w:r>
    </w:p>
    <w:p>
      <w:pPr>
        <w:framePr w:w="9553" w:wrap="around" w:vAnchor="margin" w:hAnchor="text" w:x="1800" w:y="1370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23</w:t>
      </w:r>
      <w:r>
        <w:rPr>
          <w:rFonts w:ascii="SKJVQB+å®ä½" w:hAnsi="SKJVQB+å®ä½" w:cs="SKJVQB+å®ä½"/>
          <w:color w:val="222222"/>
          <w:spacing w:val="0"/>
          <w:sz w:val="21"/>
        </w:rPr>
        <w:t>、本基金投资中小企业私募债券后两个交易日内，在中国证监会指定媒介披露所投</w:t>
      </w:r>
    </w:p>
    <w:p>
      <w:pPr>
        <w:framePr w:w="9553" w:wrap="around" w:vAnchor="margin" w:hAnchor="text" w:x="1800" w:y="137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资中小企业私募债券的名称、数量、期限、收益率等信息；</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148</w:t>
      </w:r>
    </w:p>
    <w:p>
      <w:pPr>
        <w:spacing w:before="0" w:after="0" w:line="0" w:lineRule="exact"/>
        <w:ind w:left="0" w:right="0"/>
        <w:jc w:val="left"/>
        <w:rPr>
          <w:rFonts w:ascii="Arial"/>
          <w:color w:val="FF0000"/>
          <w:spacing w:val="0"/>
          <w:sz w:val="2"/>
        </w:rPr>
      </w:pPr>
      <w:r>
        <w:pict>
          <v:shape id="_x0000322" o:spid="_x0000_s134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23" o:spid="_x0000_s1349"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24</w:t>
      </w:r>
      <w:r>
        <w:rPr>
          <w:rFonts w:ascii="SKJVQB+å®ä½" w:hAnsi="SKJVQB+å®ä½" w:cs="SKJVQB+å®ä½"/>
          <w:color w:val="222222"/>
          <w:spacing w:val="0"/>
          <w:sz w:val="21"/>
        </w:rPr>
        <w:t>、基金信息披露义务人认为可能对基金份额持有人权益或者基金份额的价格产生重</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大影响的其他事项或中国证监会规定和基金合同约定的其他事项。</w:t>
      </w:r>
    </w:p>
    <w:p>
      <w:pPr>
        <w:framePr w:w="9553"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（八）澄清公告</w:t>
      </w:r>
    </w:p>
    <w:p>
      <w:pPr>
        <w:framePr w:w="9559"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在《基金合同》存续期限内，任何公共媒介中出现的或者在市场上流传的消息可能对基</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金份额价格产生误导性影响或者引起较大波动，以及可能损害基金份额持有人权益的，相</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关信息披露义务人知悉后应当立即对该消息进行公开澄清，并将有关情况立即报告中国证</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监会。</w:t>
      </w:r>
    </w:p>
    <w:p>
      <w:pPr>
        <w:framePr w:w="1789" w:wrap="around" w:vAnchor="margin" w:hAnchor="text" w:x="2220" w:y="43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（九）清算报告</w:t>
      </w:r>
    </w:p>
    <w:p>
      <w:pPr>
        <w:framePr w:w="9553"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基金合同终止的，基金管理人应当组织基金财产清算小组对基金财产进行清算并作出</w:t>
      </w:r>
    </w:p>
    <w:p>
      <w:pPr>
        <w:framePr w:w="9553"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清算报告。基金财产清算小组应当将清算报告登载在指定网站上，并将清算报告提示性公</w:t>
      </w:r>
    </w:p>
    <w:p>
      <w:pPr>
        <w:framePr w:w="9553"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告登载在指定报刊上。</w:t>
      </w:r>
    </w:p>
    <w:p>
      <w:pPr>
        <w:framePr w:w="3387" w:wrap="around" w:vAnchor="margin" w:hAnchor="text" w:x="2220" w:y="594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（十）基金份额持有人大会决议</w:t>
      </w:r>
    </w:p>
    <w:p>
      <w:pPr>
        <w:framePr w:w="8218" w:wrap="around" w:vAnchor="margin" w:hAnchor="text" w:x="2220" w:y="63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基金份额持有人大会决定的事项，应当依法报中国证监会备案，并予以公告。</w:t>
      </w:r>
    </w:p>
    <w:p>
      <w:pPr>
        <w:framePr w:w="8218" w:wrap="around" w:vAnchor="margin" w:hAnchor="text" w:x="222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（十一）中国证监会规定的其他信息。</w:t>
      </w:r>
    </w:p>
    <w:p>
      <w:pPr>
        <w:framePr w:w="2418"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六、信息披露事务管理</w:t>
      </w:r>
    </w:p>
    <w:p>
      <w:pPr>
        <w:framePr w:w="9553"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基金管理人、基金托管人应当建立健全信息披露管理制度，指定专门部门及高级管理</w:t>
      </w:r>
    </w:p>
    <w:p>
      <w:pPr>
        <w:framePr w:w="9553"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人员负责管理信息披露事务。</w:t>
      </w:r>
    </w:p>
    <w:p>
      <w:pPr>
        <w:framePr w:w="9553"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基金信息披露义务人公开披露基金信息，应当符合中国证监会相关基金信息披露内容</w:t>
      </w:r>
    </w:p>
    <w:p>
      <w:pPr>
        <w:framePr w:w="9553"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与格式准则等法规的规定。</w:t>
      </w:r>
    </w:p>
    <w:p>
      <w:pPr>
        <w:framePr w:w="9795" w:wrap="around" w:vAnchor="margin" w:hAnchor="text" w:x="1800" w:y="962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基金托管人应当按照相关法律法规、中国证监会的规定和《基金合同》的约定，对基金</w:t>
      </w:r>
    </w:p>
    <w:p>
      <w:pPr>
        <w:framePr w:w="9795" w:wrap="around" w:vAnchor="margin" w:hAnchor="text" w:x="180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管理人编制的基金资产净值、基金份额净值、基金份额申购赎回价格、基金定期报告、更</w:t>
      </w:r>
    </w:p>
    <w:p>
      <w:pPr>
        <w:framePr w:w="9795"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新的招募说明书、基金产品资料概要、基金清算报告等公开披露的相关基金信息进行复核、</w:t>
      </w:r>
    </w:p>
    <w:p>
      <w:pPr>
        <w:framePr w:w="9795" w:wrap="around" w:vAnchor="margin" w:hAnchor="text" w:x="1800" w:y="962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审查，并向基金管理人出具书面文件或者盖章或者</w:t>
      </w:r>
      <w:r>
        <w:rPr>
          <w:rFonts w:ascii="GGHCMB+å®ä½"/>
          <w:color w:val="222222"/>
          <w:spacing w:val="0"/>
          <w:sz w:val="21"/>
        </w:rPr>
        <w:t>XBRL</w:t>
      </w:r>
      <w:r>
        <w:rPr>
          <w:rFonts w:ascii="SKJVQB+å®ä½" w:hAnsi="SKJVQB+å®ä½" w:cs="SKJVQB+å®ä½"/>
          <w:color w:val="222222"/>
          <w:spacing w:val="0"/>
          <w:sz w:val="21"/>
        </w:rPr>
        <w:t>电子方式复核确认。</w:t>
      </w:r>
    </w:p>
    <w:p>
      <w:pPr>
        <w:framePr w:w="9795" w:wrap="around" w:vAnchor="margin" w:hAnchor="text" w:x="1800" w:y="962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基金管理人、基金托管人应当在指定报刊中选择披露信息的报刊。基金管理人、基金</w:t>
      </w:r>
    </w:p>
    <w:p>
      <w:pPr>
        <w:framePr w:w="9795"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托管人应当向中国证监会基金电子披露网站报送拟披露的基金信息，并保证相关报送信息</w:t>
      </w:r>
    </w:p>
    <w:p>
      <w:pPr>
        <w:framePr w:w="9795" w:wrap="around" w:vAnchor="margin" w:hAnchor="text" w:x="180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的真实、准确、完整、及时。</w:t>
      </w:r>
    </w:p>
    <w:p>
      <w:pPr>
        <w:framePr w:w="9553" w:wrap="around" w:vAnchor="margin" w:hAnchor="text" w:x="1800" w:y="124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基金管理人、基金托管人除依法在指定媒介上披露信息外，还可以根据需要在其他公</w:t>
      </w:r>
    </w:p>
    <w:p>
      <w:pPr>
        <w:framePr w:w="9553"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共媒介披露信息，但是其他公共媒介不得早于指定媒介披露信息，并且在不同媒介上披露</w:t>
      </w:r>
    </w:p>
    <w:p>
      <w:pPr>
        <w:framePr w:w="9553"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同一信息的内容应当一致。</w:t>
      </w:r>
    </w:p>
    <w:p>
      <w:pPr>
        <w:framePr w:w="9554"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为基金信息披露义务人公开披露的基金信息出具审计报告、法律意见书的专业机构，</w:t>
      </w:r>
    </w:p>
    <w:p>
      <w:pPr>
        <w:framePr w:w="9554" w:wrap="around" w:vAnchor="margin" w:hAnchor="text" w:x="180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应当制作工作底稿，并将相关档案至少保存到《基金合同》终止后</w:t>
      </w:r>
      <w:r>
        <w:rPr>
          <w:rFonts w:ascii="GGHCMB+å®ä½"/>
          <w:color w:val="222222"/>
          <w:spacing w:val="0"/>
          <w:sz w:val="21"/>
        </w:rPr>
        <w:t>10</w:t>
      </w:r>
      <w:r>
        <w:rPr>
          <w:rFonts w:ascii="SKJVQB+å®ä½" w:hAnsi="SKJVQB+å®ä½" w:cs="SKJVQB+å®ä½"/>
          <w:color w:val="222222"/>
          <w:spacing w:val="0"/>
          <w:sz w:val="21"/>
        </w:rPr>
        <w:t>年。</w:t>
      </w:r>
    </w:p>
    <w:p>
      <w:pPr>
        <w:framePr w:w="3387"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七、信息披露文件的存放与查阅</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149</w:t>
      </w:r>
    </w:p>
    <w:p>
      <w:pPr>
        <w:spacing w:before="0" w:after="0" w:line="0" w:lineRule="exact"/>
        <w:ind w:left="0" w:right="0"/>
        <w:jc w:val="left"/>
        <w:rPr>
          <w:rFonts w:ascii="Arial"/>
          <w:color w:val="FF0000"/>
          <w:spacing w:val="0"/>
          <w:sz w:val="2"/>
        </w:rPr>
      </w:pPr>
      <w:r>
        <w:pict>
          <v:shape id="_x0000324" o:spid="_x0000_s135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25" o:spid="_x0000_s1351"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依法必须披露的信息发布后，基金管理人、基金托管人应当按照相关法律法规规定将</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信息置备于各自住所，供社会公众查阅、复制。</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150</w:t>
      </w:r>
    </w:p>
    <w:p>
      <w:pPr>
        <w:spacing w:before="0" w:after="0" w:line="0" w:lineRule="exact"/>
        <w:ind w:left="0" w:right="0"/>
        <w:jc w:val="left"/>
        <w:rPr>
          <w:rFonts w:ascii="Arial"/>
          <w:color w:val="FF0000"/>
          <w:spacing w:val="0"/>
          <w:sz w:val="2"/>
        </w:rPr>
      </w:pPr>
      <w:r>
        <w:pict>
          <v:shape id="_x0000326" o:spid="_x0000_s135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63" o:title=""/>
            <o:lock v:ext="edit" aspectratio="t"/>
          </v:shape>
        </w:pict>
      </w:r>
      <w:r>
        <w:pict>
          <v:shape id="_x0000327" o:spid="_x0000_s1353" o:spt="75" type="#_x0000_t75" style="position:absolute;left:0pt;margin-left:88.6pt;margin-top:71.1pt;height:40.8pt;width:418.3pt;mso-position-horizontal-relative:page;mso-position-vertical-relative:page;z-index:-2048;mso-width-relative:page;mso-height-relative:page;" filled="f" coordsize="21600,21600">
            <v:path/>
            <v:fill on="f" focussize="0,0"/>
            <v:stroke/>
            <v:imagedata r:id="rId26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49" w:wrap="around" w:vAnchor="margin" w:hAnchor="text" w:x="5039"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16</w:t>
      </w:r>
      <w:r>
        <w:rPr>
          <w:rFonts w:ascii="SKJVQB+å®ä½" w:hAnsi="SKJVQB+å®ä½" w:cs="SKJVQB+å®ä½"/>
          <w:color w:val="222222"/>
          <w:spacing w:val="0"/>
          <w:sz w:val="28"/>
        </w:rPr>
        <w:t>风险揭示</w:t>
      </w:r>
    </w:p>
    <w:p>
      <w:pPr>
        <w:framePr w:w="9553" w:wrap="around" w:vAnchor="margin" w:hAnchor="text" w:x="1800" w:y="23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本基金投资于债券市场，基金净值会因为债券市场波动等因素产生波动。基金投资中</w:t>
      </w:r>
    </w:p>
    <w:p>
      <w:pPr>
        <w:framePr w:w="9553"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出现的风险分为如下三类，一是本基金特有的风险；二是国内债券市场风险，包括政策风</w:t>
      </w:r>
    </w:p>
    <w:p>
      <w:pPr>
        <w:framePr w:w="9553"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险、利率风险等；三是开放式基金共有的风险，包括流动性风险、管理风险等；四是本基</w:t>
      </w:r>
    </w:p>
    <w:p>
      <w:pPr>
        <w:framePr w:w="9553"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金法律文件风险收益特征表述与销售机构基金风险评价可能不一致的风险。</w:t>
      </w:r>
    </w:p>
    <w:p>
      <w:pPr>
        <w:framePr w:w="2418" w:wrap="around" w:vAnchor="margin" w:hAnchor="text" w:x="2220" w:y="439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一、本基金的特有风险</w:t>
      </w:r>
    </w:p>
    <w:p>
      <w:pPr>
        <w:framePr w:w="9786" w:wrap="around" w:vAnchor="margin" w:hAnchor="text" w:x="1800" w:y="48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、本基金主要投资于信用类的固定收益类品种和可转换公司债券，且二者合计不低于</w:t>
      </w:r>
    </w:p>
    <w:p>
      <w:pPr>
        <w:framePr w:w="9786" w:wrap="around" w:vAnchor="margin" w:hAnchor="text" w:x="1800" w:y="48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基金债券资产的 </w:t>
      </w:r>
      <w:r>
        <w:rPr>
          <w:rFonts w:ascii="GGHCMB+å®ä½"/>
          <w:color w:val="222222"/>
          <w:spacing w:val="0"/>
          <w:sz w:val="21"/>
        </w:rPr>
        <w:t>80%</w:t>
      </w:r>
      <w:r>
        <w:rPr>
          <w:rFonts w:ascii="SKJVQB+å®ä½" w:hAnsi="SKJVQB+å®ä½" w:cs="SKJVQB+å®ä½"/>
          <w:color w:val="222222"/>
          <w:spacing w:val="0"/>
          <w:sz w:val="21"/>
        </w:rPr>
        <w:t>，因此，本基金除承担由于市场利率波动造成的利率风险外还要承担</w:t>
      </w:r>
    </w:p>
    <w:p>
      <w:pPr>
        <w:framePr w:w="9786" w:wrap="around" w:vAnchor="margin" w:hAnchor="text" w:x="1800" w:y="48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如企业债、公司债等信用品种的发债主体信用恶化造成的信用风险；此外，可转债的条款</w:t>
      </w:r>
    </w:p>
    <w:p>
      <w:pPr>
        <w:framePr w:w="9786" w:wrap="around" w:vAnchor="margin" w:hAnchor="text" w:x="1800" w:y="48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相对于普通债券和股票而言更为复杂，忽视这些条款导致的事件可能为本基金带来损失。</w:t>
      </w:r>
    </w:p>
    <w:p>
      <w:pPr>
        <w:framePr w:w="9786" w:wrap="around" w:vAnchor="margin" w:hAnchor="text" w:x="1800" w:y="48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例如，当可转债的价格明显高于其赎回价格时，若本基金未能在转债被赎回前转股或卖出，</w:t>
      </w:r>
    </w:p>
    <w:p>
      <w:pPr>
        <w:framePr w:w="9786" w:wrap="around" w:vAnchor="margin" w:hAnchor="text" w:x="1800" w:y="48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则可能产生不必要的损失。</w:t>
      </w:r>
    </w:p>
    <w:p>
      <w:pPr>
        <w:framePr w:w="9556" w:wrap="around" w:vAnchor="margin" w:hAnchor="text" w:x="1800" w:y="725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、本基金投资中小企业私募债券，中小企业私募债是根据相关法律法规由非上市中小</w:t>
      </w:r>
    </w:p>
    <w:p>
      <w:pPr>
        <w:framePr w:w="9556" w:wrap="around" w:vAnchor="margin" w:hAnchor="text" w:x="1800" w:y="725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企业采用非公开方式发行的债券。</w:t>
      </w:r>
    </w:p>
    <w:p>
      <w:pPr>
        <w:framePr w:w="9553" w:wrap="around" w:vAnchor="margin" w:hAnchor="text" w:x="1800" w:y="807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由于不能公开交易，一般情况下，交易不活跃，潜在较大流动性风险。外部评级机构</w:t>
      </w:r>
    </w:p>
    <w:p>
      <w:pPr>
        <w:framePr w:w="9553" w:wrap="around" w:vAnchor="margin" w:hAnchor="text" w:x="180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一般不对这类债券进行外部评级，可能也会降低市场对该类债券的认可度，从而影响该类</w:t>
      </w:r>
    </w:p>
    <w:p>
      <w:pPr>
        <w:framePr w:w="9553" w:wrap="around" w:vAnchor="margin" w:hAnchor="text" w:x="180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债券的市场流动性。同时由于债券发行主体的资产规模较小、经营的波动性较大，且各类</w:t>
      </w:r>
    </w:p>
    <w:p>
      <w:pPr>
        <w:framePr w:w="9553" w:wrap="around" w:vAnchor="margin" w:hAnchor="text" w:x="180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材料不公开发布，也大大提高了分析并跟踪发债主体信用基本面的难度。</w:t>
      </w:r>
    </w:p>
    <w:p>
      <w:pPr>
        <w:framePr w:w="9553" w:wrap="around" w:vAnchor="margin" w:hAnchor="text" w:x="1800" w:y="8077"/>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当发债主体信用质量恶化时，受市场流动性所限，本基金可能无法卖出所持有的中小</w:t>
      </w:r>
    </w:p>
    <w:p>
      <w:pPr>
        <w:framePr w:w="9553" w:wrap="around" w:vAnchor="margin" w:hAnchor="text" w:x="180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企业私募债，由此可能给基金净值带来更大的负面影响和损失。</w:t>
      </w:r>
    </w:p>
    <w:p>
      <w:pPr>
        <w:framePr w:w="9799" w:wrap="around" w:vAnchor="margin" w:hAnchor="text" w:x="1800" w:y="1052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、投资国债期货的风险。（</w:t>
      </w:r>
      <w:r>
        <w:rPr>
          <w:rFonts w:ascii="GGHCMB+å®ä½"/>
          <w:color w:val="222222"/>
          <w:spacing w:val="0"/>
          <w:sz w:val="21"/>
        </w:rPr>
        <w:t>1</w:t>
      </w:r>
      <w:r>
        <w:rPr>
          <w:rFonts w:ascii="SKJVQB+å®ä½" w:hAnsi="SKJVQB+å®ä½" w:cs="SKJVQB+å®ä½"/>
          <w:color w:val="222222"/>
          <w:spacing w:val="0"/>
          <w:sz w:val="21"/>
        </w:rPr>
        <w:t>）国债期货的标的国债指数价格与国债期货价格之间的价</w:t>
      </w:r>
    </w:p>
    <w:p>
      <w:pPr>
        <w:framePr w:w="9799" w:wrap="around" w:vAnchor="margin" w:hAnchor="text" w:x="1800" w:y="1052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差被称为基差。在国债期货交易中因基差波动的不确定性而导致的风险被称为基差风险。</w:t>
      </w:r>
    </w:p>
    <w:p>
      <w:pPr>
        <w:framePr w:w="9799" w:wrap="around" w:vAnchor="margin" w:hAnchor="text" w:x="1800" w:y="1052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）合约品种差异造成的风险，是指类似的合约品种，在相同因素的影响下，价格变动不</w:t>
      </w:r>
    </w:p>
    <w:p>
      <w:pPr>
        <w:framePr w:w="9799" w:wrap="around" w:vAnchor="margin" w:hAnchor="text" w:x="1800" w:y="1052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同。表现为两种情况：</w:t>
      </w:r>
      <w:r>
        <w:rPr>
          <w:rFonts w:ascii="GGHCMB+å®ä½"/>
          <w:color w:val="222222"/>
          <w:spacing w:val="0"/>
          <w:sz w:val="21"/>
        </w:rPr>
        <w:t>1</w:t>
      </w:r>
      <w:r>
        <w:rPr>
          <w:rFonts w:ascii="SKJVQB+å®ä½" w:hAnsi="SKJVQB+å®ä½" w:cs="SKJVQB+å®ä½"/>
          <w:color w:val="222222"/>
          <w:spacing w:val="0"/>
          <w:sz w:val="21"/>
        </w:rPr>
        <w:t>）价格变动的方向相反；</w:t>
      </w:r>
      <w:r>
        <w:rPr>
          <w:rFonts w:ascii="GGHCMB+å®ä½"/>
          <w:color w:val="222222"/>
          <w:spacing w:val="0"/>
          <w:sz w:val="21"/>
        </w:rPr>
        <w:t>2</w:t>
      </w:r>
      <w:r>
        <w:rPr>
          <w:rFonts w:ascii="SKJVQB+å®ä½" w:hAnsi="SKJVQB+å®ä½" w:cs="SKJVQB+å®ä½"/>
          <w:color w:val="222222"/>
          <w:spacing w:val="0"/>
          <w:sz w:val="21"/>
        </w:rPr>
        <w:t>）价格变动的幅度不同。类似合约品种的</w:t>
      </w:r>
    </w:p>
    <w:p>
      <w:pPr>
        <w:framePr w:w="9799" w:wrap="around" w:vAnchor="margin" w:hAnchor="text" w:x="1800" w:y="1052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价格，在相同因素作用下变动幅度上的差异，也构成了合约品种差异的风险。</w:t>
      </w:r>
    </w:p>
    <w:p>
      <w:pPr>
        <w:framePr w:w="9799" w:wrap="around" w:vAnchor="margin" w:hAnchor="text" w:x="1800" w:y="1052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、为鼓励投资人长期持有，保护基金份额持有人利益，本基金的赎回费率随申请份额</w:t>
      </w:r>
    </w:p>
    <w:p>
      <w:pPr>
        <w:framePr w:w="9799" w:wrap="around" w:vAnchor="margin" w:hAnchor="text" w:x="1800" w:y="1052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持有时间增加而递减，最高将收取</w:t>
      </w:r>
      <w:r>
        <w:rPr>
          <w:rFonts w:ascii="GGHCMB+å®ä½"/>
          <w:color w:val="222222"/>
          <w:spacing w:val="0"/>
          <w:sz w:val="21"/>
        </w:rPr>
        <w:t>0.5%</w:t>
      </w:r>
      <w:r>
        <w:rPr>
          <w:rFonts w:ascii="SKJVQB+å®ä½" w:hAnsi="SKJVQB+å®ä½" w:cs="SKJVQB+å®ä½"/>
          <w:color w:val="222222"/>
          <w:spacing w:val="0"/>
          <w:sz w:val="21"/>
        </w:rPr>
        <w:t>的赎回费。赎回费用全部归入基金财产。</w:t>
      </w:r>
    </w:p>
    <w:p>
      <w:pPr>
        <w:framePr w:w="9799" w:wrap="around" w:vAnchor="margin" w:hAnchor="text" w:x="1800" w:y="1052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、本基金收益分配方式有现金分红和红利再投资两种，对于选择红利再投资的投资人，</w:t>
      </w:r>
    </w:p>
    <w:p>
      <w:pPr>
        <w:framePr w:w="9799" w:wrap="around" w:vAnchor="margin" w:hAnchor="text" w:x="1800" w:y="10528"/>
        <w:widowControl w:val="0"/>
        <w:autoSpaceDE w:val="0"/>
        <w:autoSpaceDN w:val="0"/>
        <w:spacing w:before="0" w:after="0" w:line="4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其因红利再投资所得的份额自确认之日起开始计算持有时间，并于该份额赎回时按照本基</w:t>
      </w:r>
    </w:p>
    <w:p>
      <w:pPr>
        <w:framePr w:w="9799" w:wrap="around" w:vAnchor="margin" w:hAnchor="text" w:x="1800" w:y="1052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金相关法律文件的约定选择适用的赎回费率并计算赎回费，敬请投资人留意。</w:t>
      </w:r>
    </w:p>
    <w:p>
      <w:pPr>
        <w:framePr w:w="1998" w:wrap="around" w:vAnchor="margin" w:hAnchor="text" w:x="2220" w:y="150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二、债券市场风险</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151</w:t>
      </w:r>
    </w:p>
    <w:p>
      <w:pPr>
        <w:spacing w:before="0" w:after="0" w:line="0" w:lineRule="exact"/>
        <w:ind w:left="0" w:right="0"/>
        <w:jc w:val="left"/>
        <w:rPr>
          <w:rFonts w:ascii="Arial"/>
          <w:color w:val="FF0000"/>
          <w:spacing w:val="0"/>
          <w:sz w:val="2"/>
        </w:rPr>
      </w:pPr>
      <w:r>
        <w:pict>
          <v:shape id="_x0000328" o:spid="_x0000_s135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1" o:title=""/>
            <o:lock v:ext="edit" aspectratio="t"/>
          </v:shape>
        </w:pict>
      </w:r>
      <w:r>
        <w:pict>
          <v:shape id="_x0000329" o:spid="_x0000_s1355" o:spt="75" type="#_x0000_t75" style="position:absolute;left:0pt;margin-left:88.6pt;margin-top:71.1pt;height:699pt;width:418.3pt;mso-position-horizontal-relative:page;mso-position-vertical-relative:page;z-index:-2048;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债券市场价格受到经济因素、政治因素、投资心理和交易制度等各种因素的影响，导</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致基金收益水平变化，产生风险，主要包括：</w:t>
      </w:r>
    </w:p>
    <w:p>
      <w:pPr>
        <w:framePr w:w="9556"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、政策风险。因国家宏观经济形势、货币政策和财政政策等发生变化，导致债券价格</w:t>
      </w:r>
    </w:p>
    <w:p>
      <w:pPr>
        <w:framePr w:w="9556"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波动而产生风险。</w:t>
      </w:r>
    </w:p>
    <w:p>
      <w:pPr>
        <w:framePr w:w="9556"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、利率风险。利率波动直接影响着债券的价格和收益率，从而影响基金的净值表现。</w:t>
      </w:r>
    </w:p>
    <w:p>
      <w:pPr>
        <w:framePr w:w="9556"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利率波动可能导致债券基金跌破面值。在利率波动时，债券基金的净值波动一般会高于货</w:t>
      </w:r>
    </w:p>
    <w:p>
      <w:pPr>
        <w:framePr w:w="9556"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币市场基金。</w:t>
      </w:r>
    </w:p>
    <w:p>
      <w:pPr>
        <w:framePr w:w="9556"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、信用风险。主要是指债务人的违约风险，若债务人经营不善，资不抵债，债权人可</w:t>
      </w:r>
    </w:p>
    <w:p>
      <w:pPr>
        <w:framePr w:w="9556"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能会损失掉大部分的投资，这主要体现在企业债中。</w:t>
      </w:r>
    </w:p>
    <w:p>
      <w:pPr>
        <w:framePr w:w="9556"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、购买力风险。基金的利润将主要通过现金形式来分配，而现金可能因为通货膨胀的</w:t>
      </w:r>
    </w:p>
    <w:p>
      <w:pPr>
        <w:framePr w:w="9556"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影响而导致购买力下降，从而使基金的实际收益下降。</w:t>
      </w:r>
    </w:p>
    <w:p>
      <w:pPr>
        <w:framePr w:w="9559" w:wrap="around" w:vAnchor="margin" w:hAnchor="text" w:x="1800" w:y="59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、债券收益率曲线变动风险。债券收益率曲线变动风险是指与收益率曲线非平行移动</w:t>
      </w:r>
    </w:p>
    <w:p>
      <w:pPr>
        <w:framePr w:w="9559"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有关的风险，单一的久期指标并不能充分反映这一风险的存在。</w:t>
      </w:r>
    </w:p>
    <w:p>
      <w:pPr>
        <w:framePr w:w="9559" w:wrap="around" w:vAnchor="margin" w:hAnchor="text" w:x="1800" w:y="594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、再投资风险。再投资风险反映了利率下降对固定收益证券利息收入再投资收益的影</w:t>
      </w:r>
    </w:p>
    <w:p>
      <w:pPr>
        <w:framePr w:w="955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响，这与利率上升所带来的价格风险（即前面所提到的利率风险）互为消长。具体为当利率</w:t>
      </w:r>
    </w:p>
    <w:p>
      <w:pPr>
        <w:framePr w:w="955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下降时，基金从投资的固定收益证券所得的利息收入进行再投资时，将获得较少的收益</w:t>
      </w:r>
    </w:p>
    <w:p>
      <w:pPr>
        <w:framePr w:w="955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率。</w:t>
      </w:r>
    </w:p>
    <w:p>
      <w:pPr>
        <w:framePr w:w="9556"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、债券回购风险。较高的债券正回购比例可能增加组合的流动性风险和利率风险。</w:t>
      </w:r>
    </w:p>
    <w:p>
      <w:pPr>
        <w:framePr w:w="9556" w:wrap="around" w:vAnchor="margin" w:hAnchor="text" w:x="1800" w:y="839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、经济周期风险。证券市场是国民经济的晴雨表，而经济运作具有周期性的特点。宏</w:t>
      </w:r>
    </w:p>
    <w:p>
      <w:pPr>
        <w:framePr w:w="9556"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观经济运行状况将对证券市场的收益水平产生影响，从而产生风险。</w:t>
      </w:r>
    </w:p>
    <w:p>
      <w:pPr>
        <w:framePr w:w="2901"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三、开放式基金共有的风险</w:t>
      </w:r>
    </w:p>
    <w:p>
      <w:pPr>
        <w:framePr w:w="9799"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、管理风险。在基金管理运作过程中基金管理人的知识、经验、判断、决策、技能等，</w:t>
      </w:r>
    </w:p>
    <w:p>
      <w:pPr>
        <w:framePr w:w="9799" w:wrap="around" w:vAnchor="margin" w:hAnchor="text" w:x="1800" w:y="104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会影响其对信息的占有和对经济形势、证券价格走势的判断，从而影响基金收益水平，造</w:t>
      </w:r>
    </w:p>
    <w:p>
      <w:pPr>
        <w:framePr w:w="9799"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成管理风险。</w:t>
      </w:r>
    </w:p>
    <w:p>
      <w:pPr>
        <w:framePr w:w="9556"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、流动性风险。基金投资组合中的投资品种会因各种原因面临流动性风险，使证券交</w:t>
      </w:r>
    </w:p>
    <w:p>
      <w:pPr>
        <w:framePr w:w="9556"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易的执行难度提高，买入成本或变现成本增加。此外，本基金属开放式基金，在所有开放</w:t>
      </w:r>
    </w:p>
    <w:p>
      <w:pPr>
        <w:framePr w:w="9556"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日管理人有义务接受投资人的赎回。如果出现巨额赎回的情形，可能造成基金仓位调整和</w:t>
      </w:r>
    </w:p>
    <w:p>
      <w:pPr>
        <w:framePr w:w="9556"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资产变现困难，加剧流动性风险。</w:t>
      </w:r>
    </w:p>
    <w:p>
      <w:pPr>
        <w:framePr w:w="9553"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为了克服流动性风险，本基金将在坚持分散化投资和精选个券原则的基础上，通过一</w:t>
      </w:r>
    </w:p>
    <w:p>
      <w:pPr>
        <w:framePr w:w="9553"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系列风险控制指标加强对流动性风险的跟踪、防范和控制，但基金管理人并不保证完全避</w:t>
      </w:r>
    </w:p>
    <w:p>
      <w:pPr>
        <w:framePr w:w="9553" w:wrap="around" w:vAnchor="margin" w:hAnchor="text" w:x="1800" w:y="1330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免此类风险。</w:t>
      </w:r>
    </w:p>
    <w:p>
      <w:pPr>
        <w:framePr w:w="3263" w:wrap="around" w:vAnchor="margin" w:hAnchor="text" w:x="2220" w:y="1452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）本基金的申购、赎回安排</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152</w:t>
      </w:r>
    </w:p>
    <w:p>
      <w:pPr>
        <w:spacing w:before="0" w:after="0" w:line="0" w:lineRule="exact"/>
        <w:ind w:left="0" w:right="0"/>
        <w:jc w:val="left"/>
        <w:rPr>
          <w:rFonts w:ascii="Arial"/>
          <w:color w:val="FF0000"/>
          <w:spacing w:val="0"/>
          <w:sz w:val="2"/>
        </w:rPr>
      </w:pPr>
      <w:r>
        <w:pict>
          <v:shape id="_x0000330" o:spid="_x0000_s135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31" o:spid="_x0000_s1357"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1"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本基金采用开放方式运作，投资人在开放日办理基金份额的申购和赎回，具体办理时</w:t>
      </w:r>
    </w:p>
    <w:p>
      <w:pPr>
        <w:framePr w:w="9551"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间为上海证券交易所、深圳证券交易所的正常交易日的交易时间，但基金管理人根据法律</w:t>
      </w:r>
    </w:p>
    <w:p>
      <w:pPr>
        <w:framePr w:w="9551"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法规、中国证监会的要求或基金合同的规定公告暂停申购、赎回时除外。</w:t>
      </w:r>
    </w:p>
    <w:p>
      <w:pPr>
        <w:framePr w:w="4955" w:wrap="around" w:vAnchor="margin" w:hAnchor="text" w:x="222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）投资市场、行业及资产的流动性风险评估</w:t>
      </w:r>
    </w:p>
    <w:p>
      <w:pPr>
        <w:framePr w:w="9798"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本基金主要投资于国内依法发行和上市交易的国债、央行票据、金融债券、企业债券、</w:t>
      </w:r>
    </w:p>
    <w:p>
      <w:pPr>
        <w:framePr w:w="9798"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公司债券、中期票据、短期融资券、超短期融资券、次级债券、政府机构债券、地方政府</w:t>
      </w:r>
    </w:p>
    <w:p>
      <w:pPr>
        <w:framePr w:w="9798"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债券、资产支持证券、信贷资产支持证券、可交换债券、减记债券、中小企业私募债券、</w:t>
      </w:r>
    </w:p>
    <w:p>
      <w:pPr>
        <w:framePr w:w="9798" w:wrap="around" w:vAnchor="margin" w:hAnchor="text" w:x="1800" w:y="308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可转换债券（含分离交易可转债）、债券回购、银行存款（包括协议存款、定期存款及其他</w:t>
      </w:r>
    </w:p>
    <w:p>
      <w:pPr>
        <w:framePr w:w="9798" w:wrap="around" w:vAnchor="margin" w:hAnchor="text" w:x="1800" w:y="3086"/>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银行存款）、货币市场工具、国债期货以及经中国证监会允许基金投资的其他金融工具，投</w:t>
      </w:r>
    </w:p>
    <w:p>
      <w:pPr>
        <w:framePr w:w="9798"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资标的均在证监会及相关法律法规规定的合法范围之内，且一般具备良好的市场流动性和</w:t>
      </w:r>
    </w:p>
    <w:p>
      <w:pPr>
        <w:framePr w:w="9798"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可投资性。本基金投资范围的设定也合理、明确，操作性较强。本基金为债券型基金，将</w:t>
      </w:r>
    </w:p>
    <w:p>
      <w:pPr>
        <w:framePr w:w="9798"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在南方基金内部信用评级的基础上和内部信用风险控制的框架下，积极投资信用债券，获</w:t>
      </w:r>
    </w:p>
    <w:p>
      <w:pPr>
        <w:framePr w:w="9798" w:wrap="around" w:vAnchor="margin" w:hAnchor="text" w:x="1800" w:y="308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取信用利差带来的高投资收益。根据《公开募集开放式证券投资基金流动性风险管理规定》</w:t>
      </w:r>
    </w:p>
    <w:p>
      <w:pPr>
        <w:framePr w:w="9798"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的相关要求，本基金会审慎评估所投资资产的流动性，并针对性制定流动性风险管理措施，</w:t>
      </w:r>
    </w:p>
    <w:p>
      <w:pPr>
        <w:framePr w:w="9798"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因此本基金流动性风险也可以得到有效控制。</w:t>
      </w:r>
    </w:p>
    <w:p>
      <w:pPr>
        <w:framePr w:w="4712"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）巨额赎回情形下的流动性风险管理措施</w:t>
      </w:r>
    </w:p>
    <w:p>
      <w:pPr>
        <w:framePr w:w="9560"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若本基金单个开放日内的基金份额净赎回申请</w:t>
      </w:r>
      <w:r>
        <w:rPr>
          <w:rFonts w:ascii="GGHCMB+å®ä½"/>
          <w:color w:val="222222"/>
          <w:spacing w:val="0"/>
          <w:sz w:val="21"/>
        </w:rPr>
        <w:t>(</w:t>
      </w:r>
      <w:r>
        <w:rPr>
          <w:rFonts w:ascii="SKJVQB+å®ä½" w:hAnsi="SKJVQB+å®ä½" w:cs="SKJVQB+å®ä½"/>
          <w:color w:val="222222"/>
          <w:spacing w:val="0"/>
          <w:sz w:val="21"/>
        </w:rPr>
        <w:t>赎回申请份额总数加上基金转换中转出</w:t>
      </w:r>
    </w:p>
    <w:p>
      <w:pPr>
        <w:framePr w:w="9560"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申请份额总数后扣除申购申请份额总数及基金转换中转入申请份额总数后的余额</w:t>
      </w:r>
      <w:r>
        <w:rPr>
          <w:rFonts w:ascii="GGHCMB+å®ä½"/>
          <w:color w:val="222222"/>
          <w:spacing w:val="0"/>
          <w:sz w:val="21"/>
        </w:rPr>
        <w:t>)</w:t>
      </w:r>
      <w:r>
        <w:rPr>
          <w:rFonts w:ascii="SKJVQB+å®ä½" w:hAnsi="SKJVQB+å®ä½" w:cs="SKJVQB+å®ä½"/>
          <w:color w:val="222222"/>
          <w:spacing w:val="0"/>
          <w:sz w:val="21"/>
        </w:rPr>
        <w:t>超过前一</w:t>
      </w:r>
    </w:p>
    <w:p>
      <w:pPr>
        <w:framePr w:w="9560"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开放日的基金总份额的 </w:t>
      </w:r>
      <w:r>
        <w:rPr>
          <w:rFonts w:ascii="GGHCMB+å®ä½"/>
          <w:color w:val="222222"/>
          <w:spacing w:val="0"/>
          <w:sz w:val="21"/>
        </w:rPr>
        <w:t>10%</w:t>
      </w:r>
      <w:r>
        <w:rPr>
          <w:rFonts w:ascii="SKJVQB+å®ä½" w:hAnsi="SKJVQB+å®ä½" w:cs="SKJVQB+å®ä½"/>
          <w:color w:val="222222"/>
          <w:spacing w:val="0"/>
          <w:sz w:val="21"/>
        </w:rPr>
        <w:t>，即认为是发生了巨额赎回。当基金出现巨额赎回时，基金管</w:t>
      </w:r>
    </w:p>
    <w:p>
      <w:pPr>
        <w:framePr w:w="9560"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理人可以根据基金当时的资产组合状况决定全额赎回或部分延期赎回。连续 </w:t>
      </w:r>
      <w:r>
        <w:rPr>
          <w:rFonts w:ascii="GGHCMB+å®ä½"/>
          <w:color w:val="222222"/>
          <w:spacing w:val="0"/>
          <w:sz w:val="21"/>
        </w:rPr>
        <w:t>2</w:t>
      </w:r>
      <w:r>
        <w:rPr>
          <w:rFonts w:ascii="SKJVQB+å®ä½" w:hAnsi="SKJVQB+å®ä½" w:cs="SKJVQB+å®ä½"/>
          <w:color w:val="222222"/>
          <w:spacing w:val="0"/>
          <w:sz w:val="21"/>
        </w:rPr>
        <w:t>个开放日以</w:t>
      </w:r>
    </w:p>
    <w:p>
      <w:pPr>
        <w:framePr w:w="9560"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上</w:t>
      </w:r>
      <w:r>
        <w:rPr>
          <w:rFonts w:ascii="GGHCMB+å®ä½"/>
          <w:color w:val="222222"/>
          <w:spacing w:val="0"/>
          <w:sz w:val="21"/>
        </w:rPr>
        <w:t>(</w:t>
      </w:r>
      <w:r>
        <w:rPr>
          <w:rFonts w:ascii="SKJVQB+å®ä½" w:hAnsi="SKJVQB+å®ä½" w:cs="SKJVQB+å®ä½"/>
          <w:color w:val="222222"/>
          <w:spacing w:val="0"/>
          <w:sz w:val="21"/>
        </w:rPr>
        <w:t>含本数</w:t>
      </w:r>
      <w:r>
        <w:rPr>
          <w:rFonts w:ascii="GGHCMB+å®ä½"/>
          <w:color w:val="222222"/>
          <w:spacing w:val="0"/>
          <w:sz w:val="21"/>
        </w:rPr>
        <w:t>)</w:t>
      </w:r>
      <w:r>
        <w:rPr>
          <w:rFonts w:ascii="SKJVQB+å®ä½" w:hAnsi="SKJVQB+å®ä½" w:cs="SKJVQB+å®ä½"/>
          <w:color w:val="222222"/>
          <w:spacing w:val="0"/>
          <w:sz w:val="21"/>
        </w:rPr>
        <w:t>发生巨额赎回，如基金管理人认为有必要，可暂停接受基金的赎回申请；已经</w:t>
      </w:r>
    </w:p>
    <w:p>
      <w:pPr>
        <w:framePr w:w="9560"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接受的赎回申请可以延缓支付赎回款项，但不得超过</w:t>
      </w:r>
      <w:r>
        <w:rPr>
          <w:rFonts w:ascii="GGHCMB+å®ä½"/>
          <w:color w:val="222222"/>
          <w:spacing w:val="0"/>
          <w:sz w:val="21"/>
        </w:rPr>
        <w:t>20</w:t>
      </w:r>
      <w:r>
        <w:rPr>
          <w:rFonts w:ascii="SKJVQB+å®ä½" w:hAnsi="SKJVQB+å®ä½" w:cs="SKJVQB+å®ä½"/>
          <w:color w:val="222222"/>
          <w:spacing w:val="0"/>
          <w:sz w:val="21"/>
        </w:rPr>
        <w:t>个工作日，并应当在指定媒介上进</w:t>
      </w:r>
    </w:p>
    <w:p>
      <w:pPr>
        <w:framePr w:w="9560"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行公告。</w:t>
      </w:r>
    </w:p>
    <w:p>
      <w:pPr>
        <w:framePr w:w="9557" w:wrap="around" w:vAnchor="margin" w:hAnchor="text" w:x="1800" w:y="1084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当基金发生巨额赎回，在单个基金份额持有人超过基金总份额  </w:t>
      </w:r>
      <w:r>
        <w:rPr>
          <w:rFonts w:ascii="GGHCMB+å®ä½"/>
          <w:color w:val="222222"/>
          <w:spacing w:val="0"/>
          <w:sz w:val="21"/>
        </w:rPr>
        <w:t>50%</w:t>
      </w:r>
      <w:r>
        <w:rPr>
          <w:rFonts w:ascii="SKJVQB+å®ä½" w:hAnsi="SKJVQB+å®ä½" w:cs="SKJVQB+å®ä½"/>
          <w:color w:val="222222"/>
          <w:spacing w:val="0"/>
          <w:sz w:val="21"/>
        </w:rPr>
        <w:t>以上的赎回申请情</w:t>
      </w:r>
    </w:p>
    <w:p>
      <w:pPr>
        <w:framePr w:w="9557"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形下，基金管理人可以延期办理赎回申请。如基金管理人对于其超过基金总份额  </w:t>
      </w:r>
      <w:r>
        <w:rPr>
          <w:rFonts w:ascii="GGHCMB+å®ä½"/>
          <w:color w:val="222222"/>
          <w:spacing w:val="0"/>
          <w:sz w:val="21"/>
        </w:rPr>
        <w:t>50%</w:t>
      </w:r>
      <w:r>
        <w:rPr>
          <w:rFonts w:ascii="SKJVQB+å®ä½" w:hAnsi="SKJVQB+å®ä½" w:cs="SKJVQB+å®ä½"/>
          <w:color w:val="222222"/>
          <w:spacing w:val="0"/>
          <w:sz w:val="21"/>
        </w:rPr>
        <w:t>以上</w:t>
      </w:r>
    </w:p>
    <w:p>
      <w:pPr>
        <w:framePr w:w="9557"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部分的赎回申请实施延期办理，延期的赎回申请与下一开放日赎回申请一并处理，无优先</w:t>
      </w:r>
    </w:p>
    <w:p>
      <w:pPr>
        <w:framePr w:w="9557" w:wrap="around" w:vAnchor="margin" w:hAnchor="text" w:x="1800" w:y="1084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权并以下一开放日的基金份额净值为基础计算赎回金额，以此类推，直到全部赎回为止；</w:t>
      </w:r>
    </w:p>
    <w:p>
      <w:pPr>
        <w:framePr w:w="9557"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如基金管理人只接受其基金总份额 </w:t>
      </w:r>
      <w:r>
        <w:rPr>
          <w:rFonts w:ascii="GGHCMB+å®ä½"/>
          <w:color w:val="222222"/>
          <w:spacing w:val="0"/>
          <w:sz w:val="21"/>
        </w:rPr>
        <w:t>50%</w:t>
      </w:r>
      <w:r>
        <w:rPr>
          <w:rFonts w:ascii="SKJVQB+å®ä½" w:hAnsi="SKJVQB+å®ä½" w:cs="SKJVQB+å®ä½"/>
          <w:color w:val="222222"/>
          <w:spacing w:val="0"/>
          <w:sz w:val="21"/>
        </w:rPr>
        <w:t>部分作为当日有效赎回申请，基金管理人可以根据</w:t>
      </w:r>
    </w:p>
    <w:p>
      <w:pPr>
        <w:framePr w:w="9557"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“全额赎回”或“部分延期赎回”的约定方式对该部分有效赎回申请与其他基金份额持有</w:t>
      </w:r>
    </w:p>
    <w:p>
      <w:pPr>
        <w:framePr w:w="9557"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人的赎回申请一并办理。基金份额持有人在申请赎回时可事先选择将当日可能未获受理部</w:t>
      </w:r>
    </w:p>
    <w:p>
      <w:pPr>
        <w:framePr w:w="9557"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分予以撤销；延期部分如选择取消赎回的，当日未获受理的部分赎回申请将被撤销。如投</w:t>
      </w:r>
    </w:p>
    <w:p>
      <w:pPr>
        <w:framePr w:w="9557" w:wrap="around" w:vAnchor="margin" w:hAnchor="text" w:x="1800" w:y="1084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资人在提交赎回申请时未作明确选择，投资人未能赎回部分作自动延期赎回处理。</w:t>
      </w:r>
    </w:p>
    <w:p>
      <w:pPr>
        <w:framePr w:w="9557" w:wrap="around" w:vAnchor="margin" w:hAnchor="text" w:x="1800" w:y="1084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）实施备用的流动性风险管理工具的情形、程序及对投资者的潜在影响</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153</w:t>
      </w:r>
    </w:p>
    <w:p>
      <w:pPr>
        <w:spacing w:before="0" w:after="0" w:line="0" w:lineRule="exact"/>
        <w:ind w:left="0" w:right="0"/>
        <w:jc w:val="left"/>
        <w:rPr>
          <w:rFonts w:ascii="Arial"/>
          <w:color w:val="FF0000"/>
          <w:spacing w:val="0"/>
          <w:sz w:val="2"/>
        </w:rPr>
      </w:pPr>
      <w:r>
        <w:pict>
          <v:shape id="_x0000332" o:spid="_x0000_s135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33" o:spid="_x0000_s1359"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60"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本基金在面临大规模赎回的情况下有可能因为无法变现造成流动性风险。如果出现流</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动性风险，基金管理人经与基金托管人协商，在确保投资者得到公平对待的前提下，可实</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施备用的流动性风险管理工具，作为特定情形下基金管理人流动性风险管理的辅助措施，</w:t>
      </w:r>
    </w:p>
    <w:p>
      <w:pPr>
        <w:framePr w:w="9560"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包括但不限于延期办理巨额赎回申请、暂停接受赎回申请、延缓支付赎回款项、收取短期</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赎回费、暂停基金估值以及中国证监会认定的其他措施。同时基金管理人应时刻防范可能</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产生的流动性风险，对流动性风险进行日常监控，保护持有人的利益。当实施备用的流动</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性风险管理工具时，有可能无法按基金合同约定的时限支付赎回款项。</w:t>
      </w:r>
    </w:p>
    <w:p>
      <w:pPr>
        <w:framePr w:w="9560" w:wrap="around" w:vAnchor="margin" w:hAnchor="text" w:x="1800" w:y="145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、其他风险</w:t>
      </w:r>
    </w:p>
    <w:p>
      <w:pPr>
        <w:framePr w:w="6647" w:wrap="around" w:vAnchor="margin" w:hAnchor="text" w:x="2220" w:y="47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因技术因素而产生的风险，如电脑系统不可靠产生的风险；</w:t>
      </w:r>
    </w:p>
    <w:p>
      <w:pPr>
        <w:framePr w:w="9063"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因业务快速发展而在制度建设、人员配备、内控制度建立等不完善而产生的风险；</w:t>
      </w:r>
    </w:p>
    <w:p>
      <w:pPr>
        <w:framePr w:w="9063" w:wrap="around" w:vAnchor="margin" w:hAnchor="text" w:x="222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因人为因素而产生的风险、如内幕交易、欺诈行为等产生的风险；</w:t>
      </w:r>
    </w:p>
    <w:p>
      <w:pPr>
        <w:framePr w:w="9063" w:wrap="around" w:vAnchor="margin" w:hAnchor="text" w:x="222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对主要业务人员如基金经理的依赖而可能产生的风险；</w:t>
      </w:r>
    </w:p>
    <w:p>
      <w:pPr>
        <w:framePr w:w="3989" w:wrap="around" w:vAnchor="margin" w:hAnchor="text" w:x="2220" w:y="63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因业务竞争压力可能产生的风险；</w:t>
      </w:r>
    </w:p>
    <w:p>
      <w:pPr>
        <w:framePr w:w="8096" w:wrap="around" w:vAnchor="margin" w:hAnchor="text" w:x="2220" w:y="676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不可抗力可能导致基金资产的损失，影响基金收益水平，从而带来风险；</w:t>
      </w:r>
    </w:p>
    <w:p>
      <w:pPr>
        <w:framePr w:w="8096" w:wrap="around" w:vAnchor="margin" w:hAnchor="text" w:x="222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其他意外导致的风险。</w:t>
      </w:r>
    </w:p>
    <w:p>
      <w:pPr>
        <w:framePr w:w="9553"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四、本基金法律文件风险收益特征表述与销售机构基金风险评价可能不一致的风险</w:t>
      </w:r>
    </w:p>
    <w:p>
      <w:pPr>
        <w:framePr w:w="9553" w:wrap="around" w:vAnchor="margin" w:hAnchor="text" w:x="1800" w:y="7988"/>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本基金法律文件投资章节有关风险收益特征的表述是基于投资范围、投资比例、证券</w:t>
      </w:r>
    </w:p>
    <w:p>
      <w:pPr>
        <w:framePr w:w="9553"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市场普遍规律等做出的概述性描述，代表了一般市场情况下本基金的长期风险收益特征。</w:t>
      </w:r>
    </w:p>
    <w:p>
      <w:pPr>
        <w:framePr w:w="9553"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销售机构</w:t>
      </w:r>
      <w:r>
        <w:rPr>
          <w:rFonts w:ascii="GGHCMB+å®ä½"/>
          <w:color w:val="222222"/>
          <w:spacing w:val="0"/>
          <w:sz w:val="21"/>
        </w:rPr>
        <w:t>(</w:t>
      </w:r>
      <w:r>
        <w:rPr>
          <w:rFonts w:ascii="SKJVQB+å®ä½" w:hAnsi="SKJVQB+å®ä½" w:cs="SKJVQB+å®ä½"/>
          <w:color w:val="222222"/>
          <w:spacing w:val="0"/>
          <w:sz w:val="21"/>
        </w:rPr>
        <w:t>包括基金管理人直销机构和其他销售机构</w:t>
      </w:r>
      <w:r>
        <w:rPr>
          <w:rFonts w:ascii="GGHCMB+å®ä½"/>
          <w:color w:val="222222"/>
          <w:spacing w:val="0"/>
          <w:sz w:val="21"/>
        </w:rPr>
        <w:t>)</w:t>
      </w:r>
      <w:r>
        <w:rPr>
          <w:rFonts w:ascii="SKJVQB+å®ä½" w:hAnsi="SKJVQB+å®ä½" w:cs="SKJVQB+å®ä½"/>
          <w:color w:val="222222"/>
          <w:spacing w:val="0"/>
          <w:sz w:val="21"/>
        </w:rPr>
        <w:t>根据相关法律法规对本基金进行风险</w:t>
      </w:r>
    </w:p>
    <w:p>
      <w:pPr>
        <w:framePr w:w="9553"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评价，不同的销售机构采用的评价方法也不同，因此销售机构的风险等级评价与基金法律</w:t>
      </w:r>
    </w:p>
    <w:p>
      <w:pPr>
        <w:framePr w:w="9553"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文件中风险收益特征的表述可能存在不同，投资人在购买本基金时需按照销售机构的要求</w:t>
      </w:r>
    </w:p>
    <w:p>
      <w:pPr>
        <w:framePr w:w="9553"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完成风险承受能力与产品风险之间的匹配检验。</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154</w:t>
      </w:r>
    </w:p>
    <w:p>
      <w:pPr>
        <w:spacing w:before="0" w:after="0" w:line="0" w:lineRule="exact"/>
        <w:ind w:left="0" w:right="0"/>
        <w:jc w:val="left"/>
        <w:rPr>
          <w:rFonts w:ascii="Arial"/>
          <w:color w:val="FF0000"/>
          <w:spacing w:val="0"/>
          <w:sz w:val="2"/>
        </w:rPr>
      </w:pPr>
      <w:r>
        <w:pict>
          <v:shape id="_x0000334" o:spid="_x0000_s136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65" o:title=""/>
            <o:lock v:ext="edit" aspectratio="t"/>
          </v:shape>
        </w:pict>
      </w:r>
      <w:r>
        <w:pict>
          <v:shape id="_x0000335" o:spid="_x0000_s1361" o:spt="75" type="#_x0000_t75" style="position:absolute;left:0pt;margin-left:88.6pt;margin-top:71.1pt;height:469.9pt;width:418.3pt;mso-position-horizontal-relative:page;mso-position-vertical-relative:page;z-index:-2048;mso-width-relative:page;mso-height-relative:page;" filled="f" coordsize="21600,21600">
            <v:path/>
            <v:fill on="f" focussize="0,0"/>
            <v:stroke/>
            <v:imagedata r:id="rId26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6630" w:wrap="around" w:vAnchor="margin" w:hAnchor="text" w:x="3070"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17</w:t>
      </w:r>
      <w:r>
        <w:rPr>
          <w:rFonts w:ascii="SKJVQB+å®ä½" w:hAnsi="SKJVQB+å®ä½" w:cs="SKJVQB+å®ä½"/>
          <w:color w:val="222222"/>
          <w:spacing w:val="0"/>
          <w:sz w:val="28"/>
        </w:rPr>
        <w:t>基金合同的变更、终止和基金财产的清算</w:t>
      </w:r>
    </w:p>
    <w:p>
      <w:pPr>
        <w:framePr w:w="2661"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一、《基金合同》的变更</w:t>
      </w:r>
    </w:p>
    <w:p>
      <w:pPr>
        <w:framePr w:w="9786" w:wrap="around" w:vAnchor="margin" w:hAnchor="text" w:x="1800" w:y="276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、变更基金合同涉及法律法规规定或本基金合同约定应经基金份额持有人大会决议通</w:t>
      </w:r>
    </w:p>
    <w:p>
      <w:pPr>
        <w:framePr w:w="9786" w:wrap="around" w:vAnchor="margin" w:hAnchor="text" w:x="1800" w:y="276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过的事项的，应召开基金份额持有人大会决议通过。对于法律法规规定和基金合同约定可</w:t>
      </w:r>
    </w:p>
    <w:p>
      <w:pPr>
        <w:framePr w:w="9786" w:wrap="around" w:vAnchor="margin" w:hAnchor="text" w:x="1800" w:y="276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不经基金份额持有人大会决议通过的事项，由基金管理人和基金托管人同意后变更并公告，</w:t>
      </w:r>
    </w:p>
    <w:p>
      <w:pPr>
        <w:framePr w:w="9786" w:wrap="around" w:vAnchor="margin" w:hAnchor="text" w:x="1800" w:y="276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并报中国证监会备案。</w:t>
      </w:r>
    </w:p>
    <w:p>
      <w:pPr>
        <w:framePr w:w="9556" w:wrap="around" w:vAnchor="margin" w:hAnchor="text" w:x="1800" w:y="439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、关于《基金合同》变更的基金份额持有人大会决议自生效后方可执行，自决议生效</w:t>
      </w:r>
    </w:p>
    <w:p>
      <w:pPr>
        <w:framePr w:w="9556" w:wrap="around" w:vAnchor="margin" w:hAnchor="text" w:x="1800" w:y="439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后</w:t>
      </w:r>
      <w:r>
        <w:rPr>
          <w:rFonts w:ascii="GGHCMB+å®ä½"/>
          <w:color w:val="222222"/>
          <w:spacing w:val="0"/>
          <w:sz w:val="21"/>
        </w:rPr>
        <w:t>2</w:t>
      </w:r>
      <w:r>
        <w:rPr>
          <w:rFonts w:ascii="SKJVQB+å®ä½" w:hAnsi="SKJVQB+å®ä½" w:cs="SKJVQB+å®ä½"/>
          <w:color w:val="222222"/>
          <w:spacing w:val="0"/>
          <w:sz w:val="21"/>
        </w:rPr>
        <w:t>日内在指定媒介公告。</w:t>
      </w:r>
    </w:p>
    <w:p>
      <w:pPr>
        <w:framePr w:w="3144" w:wrap="around" w:vAnchor="margin" w:hAnchor="text" w:x="2220" w:y="562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二、《基金合同》的终止事由</w:t>
      </w:r>
    </w:p>
    <w:p>
      <w:pPr>
        <w:framePr w:w="4836" w:wrap="around" w:vAnchor="margin" w:hAnchor="text" w:x="2220" w:y="60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有下列情形之一的，《基金合同》应当终止：</w:t>
      </w:r>
    </w:p>
    <w:p>
      <w:pPr>
        <w:framePr w:w="4836" w:wrap="around" w:vAnchor="margin" w:hAnchor="text" w:x="2220" w:y="60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、基金份额持有人大会决定终止的；</w:t>
      </w:r>
    </w:p>
    <w:p>
      <w:pPr>
        <w:framePr w:w="9557" w:wrap="around" w:vAnchor="margin" w:hAnchor="text" w:x="1800" w:y="685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、基金管理人、基金托管人职责终止，在</w:t>
      </w:r>
      <w:r>
        <w:rPr>
          <w:rFonts w:ascii="GGHCMB+å®ä½"/>
          <w:color w:val="222222"/>
          <w:spacing w:val="0"/>
          <w:sz w:val="21"/>
        </w:rPr>
        <w:t>6</w:t>
      </w:r>
      <w:r>
        <w:rPr>
          <w:rFonts w:ascii="SKJVQB+å®ä½" w:hAnsi="SKJVQB+å®ä½" w:cs="SKJVQB+å®ä½"/>
          <w:color w:val="222222"/>
          <w:spacing w:val="0"/>
          <w:sz w:val="21"/>
        </w:rPr>
        <w:t>个月内没有新基金管理人、新基金托管人</w:t>
      </w:r>
    </w:p>
    <w:p>
      <w:pPr>
        <w:framePr w:w="9557" w:wrap="around" w:vAnchor="margin" w:hAnchor="text" w:x="1800" w:y="685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承接的；</w:t>
      </w:r>
    </w:p>
    <w:p>
      <w:pPr>
        <w:framePr w:w="3746" w:wrap="around" w:vAnchor="margin" w:hAnchor="text" w:x="2220" w:y="766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、《基金合同》约定的其他情形；</w:t>
      </w:r>
    </w:p>
    <w:p>
      <w:pPr>
        <w:framePr w:w="5195" w:wrap="around" w:vAnchor="margin" w:hAnchor="text" w:x="2220" w:y="807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、相关法律法规和中国证监会规定的其他情况。</w:t>
      </w:r>
    </w:p>
    <w:p>
      <w:pPr>
        <w:framePr w:w="2209" w:wrap="around" w:vAnchor="margin" w:hAnchor="text" w:x="2220" w:y="889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三、基金财产的清算</w:t>
      </w:r>
    </w:p>
    <w:p>
      <w:pPr>
        <w:framePr w:w="9557" w:wrap="around" w:vAnchor="margin" w:hAnchor="text" w:x="1800" w:y="930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、基金财产清算小组：自出现《基金合同》终止事由之日起</w:t>
      </w:r>
      <w:r>
        <w:rPr>
          <w:rFonts w:ascii="GGHCMB+å®ä½"/>
          <w:color w:val="222222"/>
          <w:spacing w:val="0"/>
          <w:sz w:val="21"/>
        </w:rPr>
        <w:t>30</w:t>
      </w:r>
      <w:r>
        <w:rPr>
          <w:rFonts w:ascii="SKJVQB+å®ä½" w:hAnsi="SKJVQB+å®ä½" w:cs="SKJVQB+å®ä½"/>
          <w:color w:val="222222"/>
          <w:spacing w:val="0"/>
          <w:sz w:val="21"/>
        </w:rPr>
        <w:t>个工作日内成立清算小</w:t>
      </w:r>
    </w:p>
    <w:p>
      <w:pPr>
        <w:framePr w:w="9557" w:wrap="around" w:vAnchor="margin" w:hAnchor="text" w:x="1800" w:y="930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组，基金管理人组织基金财产清算小组并在中国证监会的监督下进行基金清算。</w:t>
      </w:r>
    </w:p>
    <w:p>
      <w:pPr>
        <w:framePr w:w="9557" w:wrap="around" w:vAnchor="margin" w:hAnchor="text" w:x="1800" w:y="930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、基金财产清算小组组成：基金财产清算小组成员由基金管理人、基金托管人、具有</w:t>
      </w:r>
    </w:p>
    <w:p>
      <w:pPr>
        <w:framePr w:w="9557" w:wrap="around" w:vAnchor="margin" w:hAnchor="text" w:x="1800" w:y="930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从事证券、期货相关业务资格的注册会计师、律师以及中国证监会指定的人员组成。基金</w:t>
      </w:r>
    </w:p>
    <w:p>
      <w:pPr>
        <w:framePr w:w="9557" w:wrap="around" w:vAnchor="margin" w:hAnchor="text" w:x="1800" w:y="930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财产清算小组可以聘用必要的工作人员。</w:t>
      </w:r>
    </w:p>
    <w:p>
      <w:pPr>
        <w:framePr w:w="9557" w:wrap="around" w:vAnchor="margin" w:hAnchor="text" w:x="1800" w:y="1134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、基金财产清算小组职责：基金财产清算小组负责基金财产的保管、清理、估价、变</w:t>
      </w:r>
    </w:p>
    <w:p>
      <w:pPr>
        <w:framePr w:w="9557" w:wrap="around" w:vAnchor="margin" w:hAnchor="text" w:x="1800" w:y="1134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现和分配。基金财产清算小组可以依法进行必要的民事活动。</w:t>
      </w:r>
    </w:p>
    <w:p>
      <w:pPr>
        <w:framePr w:w="9557" w:wrap="around" w:vAnchor="margin" w:hAnchor="text" w:x="1800" w:y="1134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、基金财产清算程序：</w:t>
      </w:r>
    </w:p>
    <w:p>
      <w:pPr>
        <w:framePr w:w="7854" w:wrap="around" w:vAnchor="margin" w:hAnchor="text" w:x="2220" w:y="1257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）《基金合同》终止情形出现时，由基金财产清算小组统一接管基金；</w:t>
      </w:r>
    </w:p>
    <w:p>
      <w:pPr>
        <w:framePr w:w="7854" w:wrap="around" w:vAnchor="margin" w:hAnchor="text" w:x="2220" w:y="1257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）对基金财产和债权债务进行清理和确认；</w:t>
      </w:r>
    </w:p>
    <w:p>
      <w:pPr>
        <w:framePr w:w="3746" w:wrap="around" w:vAnchor="margin" w:hAnchor="text" w:x="2220" w:y="133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）对基金财产进行估值和变现；</w:t>
      </w:r>
    </w:p>
    <w:p>
      <w:pPr>
        <w:framePr w:w="2312" w:wrap="around" w:vAnchor="margin" w:hAnchor="text" w:x="2220" w:y="1379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）制作清算报告；</w:t>
      </w:r>
    </w:p>
    <w:p>
      <w:pPr>
        <w:framePr w:w="9556" w:wrap="around" w:vAnchor="margin" w:hAnchor="text" w:x="1800" w:y="1420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）聘请具有证券、期货相关业务资格的会计师事务所对清算报告进行外部审计，聘</w:t>
      </w:r>
    </w:p>
    <w:p>
      <w:pPr>
        <w:framePr w:w="9556" w:wrap="around" w:vAnchor="margin" w:hAnchor="text" w:x="1800" w:y="1420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请律师事务所对清算报告出具法律意见书；</w:t>
      </w:r>
    </w:p>
    <w:p>
      <w:pPr>
        <w:framePr w:w="4712" w:wrap="around" w:vAnchor="margin" w:hAnchor="text" w:x="2220" w:y="150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）将清算报告报中国证监会备案并公告；</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155</w:t>
      </w:r>
    </w:p>
    <w:p>
      <w:pPr>
        <w:spacing w:before="0" w:after="0" w:line="0" w:lineRule="exact"/>
        <w:ind w:left="0" w:right="0"/>
        <w:jc w:val="left"/>
        <w:rPr>
          <w:rFonts w:ascii="Arial"/>
          <w:color w:val="FF0000"/>
          <w:spacing w:val="0"/>
          <w:sz w:val="2"/>
        </w:rPr>
      </w:pPr>
      <w:r>
        <w:pict>
          <v:shape id="_x0000336" o:spid="_x0000_s136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1" o:title=""/>
            <o:lock v:ext="edit" aspectratio="t"/>
          </v:shape>
        </w:pict>
      </w:r>
      <w:r>
        <w:pict>
          <v:shape id="_x0000337" o:spid="_x0000_s1363" o:spt="75" type="#_x0000_t75" style="position:absolute;left:0pt;margin-left:88.6pt;margin-top:71.1pt;height:699pt;width:418.3pt;mso-position-horizontal-relative:page;mso-position-vertical-relative:page;z-index:-2048;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506"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）对基金剩余财产进行分配。</w:t>
      </w:r>
    </w:p>
    <w:p>
      <w:pPr>
        <w:framePr w:w="3749" w:wrap="around" w:vAnchor="margin" w:hAnchor="text" w:x="2220" w:y="186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、基金财产清算的期限为</w:t>
      </w:r>
      <w:r>
        <w:rPr>
          <w:rFonts w:ascii="GGHCMB+å®ä½"/>
          <w:color w:val="222222"/>
          <w:spacing w:val="0"/>
          <w:sz w:val="21"/>
        </w:rPr>
        <w:t>6</w:t>
      </w:r>
      <w:r>
        <w:rPr>
          <w:rFonts w:ascii="SKJVQB+å®ä½" w:hAnsi="SKJVQB+å®ä½" w:cs="SKJVQB+å®ä½"/>
          <w:color w:val="222222"/>
          <w:spacing w:val="0"/>
          <w:sz w:val="21"/>
        </w:rPr>
        <w:t>个月。</w:t>
      </w:r>
    </w:p>
    <w:p>
      <w:pPr>
        <w:framePr w:w="9556"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、基金管理人与基金托管人协商一致或基金资产清算小组认为有对基金份额持有人更</w:t>
      </w:r>
    </w:p>
    <w:p>
      <w:pPr>
        <w:framePr w:w="9556"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为有利的清算方法，本基金财产的清算可按该方法进行，并及时公告，不需召开基金份额</w:t>
      </w:r>
    </w:p>
    <w:p>
      <w:pPr>
        <w:framePr w:w="9556"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持有人大会。相关法律法规或监管部门另有规定的，按相关法律法规或监管部门的要求办</w:t>
      </w:r>
    </w:p>
    <w:p>
      <w:pPr>
        <w:framePr w:w="9556"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w:t>
      </w:r>
    </w:p>
    <w:p>
      <w:pPr>
        <w:framePr w:w="1578" w:wrap="around" w:vAnchor="margin" w:hAnchor="text" w:x="2220" w:y="43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四、清算费用</w:t>
      </w:r>
    </w:p>
    <w:p>
      <w:pPr>
        <w:framePr w:w="9553"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清算费用是指基金财产清算小组在进行基金清算过程中发生的所有合理费用，清算费</w:t>
      </w:r>
    </w:p>
    <w:p>
      <w:pPr>
        <w:framePr w:w="9553"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用由基金财产清算小组优先从基金财产中支付。</w:t>
      </w:r>
    </w:p>
    <w:p>
      <w:pPr>
        <w:framePr w:w="3627" w:wrap="around" w:vAnchor="margin" w:hAnchor="text" w:x="2220" w:y="594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五、基金财产清算剩余资产的分配</w:t>
      </w:r>
    </w:p>
    <w:p>
      <w:pPr>
        <w:framePr w:w="9553"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依据基金财产清算的分配方案，将基金财产清算后的全部剩余资产扣除基金财产清算</w:t>
      </w:r>
    </w:p>
    <w:p>
      <w:pPr>
        <w:framePr w:w="9553"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费用、交纳所欠税款并清偿基金债务后，按基金份额持有人持有的基金份额比例进行分</w:t>
      </w:r>
    </w:p>
    <w:p>
      <w:pPr>
        <w:framePr w:w="9553"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配。</w:t>
      </w:r>
    </w:p>
    <w:p>
      <w:pPr>
        <w:framePr w:w="2661"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六、基金财产清算的公告</w:t>
      </w:r>
    </w:p>
    <w:p>
      <w:pPr>
        <w:framePr w:w="9559"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清算过程中的有关重大事项须及时公告；基金财产清算报告经具有证券、期货相关业</w:t>
      </w:r>
    </w:p>
    <w:p>
      <w:pPr>
        <w:framePr w:w="9559"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务资格的会计师事务所审计并由律师事务所出具法律意见书后报中国证监会备案并公告。</w:t>
      </w:r>
    </w:p>
    <w:p>
      <w:pPr>
        <w:framePr w:w="9559"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基金财产清算公告于基金财产清算报告报中国证监会备案后 </w:t>
      </w:r>
      <w:r>
        <w:rPr>
          <w:rFonts w:ascii="GGHCMB+å®ä½"/>
          <w:color w:val="222222"/>
          <w:spacing w:val="0"/>
          <w:sz w:val="21"/>
        </w:rPr>
        <w:t>5</w:t>
      </w:r>
      <w:r>
        <w:rPr>
          <w:rFonts w:ascii="SKJVQB+å®ä½" w:hAnsi="SKJVQB+å®ä½" w:cs="SKJVQB+å®ä½"/>
          <w:color w:val="222222"/>
          <w:spacing w:val="0"/>
          <w:sz w:val="21"/>
        </w:rPr>
        <w:t>个工作日内由基金财产清算</w:t>
      </w:r>
    </w:p>
    <w:p>
      <w:pPr>
        <w:framePr w:w="9559"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小组进行公告，基金财产清算小组应当将清算报告登载在指定网站上，并将清算报告提示</w:t>
      </w:r>
    </w:p>
    <w:p>
      <w:pPr>
        <w:framePr w:w="9559" w:wrap="around" w:vAnchor="margin" w:hAnchor="text" w:x="1800" w:y="839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性公告登载在指定报刊上。</w:t>
      </w:r>
    </w:p>
    <w:p>
      <w:pPr>
        <w:framePr w:w="3870"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七、基金财产清算账册及文件的保存</w:t>
      </w:r>
    </w:p>
    <w:p>
      <w:pPr>
        <w:framePr w:w="6404" w:wrap="around" w:vAnchor="margin" w:hAnchor="text" w:x="2220" w:y="112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基金财产清算账册及有关文件由基金托管人保存</w:t>
      </w:r>
      <w:r>
        <w:rPr>
          <w:rFonts w:ascii="GGHCMB+å®ä½"/>
          <w:color w:val="222222"/>
          <w:spacing w:val="0"/>
          <w:sz w:val="21"/>
        </w:rPr>
        <w:t>15</w:t>
      </w:r>
      <w:r>
        <w:rPr>
          <w:rFonts w:ascii="SKJVQB+å®ä½" w:hAnsi="SKJVQB+å®ä½" w:cs="SKJVQB+å®ä½"/>
          <w:color w:val="222222"/>
          <w:spacing w:val="0"/>
          <w:sz w:val="21"/>
        </w:rPr>
        <w:t>年以上。</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156</w:t>
      </w:r>
    </w:p>
    <w:p>
      <w:pPr>
        <w:spacing w:before="0" w:after="0" w:line="0" w:lineRule="exact"/>
        <w:ind w:left="0" w:right="0"/>
        <w:jc w:val="left"/>
        <w:rPr>
          <w:rFonts w:ascii="Arial"/>
          <w:color w:val="FF0000"/>
          <w:spacing w:val="0"/>
          <w:sz w:val="2"/>
        </w:rPr>
      </w:pPr>
      <w:r>
        <w:pict>
          <v:shape id="_x0000338" o:spid="_x0000_s136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67" o:title=""/>
            <o:lock v:ext="edit" aspectratio="t"/>
          </v:shape>
        </w:pict>
      </w:r>
      <w:r>
        <w:pict>
          <v:shape id="_x0000339" o:spid="_x0000_s1365" o:spt="75" type="#_x0000_t75" style="position:absolute;left:0pt;margin-left:88.6pt;margin-top:71.1pt;height:510.7pt;width:418.3pt;mso-position-horizontal-relative:page;mso-position-vertical-relative:page;z-index:-2048;mso-width-relative:page;mso-height-relative:page;" filled="f" coordsize="21600,21600">
            <v:path/>
            <v:fill on="f" focussize="0,0"/>
            <v:stroke/>
            <v:imagedata r:id="rId26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718" w:wrap="around" w:vAnchor="margin" w:hAnchor="text" w:x="4338"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18</w:t>
      </w:r>
      <w:r>
        <w:rPr>
          <w:rFonts w:ascii="SKJVQB+å®ä½" w:hAnsi="SKJVQB+å®ä½" w:cs="SKJVQB+å®ä½"/>
          <w:color w:val="222222"/>
          <w:spacing w:val="0"/>
          <w:sz w:val="28"/>
        </w:rPr>
        <w:t>基金合同的内容摘要</w:t>
      </w:r>
    </w:p>
    <w:p>
      <w:pPr>
        <w:framePr w:w="3627"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一、基金合同当事人的权利、义务</w:t>
      </w:r>
    </w:p>
    <w:p>
      <w:pPr>
        <w:framePr w:w="3387" w:wrap="around" w:vAnchor="margin" w:hAnchor="text" w:x="2220" w:y="276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（一）基金管理人的权利与义务</w:t>
      </w:r>
    </w:p>
    <w:p>
      <w:pPr>
        <w:framePr w:w="9076" w:wrap="around" w:vAnchor="margin" w:hAnchor="text" w:x="2220" w:y="317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、根据《基金法》、《运作办法》及其他有关规定，基金管理人的权利包括但不限于：</w:t>
      </w:r>
    </w:p>
    <w:p>
      <w:pPr>
        <w:framePr w:w="9076" w:wrap="around" w:vAnchor="margin" w:hAnchor="text" w:x="2220" w:y="317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）依法募集资金；</w:t>
      </w:r>
    </w:p>
    <w:p>
      <w:pPr>
        <w:framePr w:w="9073" w:wrap="around" w:vAnchor="margin" w:hAnchor="text" w:x="2220" w:y="399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）自《基金合同》生效之日起，根据法律法规和《基金合同》独立运用并管理基金</w:t>
      </w:r>
    </w:p>
    <w:p>
      <w:pPr>
        <w:framePr w:w="949" w:wrap="around" w:vAnchor="margin" w:hAnchor="text" w:x="1800" w:y="439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财产；</w:t>
      </w:r>
    </w:p>
    <w:p>
      <w:pPr>
        <w:framePr w:w="9073" w:wrap="around" w:vAnchor="margin" w:hAnchor="text" w:x="2220" w:y="48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）依照《基金合同》收取基金管理费以及法律法规规定或中国证监会批准的其他费</w:t>
      </w:r>
    </w:p>
    <w:p>
      <w:pPr>
        <w:framePr w:w="737" w:wrap="around" w:vAnchor="margin" w:hAnchor="text" w:x="1800" w:y="521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用；</w:t>
      </w:r>
    </w:p>
    <w:p>
      <w:pPr>
        <w:framePr w:w="2312" w:wrap="around" w:vAnchor="margin" w:hAnchor="text" w:x="2220" w:y="562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）销售基金份额；</w:t>
      </w:r>
    </w:p>
    <w:p>
      <w:pPr>
        <w:framePr w:w="4472" w:wrap="around" w:vAnchor="margin" w:hAnchor="text" w:x="2220" w:y="60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）按照规定召集基金份额持有人大会；</w:t>
      </w:r>
    </w:p>
    <w:p>
      <w:pPr>
        <w:framePr w:w="9076" w:wrap="around" w:vAnchor="margin" w:hAnchor="text" w:x="2220" w:y="644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）依据《基金合同》及有关法律规定监督基金托管人，如认为基金托管人违反了《基</w:t>
      </w:r>
    </w:p>
    <w:p>
      <w:pPr>
        <w:framePr w:w="9559" w:wrap="around" w:vAnchor="margin" w:hAnchor="text" w:x="1800" w:y="685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金合同》及国家有关法律规定，应呈报中国证监会和其他监管部门，并采取必要措施保护基</w:t>
      </w:r>
    </w:p>
    <w:p>
      <w:pPr>
        <w:framePr w:w="9559" w:wrap="around" w:vAnchor="margin" w:hAnchor="text" w:x="1800" w:y="685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金投资人的利益；</w:t>
      </w:r>
    </w:p>
    <w:p>
      <w:pPr>
        <w:framePr w:w="5438" w:wrap="around" w:vAnchor="margin" w:hAnchor="text" w:x="2220" w:y="766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）在基金托管人更换时，提名新的基金托管人；</w:t>
      </w:r>
    </w:p>
    <w:p>
      <w:pPr>
        <w:framePr w:w="9559" w:wrap="around" w:vAnchor="margin" w:hAnchor="text" w:x="1800" w:y="807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）选择、更换基金销售机构，对基金销售机构的相关行为进行监督和处理；</w:t>
      </w:r>
    </w:p>
    <w:p>
      <w:pPr>
        <w:framePr w:w="9559" w:wrap="around" w:vAnchor="margin" w:hAnchor="text" w:x="1800" w:y="807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）担任或委托其他符合条件的机构担任基金登记机构办理基金登记业务；</w:t>
      </w:r>
    </w:p>
    <w:p>
      <w:pPr>
        <w:framePr w:w="9559" w:wrap="around" w:vAnchor="margin" w:hAnchor="text" w:x="1800" w:y="807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）依据《基金合同》及有关法律规定决定基金收益的分配方案；</w:t>
      </w:r>
    </w:p>
    <w:p>
      <w:pPr>
        <w:framePr w:w="9559" w:wrap="around" w:vAnchor="margin" w:hAnchor="text" w:x="1800" w:y="807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）在《基金合同》约定的范围内，拒绝或暂停受理申购与赎回申请；</w:t>
      </w:r>
    </w:p>
    <w:p>
      <w:pPr>
        <w:framePr w:w="9559" w:wrap="around" w:vAnchor="margin" w:hAnchor="text" w:x="1800" w:y="8077"/>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）依照法律法规为基金的利益对被投资公司行使股东权利，为基金的利益行使因基</w:t>
      </w:r>
    </w:p>
    <w:p>
      <w:pPr>
        <w:framePr w:w="9559" w:wrap="around" w:vAnchor="margin" w:hAnchor="text" w:x="180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金财产投资于证券所产生的权利；</w:t>
      </w:r>
    </w:p>
    <w:p>
      <w:pPr>
        <w:framePr w:w="9559" w:wrap="around" w:vAnchor="margin" w:hAnchor="text" w:x="1800" w:y="1052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）在法律法规允许的前提下，为基金的利益依法为基金进行融资、融券及转融通；</w:t>
      </w:r>
    </w:p>
    <w:p>
      <w:pPr>
        <w:framePr w:w="9559" w:wrap="around" w:vAnchor="margin" w:hAnchor="text" w:x="1800" w:y="1052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）以基金管理人的名义，代表基金份额持有人的利益行使诉讼权利或者实施其他法</w:t>
      </w:r>
    </w:p>
    <w:p>
      <w:pPr>
        <w:framePr w:w="9559" w:wrap="around" w:vAnchor="margin" w:hAnchor="text" w:x="1800" w:y="1052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律行为；</w:t>
      </w:r>
    </w:p>
    <w:p>
      <w:pPr>
        <w:framePr w:w="9559" w:wrap="around" w:vAnchor="margin" w:hAnchor="text" w:x="1800" w:y="1175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）选择、更换律师事务所、会计师事务所、证券经纪商、期货经纪商或其他为基金</w:t>
      </w:r>
    </w:p>
    <w:p>
      <w:pPr>
        <w:framePr w:w="9559" w:wrap="around" w:vAnchor="margin" w:hAnchor="text" w:x="1800" w:y="1175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提供服务的外部机构；</w:t>
      </w:r>
    </w:p>
    <w:p>
      <w:pPr>
        <w:framePr w:w="9799" w:wrap="around" w:vAnchor="margin" w:hAnchor="text" w:x="1800" w:y="1257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）在符合有关法律、法规的前提下，制订和调整有关基金认购、申购、赎回、转换、</w:t>
      </w:r>
    </w:p>
    <w:p>
      <w:pPr>
        <w:framePr w:w="9799" w:wrap="around" w:vAnchor="margin" w:hAnchor="text" w:x="1800" w:y="1257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定投和非交易过户等业务规则；</w:t>
      </w:r>
    </w:p>
    <w:p>
      <w:pPr>
        <w:framePr w:w="9559" w:wrap="around" w:vAnchor="margin" w:hAnchor="text" w:x="1800" w:y="133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）法律法规及中国证监会规定的和《基金合同》约定的其他权利。</w:t>
      </w:r>
    </w:p>
    <w:p>
      <w:pPr>
        <w:framePr w:w="9559" w:wrap="around" w:vAnchor="margin" w:hAnchor="text" w:x="1800" w:y="13386"/>
        <w:widowControl w:val="0"/>
        <w:autoSpaceDE w:val="0"/>
        <w:autoSpaceDN w:val="0"/>
        <w:spacing w:before="0" w:after="0" w:line="4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、根据《基金法》、《运作办法》及其他有关规定，基金管理人的义务包括但不限于：</w:t>
      </w:r>
    </w:p>
    <w:p>
      <w:pPr>
        <w:framePr w:w="9559" w:wrap="around" w:vAnchor="margin" w:hAnchor="text" w:x="1800" w:y="1338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）依法募集资金，办理或者委托经中国证监会认定的其他机构代为办理基金份额的</w:t>
      </w:r>
    </w:p>
    <w:p>
      <w:pPr>
        <w:framePr w:w="9559" w:wrap="around" w:vAnchor="margin" w:hAnchor="text" w:x="1800" w:y="133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发售、申购、赎回和登记事宜；</w:t>
      </w:r>
    </w:p>
    <w:p>
      <w:pPr>
        <w:framePr w:w="2780" w:wrap="around" w:vAnchor="margin" w:hAnchor="text" w:x="2220" w:y="150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）办理基金备案手续；</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157</w:t>
      </w:r>
    </w:p>
    <w:p>
      <w:pPr>
        <w:spacing w:before="0" w:after="0" w:line="0" w:lineRule="exact"/>
        <w:ind w:left="0" w:right="0"/>
        <w:jc w:val="left"/>
        <w:rPr>
          <w:rFonts w:ascii="Arial"/>
          <w:color w:val="FF0000"/>
          <w:spacing w:val="0"/>
          <w:sz w:val="2"/>
        </w:rPr>
      </w:pPr>
      <w:r>
        <w:pict>
          <v:shape id="_x0000340" o:spid="_x0000_s136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1" o:title=""/>
            <o:lock v:ext="edit" aspectratio="t"/>
          </v:shape>
        </w:pict>
      </w:r>
      <w:r>
        <w:pict>
          <v:shape id="_x0000341" o:spid="_x0000_s1367" o:spt="75" type="#_x0000_t75" style="position:absolute;left:0pt;margin-left:88.6pt;margin-top:71.1pt;height:699pt;width:418.3pt;mso-position-horizontal-relative:page;mso-position-vertical-relative:page;z-index:-2048;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9"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）自《基金合同》生效之日起，以诚实信用、谨慎勤勉的原则管理和运用基金财产；</w:t>
      </w:r>
    </w:p>
    <w:p>
      <w:pPr>
        <w:framePr w:w="9559"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）配备足够的具有专业资格的人员进行基金投资分析、决策，以专业化的经营方式</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管理和运作基金财产；</w:t>
      </w:r>
    </w:p>
    <w:p>
      <w:pPr>
        <w:framePr w:w="9560"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）建立健全内部风险控制、监察与稽核、财务管理及人事管理等制度，保证所管理</w:t>
      </w:r>
    </w:p>
    <w:p>
      <w:pPr>
        <w:framePr w:w="9560"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的基金财产和基金管理人的财产相互独立</w:t>
      </w:r>
      <w:r>
        <w:rPr>
          <w:rFonts w:ascii="GGHCMB+å®ä½"/>
          <w:color w:val="222222"/>
          <w:spacing w:val="0"/>
          <w:sz w:val="21"/>
        </w:rPr>
        <w:t>,</w:t>
      </w:r>
      <w:r>
        <w:rPr>
          <w:rFonts w:ascii="SKJVQB+å®ä½" w:hAnsi="SKJVQB+å®ä½" w:cs="SKJVQB+å®ä½"/>
          <w:color w:val="222222"/>
          <w:spacing w:val="0"/>
          <w:sz w:val="21"/>
        </w:rPr>
        <w:t>对所管理的不同基金分别管理，分别记账，进行</w:t>
      </w:r>
    </w:p>
    <w:p>
      <w:pPr>
        <w:framePr w:w="9560"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证券投资；</w:t>
      </w:r>
    </w:p>
    <w:p>
      <w:pPr>
        <w:framePr w:w="9556"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）除依据《基金法》、《基金合同》及其他有关规定外，不得利用基金财产为自己</w:t>
      </w:r>
    </w:p>
    <w:p>
      <w:pPr>
        <w:framePr w:w="9556"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及任何第三人谋取利益，不得委托第三人运作基金财产；</w:t>
      </w:r>
    </w:p>
    <w:p>
      <w:pPr>
        <w:framePr w:w="9556" w:wrap="around" w:vAnchor="margin" w:hAnchor="text" w:x="1800" w:y="3902"/>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）依法接受基金托管人的监督；</w:t>
      </w:r>
    </w:p>
    <w:p>
      <w:pPr>
        <w:framePr w:w="9559"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）采取适当合理的措施使计算基金份额认购、申购、赎回和注销价格的方法符合《基</w:t>
      </w:r>
    </w:p>
    <w:p>
      <w:pPr>
        <w:framePr w:w="9559"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金合同》等法律文件的规定，按有关规定计算并披露基金净值信息，确定基金份额申购、赎</w:t>
      </w:r>
    </w:p>
    <w:p>
      <w:pPr>
        <w:framePr w:w="9559"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回的价格；</w:t>
      </w:r>
    </w:p>
    <w:p>
      <w:pPr>
        <w:framePr w:w="5438" w:wrap="around" w:vAnchor="margin" w:hAnchor="text" w:x="2220" w:y="63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）进行基金会计核算并编制基金财务会计报告；</w:t>
      </w:r>
    </w:p>
    <w:p>
      <w:pPr>
        <w:framePr w:w="4836" w:wrap="around" w:vAnchor="margin" w:hAnchor="text" w:x="2220" w:y="676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）编制季度报告、中期报告和年度报告；</w:t>
      </w:r>
    </w:p>
    <w:p>
      <w:pPr>
        <w:framePr w:w="9559"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）严格按照《基金法》、《基金合同》及其他有关规定，履行信息披露及报告义务；</w:t>
      </w:r>
    </w:p>
    <w:p>
      <w:pPr>
        <w:framePr w:w="9559" w:wrap="around" w:vAnchor="margin" w:hAnchor="text" w:x="1800" w:y="717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）保守基金商业秘密，不泄露基金投资计划、投资意向等。除《基金法》、《基金</w:t>
      </w:r>
    </w:p>
    <w:p>
      <w:pPr>
        <w:framePr w:w="9559"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合同》及其他有关规定另有规定外，在基金信息公开披露前应予保密，不向他人泄露；</w:t>
      </w:r>
    </w:p>
    <w:p>
      <w:pPr>
        <w:framePr w:w="9559" w:wrap="around" w:vAnchor="margin" w:hAnchor="text" w:x="1800" w:y="7171"/>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）按《基金合同》的约定确定基金收益分配方案，及时向基金份额持有人分配基金</w:t>
      </w:r>
    </w:p>
    <w:p>
      <w:pPr>
        <w:framePr w:w="9559"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收益；</w:t>
      </w:r>
    </w:p>
    <w:p>
      <w:pPr>
        <w:framePr w:w="9559" w:wrap="around" w:vAnchor="margin" w:hAnchor="text" w:x="1800" w:y="921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）按规定受理申购与赎回申请，及时、足额支付赎回款项；</w:t>
      </w:r>
    </w:p>
    <w:p>
      <w:pPr>
        <w:framePr w:w="9559" w:wrap="around" w:vAnchor="margin" w:hAnchor="text" w:x="1800" w:y="921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）依据《基金法》、《基金合同》及其他有关规定召集基金份额持有人大会或配合</w:t>
      </w:r>
    </w:p>
    <w:p>
      <w:pPr>
        <w:framePr w:w="9559" w:wrap="around" w:vAnchor="margin" w:hAnchor="text" w:x="1800" w:y="921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基金托管人、基金份额持有人依法召集基金份额持有人大会；</w:t>
      </w:r>
    </w:p>
    <w:p>
      <w:pPr>
        <w:framePr w:w="9559" w:wrap="around" w:vAnchor="margin" w:hAnchor="text" w:x="1800" w:y="9214"/>
        <w:widowControl w:val="0"/>
        <w:autoSpaceDE w:val="0"/>
        <w:autoSpaceDN w:val="0"/>
        <w:spacing w:before="0" w:after="0" w:line="408" w:lineRule="exact"/>
        <w:ind w:left="420" w:right="0"/>
        <w:jc w:val="left"/>
        <w:rPr>
          <w:rFonts w:ascii="GGHCM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 xml:space="preserve">）按规定保存基金财产管理业务活动的会计账册、报表、记录和其他相关资料 </w:t>
      </w:r>
      <w:r>
        <w:rPr>
          <w:rFonts w:ascii="GGHCMB+å®ä½"/>
          <w:color w:val="222222"/>
          <w:spacing w:val="0"/>
          <w:sz w:val="21"/>
        </w:rPr>
        <w:t xml:space="preserve"> 15</w:t>
      </w:r>
    </w:p>
    <w:p>
      <w:pPr>
        <w:framePr w:w="9559" w:wrap="around" w:vAnchor="margin" w:hAnchor="text" w:x="1800" w:y="921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年以上；</w:t>
      </w:r>
    </w:p>
    <w:p>
      <w:pPr>
        <w:framePr w:w="9559"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）确保需要向基金投资人提供的各项文件或资料在规定时间发出，并且保证投资人</w:t>
      </w:r>
    </w:p>
    <w:p>
      <w:pPr>
        <w:framePr w:w="9559"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能够按照《基金合同》规定的时间和方式，随时查阅到与基金有关的公开资料，并在支付合</w:t>
      </w:r>
    </w:p>
    <w:p>
      <w:pPr>
        <w:framePr w:w="9559"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理成本的条件下得到有关资料的复印件；</w:t>
      </w:r>
    </w:p>
    <w:p>
      <w:pPr>
        <w:framePr w:w="9543" w:wrap="around" w:vAnchor="margin" w:hAnchor="text" w:x="1800" w:y="124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18</w:t>
      </w:r>
      <w:r>
        <w:rPr>
          <w:rFonts w:ascii="SKJVQB+å®ä½" w:hAnsi="SKJVQB+å®ä½" w:cs="SKJVQB+å®ä½"/>
          <w:color w:val="222222"/>
          <w:spacing w:val="0"/>
          <w:sz w:val="21"/>
        </w:rPr>
        <w:t>）组织并参加基金财产清算小组，参与基金财产的保管、清理、估价、变现和分</w:t>
      </w:r>
    </w:p>
    <w:p>
      <w:pPr>
        <w:framePr w:w="9543"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配；</w:t>
      </w:r>
    </w:p>
    <w:p>
      <w:pPr>
        <w:framePr w:w="9559"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19</w:t>
      </w:r>
      <w:r>
        <w:rPr>
          <w:rFonts w:ascii="SKJVQB+å®ä½" w:hAnsi="SKJVQB+å®ä½" w:cs="SKJVQB+å®ä½"/>
          <w:color w:val="222222"/>
          <w:spacing w:val="0"/>
          <w:sz w:val="21"/>
        </w:rPr>
        <w:t>）面临解散、依法被撤销或者被依法宣告破产时，及时报告中国证监会并通知基金</w:t>
      </w:r>
    </w:p>
    <w:p>
      <w:pPr>
        <w:framePr w:w="9559"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托管人；</w:t>
      </w:r>
    </w:p>
    <w:p>
      <w:pPr>
        <w:framePr w:w="9559" w:wrap="around" w:vAnchor="margin" w:hAnchor="text" w:x="1800" w:y="1411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20</w:t>
      </w:r>
      <w:r>
        <w:rPr>
          <w:rFonts w:ascii="SKJVQB+å®ä½" w:hAnsi="SKJVQB+å®ä½" w:cs="SKJVQB+å®ä½"/>
          <w:color w:val="222222"/>
          <w:spacing w:val="0"/>
          <w:sz w:val="21"/>
        </w:rPr>
        <w:t>）因违反《基金合同》导致基金财产的损失或损害基金份额持有人合法权益时，应</w:t>
      </w:r>
    </w:p>
    <w:p>
      <w:pPr>
        <w:framePr w:w="9559"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当承担赔偿责任，其赔偿责任不因其退任而免除；</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158</w:t>
      </w:r>
    </w:p>
    <w:p>
      <w:pPr>
        <w:spacing w:before="0" w:after="0" w:line="0" w:lineRule="exact"/>
        <w:ind w:left="0" w:right="0"/>
        <w:jc w:val="left"/>
        <w:rPr>
          <w:rFonts w:ascii="Arial"/>
          <w:color w:val="FF0000"/>
          <w:spacing w:val="0"/>
          <w:sz w:val="2"/>
        </w:rPr>
      </w:pPr>
      <w:r>
        <w:pict>
          <v:shape id="_x0000342" o:spid="_x0000_s136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43" o:spid="_x0000_s1369"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60"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21</w:t>
      </w:r>
      <w:r>
        <w:rPr>
          <w:rFonts w:ascii="SKJVQB+å®ä½" w:hAnsi="SKJVQB+å®ä½" w:cs="SKJVQB+å®ä½"/>
          <w:color w:val="222222"/>
          <w:spacing w:val="0"/>
          <w:sz w:val="21"/>
        </w:rPr>
        <w:t>）监督基金托管人按法律法规和《基金合同》规定履行自己的义务，基金托管人违</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反《基金合同》造成基金财产损失时，基金管理人应为基金份额持有人利益向基金托管人追</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偿；</w:t>
      </w:r>
    </w:p>
    <w:p>
      <w:pPr>
        <w:framePr w:w="9559"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22</w:t>
      </w:r>
      <w:r>
        <w:rPr>
          <w:rFonts w:ascii="SKJVQB+å®ä½" w:hAnsi="SKJVQB+å®ä½" w:cs="SKJVQB+å®ä½"/>
          <w:color w:val="222222"/>
          <w:spacing w:val="0"/>
          <w:sz w:val="21"/>
        </w:rPr>
        <w:t>）当基金管理人将其义务委托第三方处理时，应当对第三方处理有关基金事务的行</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为承担责任；</w:t>
      </w:r>
    </w:p>
    <w:p>
      <w:pPr>
        <w:framePr w:w="9799"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23</w:t>
      </w:r>
      <w:r>
        <w:rPr>
          <w:rFonts w:ascii="SKJVQB+å®ä½" w:hAnsi="SKJVQB+å®ä½" w:cs="SKJVQB+å®ä½"/>
          <w:color w:val="222222"/>
          <w:spacing w:val="0"/>
          <w:sz w:val="21"/>
        </w:rPr>
        <w:t>）以基金管理人名义，代表基金份额持有人利益行使诉讼权利或实施其他法律行为；</w:t>
      </w:r>
    </w:p>
    <w:p>
      <w:pPr>
        <w:framePr w:w="9799" w:wrap="around" w:vAnchor="margin" w:hAnchor="text" w:x="1800" w:y="349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24</w:t>
      </w:r>
      <w:r>
        <w:rPr>
          <w:rFonts w:ascii="SKJVQB+å®ä½" w:hAnsi="SKJVQB+å®ä½" w:cs="SKJVQB+å®ä½"/>
          <w:color w:val="222222"/>
          <w:spacing w:val="0"/>
          <w:sz w:val="21"/>
        </w:rPr>
        <w:t>）基金管理人在募集期间未能达到基金的备案条件，《基金合同》不能生效，基金</w:t>
      </w:r>
    </w:p>
    <w:p>
      <w:pPr>
        <w:framePr w:w="9799"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管理人承担全部募集费用，将已募集资金并加计银行同期活期存款利息在基金募集期结束</w:t>
      </w:r>
    </w:p>
    <w:p>
      <w:pPr>
        <w:framePr w:w="9799" w:wrap="around" w:vAnchor="margin" w:hAnchor="text" w:x="1800" w:y="349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后</w:t>
      </w:r>
      <w:r>
        <w:rPr>
          <w:rFonts w:ascii="GGHCMB+å®ä½"/>
          <w:color w:val="222222"/>
          <w:spacing w:val="0"/>
          <w:sz w:val="21"/>
        </w:rPr>
        <w:t>30</w:t>
      </w:r>
      <w:r>
        <w:rPr>
          <w:rFonts w:ascii="SKJVQB+å®ä½" w:hAnsi="SKJVQB+å®ä½" w:cs="SKJVQB+å®ä½"/>
          <w:color w:val="222222"/>
          <w:spacing w:val="0"/>
          <w:sz w:val="21"/>
        </w:rPr>
        <w:t>日内退还基金认购人；</w:t>
      </w:r>
    </w:p>
    <w:p>
      <w:pPr>
        <w:framePr w:w="5076"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25</w:t>
      </w:r>
      <w:r>
        <w:rPr>
          <w:rFonts w:ascii="SKJVQB+å®ä½" w:hAnsi="SKJVQB+å®ä½" w:cs="SKJVQB+å®ä½"/>
          <w:color w:val="222222"/>
          <w:spacing w:val="0"/>
          <w:sz w:val="21"/>
        </w:rPr>
        <w:t>）执行生效的基金份额持有人大会的决议；</w:t>
      </w:r>
    </w:p>
    <w:p>
      <w:pPr>
        <w:framePr w:w="4353" w:wrap="around" w:vAnchor="margin" w:hAnchor="text" w:x="2220" w:y="553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26</w:t>
      </w:r>
      <w:r>
        <w:rPr>
          <w:rFonts w:ascii="SKJVQB+å®ä½" w:hAnsi="SKJVQB+å®ä½" w:cs="SKJVQB+å®ä½"/>
          <w:color w:val="222222"/>
          <w:spacing w:val="0"/>
          <w:sz w:val="21"/>
        </w:rPr>
        <w:t>）建立并保存基金份额持有人名册；</w:t>
      </w:r>
    </w:p>
    <w:p>
      <w:pPr>
        <w:framePr w:w="7495" w:wrap="around" w:vAnchor="margin" w:hAnchor="text" w:x="2220" w:y="594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27</w:t>
      </w:r>
      <w:r>
        <w:rPr>
          <w:rFonts w:ascii="SKJVQB+å®ä½" w:hAnsi="SKJVQB+å®ä½" w:cs="SKJVQB+å®ä½"/>
          <w:color w:val="222222"/>
          <w:spacing w:val="0"/>
          <w:sz w:val="21"/>
        </w:rPr>
        <w:t>）法律法规及中国证监会规定的和《基金合同》约定的其他义务。</w:t>
      </w:r>
    </w:p>
    <w:p>
      <w:pPr>
        <w:framePr w:w="949" w:wrap="around" w:vAnchor="margin" w:hAnchor="text" w:x="2220" w:y="63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w:t>
      </w:r>
    </w:p>
    <w:p>
      <w:pPr>
        <w:framePr w:w="2661" w:wrap="around" w:vAnchor="margin" w:hAnchor="text" w:x="3060" w:y="63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基金托管人的权利与义务</w:t>
      </w:r>
    </w:p>
    <w:p>
      <w:pPr>
        <w:framePr w:w="9076" w:wrap="around" w:vAnchor="margin" w:hAnchor="text" w:x="2220" w:y="676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、根据《基金法》、《运作办法》及其他有关规定，基金托管人的权利包括但不限于：</w:t>
      </w:r>
    </w:p>
    <w:p>
      <w:pPr>
        <w:framePr w:w="9076" w:wrap="around" w:vAnchor="margin" w:hAnchor="text" w:x="222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）自《基金合同》生效之日起，依法律法规和《基金合同》的规定安全保管基金财</w:t>
      </w:r>
    </w:p>
    <w:p>
      <w:pPr>
        <w:framePr w:w="737" w:wrap="around" w:vAnchor="margin" w:hAnchor="text" w:x="180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w:t>
      </w:r>
    </w:p>
    <w:p>
      <w:pPr>
        <w:framePr w:w="9073"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）依《基金合同》约定获得基金托管费以及法律法规规定或监管部门批准的其他费</w:t>
      </w:r>
    </w:p>
    <w:p>
      <w:pPr>
        <w:framePr w:w="737" w:wrap="around" w:vAnchor="margin" w:hAnchor="text" w:x="1800" w:y="839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用；</w:t>
      </w:r>
    </w:p>
    <w:p>
      <w:pPr>
        <w:framePr w:w="9073" w:wrap="around" w:vAnchor="margin" w:hAnchor="text" w:x="2220" w:y="880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）监督基金管理人对本基金的投资运作，如发现基金管理人有违反《基金合同》及</w:t>
      </w:r>
    </w:p>
    <w:p>
      <w:pPr>
        <w:framePr w:w="9548" w:wrap="around" w:vAnchor="margin" w:hAnchor="text" w:x="1800" w:y="921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国家法律法规行为，对基金财产、其他当事人的利益造成重大损失的情形，应呈报中国证</w:t>
      </w:r>
    </w:p>
    <w:p>
      <w:pPr>
        <w:framePr w:w="9548" w:wrap="around" w:vAnchor="margin" w:hAnchor="text" w:x="1800" w:y="921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监会，并采取必要措施保护基金投资人的利益；</w:t>
      </w:r>
    </w:p>
    <w:p>
      <w:pPr>
        <w:framePr w:w="9556"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）根据相关市场规则，为基金开设证券账户、期货账户等投资所需账户，为基金办</w:t>
      </w:r>
    </w:p>
    <w:p>
      <w:pPr>
        <w:framePr w:w="9556"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理证券、期货等交易资金清算；</w:t>
      </w:r>
    </w:p>
    <w:p>
      <w:pPr>
        <w:framePr w:w="4712"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）提议召开或召集基金份额持有人大会；</w:t>
      </w:r>
    </w:p>
    <w:p>
      <w:pPr>
        <w:framePr w:w="5438" w:wrap="around" w:vAnchor="margin" w:hAnchor="text" w:x="2220" w:y="112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）在基金管理人更换时，提名新的基金管理人；</w:t>
      </w:r>
    </w:p>
    <w:p>
      <w:pPr>
        <w:framePr w:w="9559"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）法律法规及中国证监会规定的和《基金合同》约定的其他权利。</w:t>
      </w:r>
    </w:p>
    <w:p>
      <w:pPr>
        <w:framePr w:w="9559" w:wrap="around" w:vAnchor="margin" w:hAnchor="text" w:x="1800" w:y="11665"/>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、根据《基金法》、《运作办法》及其他有关规定，基金托管人的义务包括但不限于：</w:t>
      </w:r>
    </w:p>
    <w:p>
      <w:pPr>
        <w:framePr w:w="9559" w:wrap="around" w:vAnchor="margin" w:hAnchor="text" w:x="1800" w:y="1166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）以诚实信用、勤勉尽责的原则持有并安全保管基金财产；</w:t>
      </w:r>
    </w:p>
    <w:p>
      <w:pPr>
        <w:framePr w:w="9559" w:wrap="around" w:vAnchor="margin" w:hAnchor="text" w:x="1800" w:y="1166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）设立专门的基金托管部门，具有符合要求的营业场所，配备足够的、合格的熟悉</w:t>
      </w:r>
    </w:p>
    <w:p>
      <w:pPr>
        <w:framePr w:w="9559"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基金托管业务的专职人员，负责基金财产托管事宜；</w:t>
      </w:r>
    </w:p>
    <w:p>
      <w:pPr>
        <w:framePr w:w="9559"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）建立健全内部风险控制、监察与稽核、财务管理及人事管理等制度，确保基金财</w:t>
      </w:r>
    </w:p>
    <w:p>
      <w:pPr>
        <w:framePr w:w="9559" w:wrap="around" w:vAnchor="margin" w:hAnchor="text" w:x="180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产的安全，保证其托管的基金财产与基金托管人自有财产以及不同的基金财产相互独立；</w:t>
      </w:r>
    </w:p>
    <w:p>
      <w:pPr>
        <w:framePr w:w="9559" w:wrap="around" w:vAnchor="margin" w:hAnchor="text" w:x="1800" w:y="137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对所托管的不同的基金分别设置账户，独立核算，分账管理，保证不同基金之间在账户设</w:t>
      </w:r>
    </w:p>
    <w:p>
      <w:pPr>
        <w:framePr w:w="9559" w:wrap="around" w:vAnchor="margin" w:hAnchor="text" w:x="1800" w:y="137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置、资金划拨、账册记录等方面相互独立；</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159</w:t>
      </w:r>
    </w:p>
    <w:p>
      <w:pPr>
        <w:spacing w:before="0" w:after="0" w:line="0" w:lineRule="exact"/>
        <w:ind w:left="0" w:right="0"/>
        <w:jc w:val="left"/>
        <w:rPr>
          <w:rFonts w:ascii="Arial"/>
          <w:color w:val="FF0000"/>
          <w:spacing w:val="0"/>
          <w:sz w:val="2"/>
        </w:rPr>
      </w:pPr>
      <w:r>
        <w:pict>
          <v:shape id="_x0000344" o:spid="_x0000_s137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45" o:spid="_x0000_s1371"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9"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）除依据《基金法》、《基金合同》、《托管协议》及其他有关规定外，不得利用</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基金财产为自己及任何第三人谋取利益，不得委托第三人托管基金财产；</w:t>
      </w:r>
    </w:p>
    <w:p>
      <w:pPr>
        <w:framePr w:w="9559"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）保管由基金管理人代表基金签订的与基金有关的重大合同及有关凭证；</w:t>
      </w:r>
    </w:p>
    <w:p>
      <w:pPr>
        <w:framePr w:w="9559" w:wrap="around" w:vAnchor="margin" w:hAnchor="text" w:x="1800" w:y="145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）按规定开设基金财产的资金账户、证券账户、期货账户等投资所需账户，按照《基</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金合同》及托管协议的约定，根据基金管理人的投资指令，及时办理清算、交割事宜；</w:t>
      </w:r>
    </w:p>
    <w:p>
      <w:pPr>
        <w:framePr w:w="9559"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）保守基金商业秘密，除《基金法》、《基金合同》、《托管协议》及其他有关规</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定另有规定外，在基金信息公开披露前予以保密，不得向他人泄露，审计、法律等外部专</w:t>
      </w:r>
    </w:p>
    <w:p>
      <w:pPr>
        <w:framePr w:w="9559"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业顾问提供的除外；</w:t>
      </w:r>
    </w:p>
    <w:p>
      <w:pPr>
        <w:framePr w:w="9556"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）复核、审查基金管理人计算的基金资产净值、基金份额净值、基金份额申购、赎</w:t>
      </w:r>
    </w:p>
    <w:p>
      <w:pPr>
        <w:framePr w:w="9556"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回价格；</w:t>
      </w:r>
    </w:p>
    <w:p>
      <w:pPr>
        <w:framePr w:w="5678" w:wrap="around" w:vAnchor="margin" w:hAnchor="text" w:x="2220" w:y="553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）办理与基金托管业务活动有关的信息披露事项；</w:t>
      </w:r>
    </w:p>
    <w:p>
      <w:pPr>
        <w:framePr w:w="9559" w:wrap="around" w:vAnchor="margin" w:hAnchor="text" w:x="1800" w:y="59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）对基金财务会计报告、季度报告、中期报告和年度报告出具意见，说明基金管理</w:t>
      </w:r>
    </w:p>
    <w:p>
      <w:pPr>
        <w:framePr w:w="9559"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人在各重要方面的运作是否严格按照《基金合同》及《托管协议》的规定进行；如果基金管</w:t>
      </w:r>
    </w:p>
    <w:p>
      <w:pPr>
        <w:framePr w:w="955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理人有未执行《基金合同》及《托管协议》规定的行为，还应当说明基金托管人是否采取了</w:t>
      </w:r>
    </w:p>
    <w:p>
      <w:pPr>
        <w:framePr w:w="9559" w:wrap="around" w:vAnchor="margin" w:hAnchor="text" w:x="1800" w:y="594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适当的措施；</w:t>
      </w:r>
    </w:p>
    <w:p>
      <w:pPr>
        <w:framePr w:w="8337"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）保存基金托管业务活动的记录、账册、报表和其他相关资料</w:t>
      </w:r>
      <w:r>
        <w:rPr>
          <w:rFonts w:ascii="GGHCMB+å®ä½"/>
          <w:color w:val="222222"/>
          <w:spacing w:val="0"/>
          <w:sz w:val="21"/>
        </w:rPr>
        <w:t>15</w:t>
      </w:r>
      <w:r>
        <w:rPr>
          <w:rFonts w:ascii="SKJVQB+å®ä½" w:hAnsi="SKJVQB+å®ä½" w:cs="SKJVQB+å®ä½"/>
          <w:color w:val="222222"/>
          <w:spacing w:val="0"/>
          <w:sz w:val="21"/>
        </w:rPr>
        <w:t>年以上；</w:t>
      </w:r>
    </w:p>
    <w:p>
      <w:pPr>
        <w:framePr w:w="8337" w:wrap="around" w:vAnchor="margin" w:hAnchor="text" w:x="222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）从基金管理人或其委托的登记机构处接受并保存基金份额持有人名册；</w:t>
      </w:r>
    </w:p>
    <w:p>
      <w:pPr>
        <w:framePr w:w="8337" w:wrap="around" w:vAnchor="margin" w:hAnchor="text" w:x="2220" w:y="7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）按规定制作相关账册并与基金管理人核对；</w:t>
      </w:r>
    </w:p>
    <w:p>
      <w:pPr>
        <w:framePr w:w="9559"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）依据基金管理人的指令或有关规定向基金份额持有人支付基金收益和赎回款项；</w:t>
      </w:r>
    </w:p>
    <w:p>
      <w:pPr>
        <w:framePr w:w="9559" w:wrap="around" w:vAnchor="margin" w:hAnchor="text" w:x="1800" w:y="880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）依据《基金法》、《基金合同》及其他有关规定，召集基金份额持有人大会或配</w:t>
      </w:r>
    </w:p>
    <w:p>
      <w:pPr>
        <w:framePr w:w="9559"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合基金管理人、基金份额持有人依法召集基金份额持有人大会；</w:t>
      </w:r>
    </w:p>
    <w:p>
      <w:pPr>
        <w:framePr w:w="9559" w:wrap="around" w:vAnchor="margin" w:hAnchor="text" w:x="1800" w:y="8806"/>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）按照法律法规和《基金合同》和《托管协议》的规定监督基金管理人的投资运作；</w:t>
      </w:r>
    </w:p>
    <w:p>
      <w:pPr>
        <w:framePr w:w="9559" w:wrap="around" w:vAnchor="margin" w:hAnchor="text" w:x="1800" w:y="880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）参加基金财产清算小组，参与基金财产的保管、清理、估价、变现和分配；</w:t>
      </w:r>
    </w:p>
    <w:p>
      <w:pPr>
        <w:framePr w:w="9559" w:wrap="around" w:vAnchor="margin" w:hAnchor="text" w:x="1800" w:y="8806"/>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18</w:t>
      </w:r>
      <w:r>
        <w:rPr>
          <w:rFonts w:ascii="SKJVQB+å®ä½" w:hAnsi="SKJVQB+å®ä½" w:cs="SKJVQB+å®ä½"/>
          <w:color w:val="222222"/>
          <w:spacing w:val="0"/>
          <w:sz w:val="21"/>
        </w:rPr>
        <w:t>）面临解散、依法被撤销或者被依法宣告破产时，及时报告中国证监会和银行业监</w:t>
      </w:r>
    </w:p>
    <w:p>
      <w:pPr>
        <w:framePr w:w="9559"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督管理机构，并通知基金管理人；</w:t>
      </w:r>
    </w:p>
    <w:p>
      <w:pPr>
        <w:framePr w:w="9559"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19</w:t>
      </w:r>
      <w:r>
        <w:rPr>
          <w:rFonts w:ascii="SKJVQB+å®ä½" w:hAnsi="SKJVQB+å®ä½" w:cs="SKJVQB+å®ä½"/>
          <w:color w:val="222222"/>
          <w:spacing w:val="0"/>
          <w:sz w:val="21"/>
        </w:rPr>
        <w:t>）因违反《基金合同》及《托管协议》导致基金财产损失时，应承担赔偿责任，其</w:t>
      </w:r>
    </w:p>
    <w:p>
      <w:pPr>
        <w:framePr w:w="9559"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赔偿责任不因其退任而免除；</w:t>
      </w:r>
    </w:p>
    <w:p>
      <w:pPr>
        <w:framePr w:w="9559" w:wrap="around" w:vAnchor="margin" w:hAnchor="text" w:x="1800" w:y="124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20</w:t>
      </w:r>
      <w:r>
        <w:rPr>
          <w:rFonts w:ascii="SKJVQB+å®ä½" w:hAnsi="SKJVQB+å®ä½" w:cs="SKJVQB+å®ä½"/>
          <w:color w:val="222222"/>
          <w:spacing w:val="0"/>
          <w:sz w:val="21"/>
        </w:rPr>
        <w:t>）按规定监督基金管理人按法律法规和《基金合同》规定履行自己的义务，基金管</w:t>
      </w:r>
    </w:p>
    <w:p>
      <w:pPr>
        <w:framePr w:w="9559"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理人因违反《基金合同》造成基金财产损失时，应为基金份额持有人利益向基金管理人追</w:t>
      </w:r>
    </w:p>
    <w:p>
      <w:pPr>
        <w:framePr w:w="9559"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偿；</w:t>
      </w:r>
    </w:p>
    <w:p>
      <w:pPr>
        <w:framePr w:w="5076" w:wrap="around" w:vAnchor="margin" w:hAnchor="text" w:x="2220" w:y="137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21</w:t>
      </w:r>
      <w:r>
        <w:rPr>
          <w:rFonts w:ascii="SKJVQB+å®ä½" w:hAnsi="SKJVQB+å®ä½" w:cs="SKJVQB+å®ä½"/>
          <w:color w:val="222222"/>
          <w:spacing w:val="0"/>
          <w:sz w:val="21"/>
        </w:rPr>
        <w:t>）执行生效的基金份额持有人大会的决议；</w:t>
      </w:r>
    </w:p>
    <w:p>
      <w:pPr>
        <w:framePr w:w="7495" w:wrap="around" w:vAnchor="margin" w:hAnchor="text" w:x="2220" w:y="1411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22</w:t>
      </w:r>
      <w:r>
        <w:rPr>
          <w:rFonts w:ascii="SKJVQB+å®ä½" w:hAnsi="SKJVQB+å®ä½" w:cs="SKJVQB+å®ä½"/>
          <w:color w:val="222222"/>
          <w:spacing w:val="0"/>
          <w:sz w:val="21"/>
        </w:rPr>
        <w:t>）法律法规及中国证监会规定的和《基金合同》约定的其他义务。</w:t>
      </w:r>
    </w:p>
    <w:p>
      <w:pPr>
        <w:framePr w:w="6045"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二、基金份额持有人大会召集、议事及表决的程序和规则</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160</w:t>
      </w:r>
    </w:p>
    <w:p>
      <w:pPr>
        <w:spacing w:before="0" w:after="0" w:line="0" w:lineRule="exact"/>
        <w:ind w:left="0" w:right="0"/>
        <w:jc w:val="left"/>
        <w:rPr>
          <w:rFonts w:ascii="Arial"/>
          <w:color w:val="FF0000"/>
          <w:spacing w:val="0"/>
          <w:sz w:val="2"/>
        </w:rPr>
      </w:pPr>
      <w:r>
        <w:pict>
          <v:shape id="_x0000346" o:spid="_x0000_s137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47" o:spid="_x0000_s1373"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基金份额持有人大会由基金份额持有人组成，基金份额持有人的合法授权代表有权代</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表基金份额持有人出席会议并表决。基金份额持有人持有的每一基金份额拥有平等的投票</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权。本基金份额持有人大会不设日常机构。若将来法律法规对基金份额持有人大会另有规</w:t>
      </w:r>
    </w:p>
    <w:p>
      <w:pPr>
        <w:framePr w:w="9553"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定的，以届时有效的法律法规为准。</w:t>
      </w:r>
    </w:p>
    <w:p>
      <w:pPr>
        <w:framePr w:w="1789" w:wrap="around" w:vAnchor="margin" w:hAnchor="text" w:x="2220" w:y="30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（一）召开事由</w:t>
      </w:r>
    </w:p>
    <w:p>
      <w:pPr>
        <w:framePr w:w="7613" w:wrap="around" w:vAnchor="margin" w:hAnchor="text" w:x="2220" w:y="34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、当出现或需要决定下列事由之一的，应当召开基金份额持有人大会：</w:t>
      </w:r>
    </w:p>
    <w:p>
      <w:pPr>
        <w:framePr w:w="7613" w:wrap="around" w:vAnchor="margin" w:hAnchor="text" w:x="222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）终止《基金合同》；</w:t>
      </w:r>
    </w:p>
    <w:p>
      <w:pPr>
        <w:framePr w:w="2540" w:wrap="around" w:vAnchor="margin" w:hAnchor="text" w:x="2220" w:y="43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）更换基金管理人；</w:t>
      </w:r>
    </w:p>
    <w:p>
      <w:pPr>
        <w:framePr w:w="2540" w:wrap="around" w:vAnchor="margin" w:hAnchor="text" w:x="2220" w:y="47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）更换基金托管人；</w:t>
      </w:r>
    </w:p>
    <w:p>
      <w:pPr>
        <w:framePr w:w="9556"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）转换基金运作方式，但法律法规、中国证监会另有规定或基金合同另有约定的除</w:t>
      </w:r>
    </w:p>
    <w:p>
      <w:pPr>
        <w:framePr w:w="9556"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外；</w:t>
      </w:r>
    </w:p>
    <w:p>
      <w:pPr>
        <w:framePr w:w="9556" w:wrap="around" w:vAnchor="margin" w:hAnchor="text" w:x="1800" w:y="594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）提高基金管理人、基金托管人的报酬标准和提高销售服务费，但法律法规和中国</w:t>
      </w:r>
    </w:p>
    <w:p>
      <w:pPr>
        <w:framePr w:w="9556" w:wrap="around" w:vAnchor="margin" w:hAnchor="text" w:x="1800" w:y="594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证监会另有规定或《基金合同》另有约定的除外；</w:t>
      </w:r>
    </w:p>
    <w:p>
      <w:pPr>
        <w:framePr w:w="9076" w:wrap="around" w:vAnchor="margin" w:hAnchor="text" w:x="2220" w:y="676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）变更基金类别，法律法规和中国证监会另有规定或《基金合同》另有约定的除外；</w:t>
      </w:r>
    </w:p>
    <w:p>
      <w:pPr>
        <w:framePr w:w="9076" w:wrap="around" w:vAnchor="margin" w:hAnchor="text" w:x="222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）本基金与其他基金的合并；</w:t>
      </w:r>
    </w:p>
    <w:p>
      <w:pPr>
        <w:framePr w:w="9556" w:wrap="around" w:vAnchor="margin" w:hAnchor="text" w:x="1800" w:y="75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）变更基金投资目标、范围或策略，但法律法规和中国证监会另有规定或《基金合</w:t>
      </w:r>
    </w:p>
    <w:p>
      <w:pPr>
        <w:framePr w:w="9556"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同》另有约定的除外；</w:t>
      </w:r>
    </w:p>
    <w:p>
      <w:pPr>
        <w:framePr w:w="3989" w:wrap="around" w:vAnchor="margin" w:hAnchor="text" w:x="2220" w:y="839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）变更基金份额持有人大会程序；</w:t>
      </w:r>
    </w:p>
    <w:p>
      <w:pPr>
        <w:framePr w:w="9560"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）基金管理人或基金托管人要求召开基金份额持有人大会；</w:t>
      </w:r>
    </w:p>
    <w:p>
      <w:pPr>
        <w:framePr w:w="9560" w:wrap="around" w:vAnchor="margin" w:hAnchor="text" w:x="1800" w:y="880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）单独或合计持有本基金总份额</w:t>
      </w:r>
      <w:r>
        <w:rPr>
          <w:rFonts w:ascii="GGHCMB+å®ä½"/>
          <w:color w:val="222222"/>
          <w:spacing w:val="0"/>
          <w:sz w:val="21"/>
        </w:rPr>
        <w:t>10%</w:t>
      </w:r>
      <w:r>
        <w:rPr>
          <w:rFonts w:ascii="SKJVQB+å®ä½" w:hAnsi="SKJVQB+å®ä½" w:cs="SKJVQB+å®ä½"/>
          <w:color w:val="222222"/>
          <w:spacing w:val="0"/>
          <w:sz w:val="21"/>
        </w:rPr>
        <w:t>以上（含</w:t>
      </w:r>
      <w:r>
        <w:rPr>
          <w:rFonts w:ascii="GGHCMB+å®ä½"/>
          <w:color w:val="222222"/>
          <w:spacing w:val="0"/>
          <w:sz w:val="21"/>
        </w:rPr>
        <w:t>10%</w:t>
      </w:r>
      <w:r>
        <w:rPr>
          <w:rFonts w:ascii="SKJVQB+å®ä½" w:hAnsi="SKJVQB+å®ä½" w:cs="SKJVQB+å®ä½"/>
          <w:color w:val="222222"/>
          <w:spacing w:val="0"/>
          <w:sz w:val="21"/>
        </w:rPr>
        <w:t>）基金份额的基金份额持有人（以</w:t>
      </w:r>
    </w:p>
    <w:p>
      <w:pPr>
        <w:framePr w:w="9560"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基金管理人收到提议当日的基金份额计算，下同）就同一事项书面要求召开基金份额持有人</w:t>
      </w:r>
    </w:p>
    <w:p>
      <w:pPr>
        <w:framePr w:w="9560" w:wrap="around" w:vAnchor="margin" w:hAnchor="text" w:x="1800" w:y="880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大会；</w:t>
      </w:r>
    </w:p>
    <w:p>
      <w:pPr>
        <w:framePr w:w="9559"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）对基金合同当事人权利和义务产生重大影响的其他事项；</w:t>
      </w:r>
    </w:p>
    <w:p>
      <w:pPr>
        <w:framePr w:w="9559" w:wrap="around" w:vAnchor="margin" w:hAnchor="text" w:x="1800" w:y="10441"/>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）法律法规、《基金合同》或中国证监会规定的其他应当召开基金份额持有人大会</w:t>
      </w:r>
    </w:p>
    <w:p>
      <w:pPr>
        <w:framePr w:w="9559"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的事项。</w:t>
      </w:r>
    </w:p>
    <w:p>
      <w:pPr>
        <w:framePr w:w="9551"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、以下情况可由基金管理人和基金托管人协商后修改，不需召开基金份额持有人大</w:t>
      </w:r>
    </w:p>
    <w:p>
      <w:pPr>
        <w:framePr w:w="9551"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会：</w:t>
      </w:r>
    </w:p>
    <w:p>
      <w:pPr>
        <w:framePr w:w="8822" w:wrap="around" w:vAnchor="margin" w:hAnchor="text" w:x="2220" w:y="1248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）调低基金管理费、基金托管费、基金销售服务费和其他应由基金承担的费用；</w:t>
      </w:r>
    </w:p>
    <w:p>
      <w:pPr>
        <w:framePr w:w="8822" w:wrap="around" w:vAnchor="margin" w:hAnchor="text" w:x="222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）法律法规要求增加的基金费用的收取；</w:t>
      </w:r>
    </w:p>
    <w:p>
      <w:pPr>
        <w:framePr w:w="9556"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）在法律法规和《基金合同》规定的范围内调整本基金的申购费率、调低赎回费率</w:t>
      </w:r>
    </w:p>
    <w:p>
      <w:pPr>
        <w:framePr w:w="9556"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或在对现有基金份额持有人利益无实质性不利影响的前提下变更收费方式或增加、减少、</w:t>
      </w:r>
    </w:p>
    <w:p>
      <w:pPr>
        <w:framePr w:w="9556" w:wrap="around" w:vAnchor="margin" w:hAnchor="text" w:x="1800" w:y="1330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调整基金份额类别及对基金份额分类办法、规则进行调整；</w:t>
      </w:r>
    </w:p>
    <w:p>
      <w:pPr>
        <w:framePr w:w="9556" w:wrap="around" w:vAnchor="margin" w:hAnchor="text" w:x="1800" w:y="13300"/>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）因相应的法律法规发生变动而应当对《基金合同》进行修改；</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161</w:t>
      </w:r>
    </w:p>
    <w:p>
      <w:pPr>
        <w:spacing w:before="0" w:after="0" w:line="0" w:lineRule="exact"/>
        <w:ind w:left="0" w:right="0"/>
        <w:jc w:val="left"/>
        <w:rPr>
          <w:rFonts w:ascii="Arial"/>
          <w:color w:val="FF0000"/>
          <w:spacing w:val="0"/>
          <w:sz w:val="2"/>
        </w:rPr>
      </w:pPr>
      <w:r>
        <w:pict>
          <v:shape id="_x0000348" o:spid="_x0000_s137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49" o:spid="_x0000_s1375"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9"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）对《基金合同》的修改对基金份额持有人利益无实质性不利影响或修改不涉及《基</w:t>
      </w:r>
    </w:p>
    <w:p>
      <w:pPr>
        <w:framePr w:w="9559"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金合同》当事人权利义务关系发生重大变化；</w:t>
      </w:r>
    </w:p>
    <w:p>
      <w:pPr>
        <w:framePr w:w="9556"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）在不违反法律法规、基金合同的约定以及对基金份额持有人利益无实质性不利影</w:t>
      </w:r>
    </w:p>
    <w:p>
      <w:pPr>
        <w:framePr w:w="9556"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响的情况下，调整有关基金认购、申购、赎回、转换、非交易过户、转托管等业务的规</w:t>
      </w:r>
    </w:p>
    <w:p>
      <w:pPr>
        <w:framePr w:w="9556"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则；</w:t>
      </w:r>
    </w:p>
    <w:p>
      <w:pPr>
        <w:framePr w:w="8822" w:wrap="around" w:vAnchor="margin" w:hAnchor="text" w:x="2220" w:y="34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）按照法律法规和《基金合同》规定不需召开基金份额持有人大会的其他情形。</w:t>
      </w:r>
    </w:p>
    <w:p>
      <w:pPr>
        <w:framePr w:w="8822" w:wrap="around" w:vAnchor="margin" w:hAnchor="text" w:x="222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（二）会议召集人及召集方式</w:t>
      </w:r>
    </w:p>
    <w:p>
      <w:pPr>
        <w:framePr w:w="9556"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、除法律法规规定或《基金合同》另有约定外，基金份额持有人大会由基金管理人召</w:t>
      </w:r>
    </w:p>
    <w:p>
      <w:pPr>
        <w:framePr w:w="9556"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集；</w:t>
      </w:r>
    </w:p>
    <w:p>
      <w:pPr>
        <w:framePr w:w="9800"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、基金管理人未按规定召集或不能召集时，由基金托管人召集；</w:t>
      </w:r>
    </w:p>
    <w:p>
      <w:pPr>
        <w:framePr w:w="9800"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、基金托管人认为有必要召开基金份额持有人大会的，应当向基金管理人提出书面提</w:t>
      </w:r>
    </w:p>
    <w:p>
      <w:pPr>
        <w:framePr w:w="980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议。基金管理人应当自收到书面提议之日起</w:t>
      </w:r>
      <w:r>
        <w:rPr>
          <w:rFonts w:ascii="GGHCMB+å®ä½"/>
          <w:color w:val="222222"/>
          <w:spacing w:val="0"/>
          <w:sz w:val="21"/>
        </w:rPr>
        <w:t>10</w:t>
      </w:r>
      <w:r>
        <w:rPr>
          <w:rFonts w:ascii="SKJVQB+å®ä½" w:hAnsi="SKJVQB+å®ä½" w:cs="SKJVQB+å®ä½"/>
          <w:color w:val="222222"/>
          <w:spacing w:val="0"/>
          <w:sz w:val="21"/>
        </w:rPr>
        <w:t>日内决定是否召集，并书面告知基金托管人。</w:t>
      </w:r>
    </w:p>
    <w:p>
      <w:pPr>
        <w:framePr w:w="9800" w:wrap="around" w:vAnchor="margin" w:hAnchor="text" w:x="1800" w:y="512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基金管理人决定召集的，应当自出具书面决定之日起</w:t>
      </w:r>
      <w:r>
        <w:rPr>
          <w:rFonts w:ascii="GGHCMB+å®ä½"/>
          <w:color w:val="222222"/>
          <w:spacing w:val="0"/>
          <w:sz w:val="21"/>
        </w:rPr>
        <w:t>60</w:t>
      </w:r>
      <w:r>
        <w:rPr>
          <w:rFonts w:ascii="SKJVQB+å®ä½" w:hAnsi="SKJVQB+å®ä½" w:cs="SKJVQB+å®ä½"/>
          <w:color w:val="222222"/>
          <w:spacing w:val="0"/>
          <w:sz w:val="21"/>
        </w:rPr>
        <w:t>日内召开；基金管理人决定不召集，</w:t>
      </w:r>
    </w:p>
    <w:p>
      <w:pPr>
        <w:framePr w:w="980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基金托管人仍认为有必要召开的，应当由基金托管人自行召集，并自出具书面决定之日起</w:t>
      </w:r>
    </w:p>
    <w:p>
      <w:pPr>
        <w:framePr w:w="980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60</w:t>
      </w:r>
      <w:r>
        <w:rPr>
          <w:rFonts w:ascii="SKJVQB+å®ä½" w:hAnsi="SKJVQB+å®ä½" w:cs="SKJVQB+å®ä½"/>
          <w:color w:val="222222"/>
          <w:spacing w:val="0"/>
          <w:sz w:val="21"/>
        </w:rPr>
        <w:t>日内召开并告知基金管理人，基金管理人应当配合。</w:t>
      </w:r>
    </w:p>
    <w:p>
      <w:pPr>
        <w:framePr w:w="9560" w:wrap="around" w:vAnchor="margin" w:hAnchor="text" w:x="1800" w:y="75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、代表基金份额</w:t>
      </w:r>
      <w:r>
        <w:rPr>
          <w:rFonts w:ascii="GGHCMB+å®ä½"/>
          <w:color w:val="222222"/>
          <w:spacing w:val="0"/>
          <w:sz w:val="21"/>
        </w:rPr>
        <w:t>10%</w:t>
      </w:r>
      <w:r>
        <w:rPr>
          <w:rFonts w:ascii="SKJVQB+å®ä½" w:hAnsi="SKJVQB+å®ä½" w:cs="SKJVQB+å®ä½"/>
          <w:color w:val="222222"/>
          <w:spacing w:val="0"/>
          <w:sz w:val="21"/>
        </w:rPr>
        <w:t>以上（含</w:t>
      </w:r>
      <w:r>
        <w:rPr>
          <w:rFonts w:ascii="GGHCMB+å®ä½"/>
          <w:color w:val="222222"/>
          <w:spacing w:val="0"/>
          <w:sz w:val="21"/>
        </w:rPr>
        <w:t>10%</w:t>
      </w:r>
      <w:r>
        <w:rPr>
          <w:rFonts w:ascii="SKJVQB+å®ä½" w:hAnsi="SKJVQB+å®ä½" w:cs="SKJVQB+å®ä½"/>
          <w:color w:val="222222"/>
          <w:spacing w:val="0"/>
          <w:sz w:val="21"/>
        </w:rPr>
        <w:t>）的基金份额持有人就同一事项书面要求召开基金份</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额持有人大会，应当向基金管理人提出书面提议。基金管理人应当自收到书面提议之日起</w:t>
      </w:r>
    </w:p>
    <w:p>
      <w:pPr>
        <w:framePr w:w="9560" w:wrap="around" w:vAnchor="margin" w:hAnchor="text" w:x="1800" w:y="7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日内决定是否召集，并书面告知提出提议的基金份额持有人代表和基金托管人。基金管</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理人决定召集的，应当自出具书面决定之日起</w:t>
      </w:r>
      <w:r>
        <w:rPr>
          <w:rFonts w:ascii="GGHCMB+å®ä½"/>
          <w:color w:val="222222"/>
          <w:spacing w:val="0"/>
          <w:sz w:val="21"/>
        </w:rPr>
        <w:t>60</w:t>
      </w:r>
      <w:r>
        <w:rPr>
          <w:rFonts w:ascii="SKJVQB+å®ä½" w:hAnsi="SKJVQB+å®ä½" w:cs="SKJVQB+å®ä½"/>
          <w:color w:val="222222"/>
          <w:spacing w:val="0"/>
          <w:sz w:val="21"/>
        </w:rPr>
        <w:t>日内召开；基金管理人决定不召集，代表</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w:t>
      </w:r>
      <w:r>
        <w:rPr>
          <w:rFonts w:ascii="GGHCMB+å®ä½"/>
          <w:color w:val="222222"/>
          <w:spacing w:val="0"/>
          <w:sz w:val="21"/>
        </w:rPr>
        <w:t>10%</w:t>
      </w:r>
      <w:r>
        <w:rPr>
          <w:rFonts w:ascii="SKJVQB+å®ä½" w:hAnsi="SKJVQB+å®ä½" w:cs="SKJVQB+å®ä½"/>
          <w:color w:val="222222"/>
          <w:spacing w:val="0"/>
          <w:sz w:val="21"/>
        </w:rPr>
        <w:t>以上（含</w:t>
      </w:r>
      <w:r>
        <w:rPr>
          <w:rFonts w:ascii="GGHCMB+å®ä½"/>
          <w:color w:val="222222"/>
          <w:spacing w:val="0"/>
          <w:sz w:val="21"/>
        </w:rPr>
        <w:t>10%</w:t>
      </w:r>
      <w:r>
        <w:rPr>
          <w:rFonts w:ascii="SKJVQB+å®ä½" w:hAnsi="SKJVQB+å®ä½" w:cs="SKJVQB+å®ä½"/>
          <w:color w:val="222222"/>
          <w:spacing w:val="0"/>
          <w:sz w:val="21"/>
        </w:rPr>
        <w:t>）的基金份额持有人仍认为有必要召开的，应当向基金托管人提</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出书面提议。基金托管人应当自收到书面提议之日起</w:t>
      </w:r>
      <w:r>
        <w:rPr>
          <w:rFonts w:ascii="GGHCMB+å®ä½"/>
          <w:color w:val="222222"/>
          <w:spacing w:val="0"/>
          <w:sz w:val="21"/>
        </w:rPr>
        <w:t>10</w:t>
      </w:r>
      <w:r>
        <w:rPr>
          <w:rFonts w:ascii="SKJVQB+å®ä½" w:hAnsi="SKJVQB+å®ä½" w:cs="SKJVQB+å®ä½"/>
          <w:color w:val="222222"/>
          <w:spacing w:val="0"/>
          <w:sz w:val="21"/>
        </w:rPr>
        <w:t>日内决定是否召集，并书面告知提</w:t>
      </w:r>
    </w:p>
    <w:p>
      <w:pPr>
        <w:framePr w:w="9560" w:wrap="around" w:vAnchor="margin" w:hAnchor="text" w:x="1800" w:y="7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出提议的基金份额持有人代表和基金管理人；基金托管人决定召集的，应当自出具书面决</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定之日起</w:t>
      </w:r>
      <w:r>
        <w:rPr>
          <w:rFonts w:ascii="GGHCMB+å®ä½"/>
          <w:color w:val="222222"/>
          <w:spacing w:val="0"/>
          <w:sz w:val="21"/>
        </w:rPr>
        <w:t>60</w:t>
      </w:r>
      <w:r>
        <w:rPr>
          <w:rFonts w:ascii="SKJVQB+å®ä½" w:hAnsi="SKJVQB+å®ä½" w:cs="SKJVQB+å®ä½"/>
          <w:color w:val="222222"/>
          <w:spacing w:val="0"/>
          <w:sz w:val="21"/>
        </w:rPr>
        <w:t>日内召开并告知基金管理人，基金管理人应当配合；</w:t>
      </w:r>
    </w:p>
    <w:p>
      <w:pPr>
        <w:framePr w:w="9560" w:wrap="around" w:vAnchor="margin" w:hAnchor="text" w:x="1800" w:y="7580"/>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、代表基金份额</w:t>
      </w:r>
      <w:r>
        <w:rPr>
          <w:rFonts w:ascii="GGHCMB+å®ä½"/>
          <w:color w:val="222222"/>
          <w:spacing w:val="0"/>
          <w:sz w:val="21"/>
        </w:rPr>
        <w:t>10%</w:t>
      </w:r>
      <w:r>
        <w:rPr>
          <w:rFonts w:ascii="SKJVQB+å®ä½" w:hAnsi="SKJVQB+å®ä½" w:cs="SKJVQB+å®ä½"/>
          <w:color w:val="222222"/>
          <w:spacing w:val="0"/>
          <w:sz w:val="21"/>
        </w:rPr>
        <w:t>以上（含</w:t>
      </w:r>
      <w:r>
        <w:rPr>
          <w:rFonts w:ascii="GGHCMB+å®ä½"/>
          <w:color w:val="222222"/>
          <w:spacing w:val="0"/>
          <w:sz w:val="21"/>
        </w:rPr>
        <w:t>10%</w:t>
      </w:r>
      <w:r>
        <w:rPr>
          <w:rFonts w:ascii="SKJVQB+å®ä½" w:hAnsi="SKJVQB+å®ä½" w:cs="SKJVQB+å®ä½"/>
          <w:color w:val="222222"/>
          <w:spacing w:val="0"/>
          <w:sz w:val="21"/>
        </w:rPr>
        <w:t>）的基金份额持有人就同一事项要求召开基金份额持</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有人大会，而基金管理人、基金托管人都不召集的，单独或合计代表基金份额</w:t>
      </w:r>
      <w:r>
        <w:rPr>
          <w:rFonts w:ascii="GGHCMB+å®ä½"/>
          <w:color w:val="222222"/>
          <w:spacing w:val="0"/>
          <w:sz w:val="21"/>
        </w:rPr>
        <w:t>10%</w:t>
      </w:r>
      <w:r>
        <w:rPr>
          <w:rFonts w:ascii="SKJVQB+å®ä½" w:hAnsi="SKJVQB+å®ä½" w:cs="SKJVQB+å®ä½"/>
          <w:color w:val="222222"/>
          <w:spacing w:val="0"/>
          <w:sz w:val="21"/>
        </w:rPr>
        <w:t>以上（含</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）的基金份额持有人有权自行召集，并至少提前</w:t>
      </w:r>
      <w:r>
        <w:rPr>
          <w:rFonts w:ascii="GGHCMB+å®ä½"/>
          <w:color w:val="222222"/>
          <w:spacing w:val="0"/>
          <w:sz w:val="21"/>
        </w:rPr>
        <w:t>30</w:t>
      </w:r>
      <w:r>
        <w:rPr>
          <w:rFonts w:ascii="SKJVQB+å®ä½" w:hAnsi="SKJVQB+å®ä½" w:cs="SKJVQB+å®ä½"/>
          <w:color w:val="222222"/>
          <w:spacing w:val="0"/>
          <w:sz w:val="21"/>
        </w:rPr>
        <w:t>日报中国证监会备案。基金份额持有</w:t>
      </w:r>
    </w:p>
    <w:p>
      <w:pPr>
        <w:framePr w:w="9560" w:wrap="around" w:vAnchor="margin" w:hAnchor="text" w:x="1800" w:y="7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人依法自行召集基金份额持有人大会的，基金管理人、基金托管人应当配合，不得阻碍、</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干扰；</w:t>
      </w:r>
    </w:p>
    <w:p>
      <w:pPr>
        <w:framePr w:w="9557" w:wrap="around" w:vAnchor="margin" w:hAnchor="text" w:x="1800" w:y="1289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、基金份额持有人会议的召集人负责选择确定开会时间、地点、方式和权益登记日。</w:t>
      </w:r>
    </w:p>
    <w:p>
      <w:pPr>
        <w:framePr w:w="9557" w:wrap="around" w:vAnchor="margin" w:hAnchor="text" w:x="1800" w:y="1289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（三）召开基金份额持有人大会的通知时间、通知内容、通知方式</w:t>
      </w:r>
    </w:p>
    <w:p>
      <w:pPr>
        <w:framePr w:w="9557" w:wrap="around" w:vAnchor="margin" w:hAnchor="text" w:x="1800" w:y="1289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 xml:space="preserve">、召开基金份额持有人大会，召集人应于会议召开前 </w:t>
      </w:r>
      <w:r>
        <w:rPr>
          <w:rFonts w:ascii="GGHCMB+å®ä½"/>
          <w:color w:val="222222"/>
          <w:spacing w:val="0"/>
          <w:sz w:val="21"/>
        </w:rPr>
        <w:t>30</w:t>
      </w:r>
      <w:r>
        <w:rPr>
          <w:rFonts w:ascii="SKJVQB+å®ä½" w:hAnsi="SKJVQB+å®ä½" w:cs="SKJVQB+å®ä½"/>
          <w:color w:val="222222"/>
          <w:spacing w:val="0"/>
          <w:sz w:val="21"/>
        </w:rPr>
        <w:t>日，在指定媒介公告。基金</w:t>
      </w:r>
    </w:p>
    <w:p>
      <w:pPr>
        <w:framePr w:w="9557" w:wrap="around" w:vAnchor="margin" w:hAnchor="text" w:x="1800" w:y="1289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份额持有人大会通知应至少载明以下内容：</w:t>
      </w:r>
    </w:p>
    <w:p>
      <w:pPr>
        <w:framePr w:w="4472" w:wrap="around" w:vAnchor="margin" w:hAnchor="text" w:x="2220" w:y="1452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）会议召开的时间、地点和会议形式；</w:t>
      </w:r>
    </w:p>
    <w:p>
      <w:pPr>
        <w:framePr w:w="5195"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）会议拟审议的事项、议事程序和表决方式；</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162</w:t>
      </w:r>
    </w:p>
    <w:p>
      <w:pPr>
        <w:spacing w:before="0" w:after="0" w:line="0" w:lineRule="exact"/>
        <w:ind w:left="0" w:right="0"/>
        <w:jc w:val="left"/>
        <w:rPr>
          <w:rFonts w:ascii="Arial"/>
          <w:color w:val="FF0000"/>
          <w:spacing w:val="0"/>
          <w:sz w:val="2"/>
        </w:rPr>
      </w:pPr>
      <w:r>
        <w:pict>
          <v:shape id="_x0000350" o:spid="_x0000_s137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51" o:spid="_x0000_s1377"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7370"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）有权出席基金份额持有人大会的基金份额持有人的权益登记日；</w:t>
      </w:r>
    </w:p>
    <w:p>
      <w:pPr>
        <w:framePr w:w="9556" w:wrap="around" w:vAnchor="margin" w:hAnchor="text" w:x="1800" w:y="186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）授权委托证明的内容要求（包括但不限于代理人身份，代理权限和代理有效期限</w:t>
      </w:r>
    </w:p>
    <w:p>
      <w:pPr>
        <w:framePr w:w="9556"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等）、送达时间和地点；</w:t>
      </w:r>
    </w:p>
    <w:p>
      <w:pPr>
        <w:framePr w:w="4229" w:wrap="around" w:vAnchor="margin" w:hAnchor="text" w:x="222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）会务常设联系人姓名及联系电话；</w:t>
      </w:r>
    </w:p>
    <w:p>
      <w:pPr>
        <w:framePr w:w="5678" w:wrap="around" w:vAnchor="margin" w:hAnchor="text" w:x="2220" w:y="30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）出席会议者必须准备的文件和必须履行的手续；</w:t>
      </w:r>
    </w:p>
    <w:p>
      <w:pPr>
        <w:framePr w:w="3746" w:wrap="around" w:vAnchor="margin" w:hAnchor="text" w:x="2220" w:y="34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）召集人需要通知的其他事项。</w:t>
      </w:r>
    </w:p>
    <w:p>
      <w:pPr>
        <w:framePr w:w="9556"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、采取通讯开会方式并进行表决的情况下，由会议召集人决定在会议通知中说明本次</w:t>
      </w:r>
    </w:p>
    <w:p>
      <w:pPr>
        <w:framePr w:w="9556"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基金份额持有人大会所采取的具体通讯方式、委托的公证机关及其联系方式和联系人、表</w:t>
      </w:r>
    </w:p>
    <w:p>
      <w:pPr>
        <w:framePr w:w="9556" w:wrap="around" w:vAnchor="margin" w:hAnchor="text" w:x="1800" w:y="390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决意见寄交的截止时间和收取方式。</w:t>
      </w:r>
    </w:p>
    <w:p>
      <w:pPr>
        <w:framePr w:w="9557"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、如召集人为基金管理人，还应另行书面通知基金托管人到指定地点对表决意见的计</w:t>
      </w:r>
    </w:p>
    <w:p>
      <w:pPr>
        <w:framePr w:w="9557"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票进行监督；如召集人为基金托管人，则应另行书面通知基金管理人到指定地点对表决意</w:t>
      </w:r>
    </w:p>
    <w:p>
      <w:pPr>
        <w:framePr w:w="9557"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见的计票进行监督；如召集人为基金份额持有人，则应另行书面通知基金管理人和基金托</w:t>
      </w:r>
    </w:p>
    <w:p>
      <w:pPr>
        <w:framePr w:w="9557" w:wrap="around" w:vAnchor="margin" w:hAnchor="text" w:x="1800" w:y="512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管人到指定地点对表决意见的计票进行监督。基金管理人或基金托管人拒不派代表对表决</w:t>
      </w:r>
    </w:p>
    <w:p>
      <w:pPr>
        <w:framePr w:w="9557"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意见的计票进行监督的，不影响表决意见的计票效力。</w:t>
      </w:r>
    </w:p>
    <w:p>
      <w:pPr>
        <w:framePr w:w="4110" w:wrap="around" w:vAnchor="margin" w:hAnchor="text" w:x="2220" w:y="717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（四）基金份额持有人出席会议的方式</w:t>
      </w:r>
    </w:p>
    <w:p>
      <w:pPr>
        <w:framePr w:w="9553" w:wrap="around" w:vAnchor="margin" w:hAnchor="text" w:x="1800" w:y="75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基金份额持有人大会可通过现场开会方式、通讯开会方式或法律法规和监管机关允许</w:t>
      </w:r>
    </w:p>
    <w:p>
      <w:pPr>
        <w:framePr w:w="9553"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的其他方式召开，会议的召开方式由会议召集人确定。</w:t>
      </w:r>
    </w:p>
    <w:p>
      <w:pPr>
        <w:framePr w:w="9556"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、现场开会。由基金份额持有人本人出席或以代理投票授权委托证明委派代表出席，</w:t>
      </w:r>
    </w:p>
    <w:p>
      <w:pPr>
        <w:framePr w:w="9556"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现场开会时基金管理人和基金托管人的授权代表应当列席基金份额持有人大会，基金管理</w:t>
      </w:r>
    </w:p>
    <w:p>
      <w:pPr>
        <w:framePr w:w="9556"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人或基金托管人不派代表列席的，不影响表决效力。现场开会同时符合以下条件时，可以</w:t>
      </w:r>
    </w:p>
    <w:p>
      <w:pPr>
        <w:framePr w:w="9556"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进行基金份额持有人大会议程：</w:t>
      </w:r>
    </w:p>
    <w:p>
      <w:pPr>
        <w:framePr w:w="9799"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）亲自出席会议者持有基金份额的凭证、受托出席会议者出具的委托人持有基金份</w:t>
      </w:r>
    </w:p>
    <w:p>
      <w:pPr>
        <w:framePr w:w="9799"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额的凭证及委托人的代理投票授权委托证明符合法律法规、《基金合同》和会议通知的规定，</w:t>
      </w:r>
    </w:p>
    <w:p>
      <w:pPr>
        <w:framePr w:w="9799" w:wrap="around" w:vAnchor="margin" w:hAnchor="text" w:x="1800" w:y="1003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并且持有基金份额的凭证与基金管理人持有的登记资料相符；</w:t>
      </w:r>
    </w:p>
    <w:p>
      <w:pPr>
        <w:framePr w:w="9560"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）经核对，汇总到会者出示的在权益登记日持有基金份额的凭证显示，有效的基金</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份额不少于本基金在权益登记日基金总份额的二分之一（含二分之一）。若到会者在权益登</w:t>
      </w:r>
    </w:p>
    <w:p>
      <w:pPr>
        <w:framePr w:w="9560"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记日代表的有效的基金份额少于本基金在权益登记日基金总份额的二分之一，召集人可以</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在原公告的基金份额持有人大会召开时间的</w:t>
      </w:r>
      <w:r>
        <w:rPr>
          <w:rFonts w:ascii="GGHCMB+å®ä½"/>
          <w:color w:val="222222"/>
          <w:spacing w:val="0"/>
          <w:sz w:val="21"/>
        </w:rPr>
        <w:t>3</w:t>
      </w:r>
      <w:r>
        <w:rPr>
          <w:rFonts w:ascii="SKJVQB+å®ä½" w:hAnsi="SKJVQB+å®ä½" w:cs="SKJVQB+å®ä½"/>
          <w:color w:val="222222"/>
          <w:spacing w:val="0"/>
          <w:sz w:val="21"/>
        </w:rPr>
        <w:t>个月以后、</w:t>
      </w:r>
      <w:r>
        <w:rPr>
          <w:rFonts w:ascii="GGHCMB+å®ä½"/>
          <w:color w:val="222222"/>
          <w:spacing w:val="0"/>
          <w:sz w:val="21"/>
        </w:rPr>
        <w:t>6</w:t>
      </w:r>
      <w:r>
        <w:rPr>
          <w:rFonts w:ascii="SKJVQB+å®ä½" w:hAnsi="SKJVQB+å®ä½" w:cs="SKJVQB+å®ä½"/>
          <w:color w:val="222222"/>
          <w:spacing w:val="0"/>
          <w:sz w:val="21"/>
        </w:rPr>
        <w:t>个月以内，就原定审议事项重新</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召集基金份额持有人大会。重新召集的基金份额持有人大会到会者在权益登记日代表的有</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效的基金份额应不少于本基金在权益登记日基金总份额的三分之一（含三分之一）。</w:t>
      </w:r>
    </w:p>
    <w:p>
      <w:pPr>
        <w:framePr w:w="9560" w:wrap="around" w:vAnchor="margin" w:hAnchor="text" w:x="1800" w:y="1125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、通讯开会。通讯开会系指基金份额持有人将其对表决事项的投票以召集人通知的非</w:t>
      </w:r>
    </w:p>
    <w:p>
      <w:pPr>
        <w:framePr w:w="9560"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现场方式在表决截止日以前送达至召集人指定的地址或系统。通讯开会应以召集人通知的</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非现场方式进行表决。</w:t>
      </w:r>
    </w:p>
    <w:p>
      <w:pPr>
        <w:framePr w:w="5560"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在同时符合以下条件时，通讯开会的方式视为有效：</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163</w:t>
      </w:r>
    </w:p>
    <w:p>
      <w:pPr>
        <w:spacing w:before="0" w:after="0" w:line="0" w:lineRule="exact"/>
        <w:ind w:left="0" w:right="0"/>
        <w:jc w:val="left"/>
        <w:rPr>
          <w:rFonts w:ascii="Arial"/>
          <w:color w:val="FF0000"/>
          <w:spacing w:val="0"/>
          <w:sz w:val="2"/>
        </w:rPr>
      </w:pPr>
      <w:r>
        <w:pict>
          <v:shape id="_x0000352" o:spid="_x0000_s137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53" o:spid="_x0000_s1379"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074"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）会议召集人按《基金合同》约定公布会议通知后，在</w:t>
      </w:r>
      <w:r>
        <w:rPr>
          <w:rFonts w:ascii="GGHCMB+å®ä½"/>
          <w:color w:val="222222"/>
          <w:spacing w:val="0"/>
          <w:sz w:val="21"/>
        </w:rPr>
        <w:t>2</w:t>
      </w:r>
      <w:r>
        <w:rPr>
          <w:rFonts w:ascii="SKJVQB+å®ä½" w:hAnsi="SKJVQB+å®ä½" w:cs="SKJVQB+å®ä½"/>
          <w:color w:val="222222"/>
          <w:spacing w:val="0"/>
          <w:sz w:val="21"/>
        </w:rPr>
        <w:t>个工作日内连续公布相关</w:t>
      </w:r>
    </w:p>
    <w:p>
      <w:pPr>
        <w:framePr w:w="1578" w:wrap="around" w:vAnchor="margin" w:hAnchor="text" w:x="1800" w:y="186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提示性公告；</w:t>
      </w:r>
    </w:p>
    <w:p>
      <w:pPr>
        <w:framePr w:w="9559"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）召集人按基金合同约定通知基金托管人（如果基金托管人为召集人，则为基金管</w:t>
      </w:r>
    </w:p>
    <w:p>
      <w:pPr>
        <w:framePr w:w="9559"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理人）到指定地点对表决意见的计票进行监督。会议召集人在基金托管人（如果基金托管人</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为召集人，则为基金管理人）和公证机关的监督下按照会议通知规定的方式收取基金份额持</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有人的表决意见；基金托管人或基金管理人经通知不参加收取表决意见的，不影响表决效</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力；</w:t>
      </w:r>
    </w:p>
    <w:p>
      <w:pPr>
        <w:framePr w:w="9560"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）本人直接出具表决意见或授权他人代表出具表决意见的，基金份额持有人所持有</w:t>
      </w:r>
    </w:p>
    <w:p>
      <w:pPr>
        <w:framePr w:w="9560"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的基金份额不小于在权益登记日基金总份额的二分之一（含二分之一）；若本人直接出具表</w:t>
      </w:r>
    </w:p>
    <w:p>
      <w:pPr>
        <w:framePr w:w="9560"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决意见或授权他人代表出具表决意见基金份额持有人所持有的基金份额小于在权益登记日</w:t>
      </w:r>
    </w:p>
    <w:p>
      <w:pPr>
        <w:framePr w:w="9560"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基金总份额的二分之一，召集人可以在原公告的基金份额持有人大会召开时间的 </w:t>
      </w:r>
      <w:r>
        <w:rPr>
          <w:rFonts w:ascii="GGHCMB+å®ä½"/>
          <w:color w:val="222222"/>
          <w:spacing w:val="0"/>
          <w:sz w:val="21"/>
        </w:rPr>
        <w:t>3</w:t>
      </w:r>
      <w:r>
        <w:rPr>
          <w:rFonts w:ascii="SKJVQB+å®ä½" w:hAnsi="SKJVQB+å®ä½" w:cs="SKJVQB+å®ä½"/>
          <w:color w:val="222222"/>
          <w:spacing w:val="0"/>
          <w:sz w:val="21"/>
        </w:rPr>
        <w:t>个月以</w:t>
      </w:r>
    </w:p>
    <w:p>
      <w:pPr>
        <w:framePr w:w="9560"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后、</w:t>
      </w:r>
      <w:r>
        <w:rPr>
          <w:rFonts w:ascii="GGHCMB+å®ä½"/>
          <w:color w:val="222222"/>
          <w:spacing w:val="0"/>
          <w:sz w:val="21"/>
        </w:rPr>
        <w:t>6</w:t>
      </w:r>
      <w:r>
        <w:rPr>
          <w:rFonts w:ascii="SKJVQB+å®ä½" w:hAnsi="SKJVQB+å®ä½" w:cs="SKJVQB+å®ä½"/>
          <w:color w:val="222222"/>
          <w:spacing w:val="0"/>
          <w:sz w:val="21"/>
        </w:rPr>
        <w:t>个月以内，就原定审议事项重新召集基金份额持有人大会。重新召集的基金份额持</w:t>
      </w:r>
    </w:p>
    <w:p>
      <w:pPr>
        <w:framePr w:w="9560" w:wrap="around" w:vAnchor="margin" w:hAnchor="text" w:x="1800" w:y="431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有人大会应当有代表三分之一以上（含三分之一）基金份额的持有人直接出具表决意见或授</w:t>
      </w:r>
    </w:p>
    <w:p>
      <w:pPr>
        <w:framePr w:w="9560"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权他人代表出具表决意见；</w:t>
      </w:r>
    </w:p>
    <w:p>
      <w:pPr>
        <w:framePr w:w="9560"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）上述第（</w:t>
      </w:r>
      <w:r>
        <w:rPr>
          <w:rFonts w:ascii="GGHCMB+å®ä½"/>
          <w:color w:val="222222"/>
          <w:spacing w:val="0"/>
          <w:sz w:val="21"/>
        </w:rPr>
        <w:t>3</w:t>
      </w:r>
      <w:r>
        <w:rPr>
          <w:rFonts w:ascii="SKJVQB+å®ä½" w:hAnsi="SKJVQB+å®ä½" w:cs="SKJVQB+å®ä½"/>
          <w:color w:val="222222"/>
          <w:spacing w:val="0"/>
          <w:sz w:val="21"/>
        </w:rPr>
        <w:t>）项中直接出具表决意见的基金份额持有人或受托代表他人出具表决意</w:t>
      </w:r>
    </w:p>
    <w:p>
      <w:pPr>
        <w:framePr w:w="9560"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见的代理人，同时提交的持有基金份额的凭证、受托出具表决意见的代理人出具的委托人</w:t>
      </w:r>
    </w:p>
    <w:p>
      <w:pPr>
        <w:framePr w:w="9560"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持有基金份额的凭证及委托人的代理投票授权委托证明符合法律法规、《基金合同》和会议</w:t>
      </w:r>
    </w:p>
    <w:p>
      <w:pPr>
        <w:framePr w:w="9560" w:wrap="around" w:vAnchor="margin" w:hAnchor="text" w:x="1800" w:y="717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通知的规定，并与基金登记机构记录相符。</w:t>
      </w:r>
    </w:p>
    <w:p>
      <w:pPr>
        <w:framePr w:w="9556"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、在不与法律法规冲突的前提下，基金份额持有人大会可通过网络、电话或其他方式</w:t>
      </w:r>
    </w:p>
    <w:p>
      <w:pPr>
        <w:framePr w:w="9556"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召开，基金份额持有人可以采用书面、网络、电话、短信或其他方式进行表决，具体方式</w:t>
      </w:r>
    </w:p>
    <w:p>
      <w:pPr>
        <w:framePr w:w="9556"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由会议召集人确定并在会议通知中列明。</w:t>
      </w:r>
    </w:p>
    <w:p>
      <w:pPr>
        <w:framePr w:w="9556"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、基金份额持有人授权他人代为出席会议并表决的，授权方式可以采用书面、网络、</w:t>
      </w:r>
    </w:p>
    <w:p>
      <w:pPr>
        <w:framePr w:w="9556"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电话、短信或其他方式，具体方式在会议通知中列明。</w:t>
      </w:r>
    </w:p>
    <w:p>
      <w:pPr>
        <w:framePr w:w="2418"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（五）议事内容与程序</w:t>
      </w:r>
    </w:p>
    <w:p>
      <w:pPr>
        <w:framePr w:w="2312" w:wrap="around" w:vAnchor="margin" w:hAnchor="text" w:x="2220" w:y="112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、议事内容及提案权</w:t>
      </w:r>
    </w:p>
    <w:p>
      <w:pPr>
        <w:framePr w:w="9559"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议事内容为关系基金份额持有人利益的重大事项，如《基金合同》的重大修改、决定终</w:t>
      </w:r>
    </w:p>
    <w:p>
      <w:pPr>
        <w:framePr w:w="9559"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止《基金合同》、更换基金管理人、更换基金托管人、与其他基金合并、法律法规及《基金</w:t>
      </w:r>
    </w:p>
    <w:p>
      <w:pPr>
        <w:framePr w:w="9559"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合同》规定的其他事项以及会议召集人认为需提交基金份额持有人大会讨论的其他事项。</w:t>
      </w:r>
    </w:p>
    <w:p>
      <w:pPr>
        <w:framePr w:w="9559" w:wrap="around" w:vAnchor="margin" w:hAnchor="text" w:x="1800" w:y="1166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基金份额持有人大会的召集人发出召集会议的通知后，对原有提案的修改应当在基金</w:t>
      </w:r>
    </w:p>
    <w:p>
      <w:pPr>
        <w:framePr w:w="9559"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份额持有人大会召开前及时公告。</w:t>
      </w:r>
    </w:p>
    <w:p>
      <w:pPr>
        <w:framePr w:w="6528" w:wrap="around" w:vAnchor="margin" w:hAnchor="text" w:x="2220" w:y="137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基金份额持有人大会不得对未事先公告的议事内容进行表决。</w:t>
      </w:r>
    </w:p>
    <w:p>
      <w:pPr>
        <w:framePr w:w="1472" w:wrap="around" w:vAnchor="margin" w:hAnchor="text" w:x="2220" w:y="1411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、议事程序</w:t>
      </w:r>
    </w:p>
    <w:p>
      <w:pPr>
        <w:framePr w:w="1683" w:wrap="around" w:vAnchor="margin" w:hAnchor="text" w:x="2220" w:y="1452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）现场开会</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164</w:t>
      </w:r>
    </w:p>
    <w:p>
      <w:pPr>
        <w:spacing w:before="0" w:after="0" w:line="0" w:lineRule="exact"/>
        <w:ind w:left="0" w:right="0"/>
        <w:jc w:val="left"/>
        <w:rPr>
          <w:rFonts w:ascii="Arial"/>
          <w:color w:val="FF0000"/>
          <w:spacing w:val="0"/>
          <w:sz w:val="2"/>
        </w:rPr>
      </w:pPr>
      <w:r>
        <w:pict>
          <v:shape id="_x0000354" o:spid="_x0000_s138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55" o:spid="_x0000_s1381"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798"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在现场开会的方式下，首先由大会主持人按照下列第七条规定程序确定和公布监票人，</w:t>
      </w:r>
    </w:p>
    <w:p>
      <w:pPr>
        <w:framePr w:w="979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然后由大会主持人宣读提案，经讨论后进行表决，并形成大会决议。大会主持人为基金管</w:t>
      </w:r>
    </w:p>
    <w:p>
      <w:pPr>
        <w:framePr w:w="979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理人授权出席会议的代表，在基金管理人授权代表未能主持大会的情况下，由基金托管人</w:t>
      </w:r>
    </w:p>
    <w:p>
      <w:pPr>
        <w:framePr w:w="9798"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授权其出席会议的代表主持；如果基金管理人授权代表和基金托管人授权代表均未能主持</w:t>
      </w:r>
    </w:p>
    <w:p>
      <w:pPr>
        <w:framePr w:w="979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大会，则由出席大会的基金份额持有人和代理人所持表决权的二分之一以上（含二分之一）</w:t>
      </w:r>
    </w:p>
    <w:p>
      <w:pPr>
        <w:framePr w:w="979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选举产生一名基金份额持有人作为该次基金份额持有人大会的主持人。基金管理人和基金</w:t>
      </w:r>
    </w:p>
    <w:p>
      <w:pPr>
        <w:framePr w:w="979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托管人拒不出席或主持基金份额持有人大会，不影响基金份额持有人大会作出的决议的效</w:t>
      </w:r>
    </w:p>
    <w:p>
      <w:pPr>
        <w:framePr w:w="9798"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力。</w:t>
      </w:r>
    </w:p>
    <w:p>
      <w:pPr>
        <w:framePr w:w="9559"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会议召集人应当制作出席会议人员的签名册。签名册载明参加会议人员姓名（或单位名</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称）、身份证明文件号码、持有或代表有表决权的基金份额、委托人姓名（或单位名称）和</w:t>
      </w:r>
    </w:p>
    <w:p>
      <w:pPr>
        <w:framePr w:w="9559"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联系方式等事项。</w:t>
      </w:r>
    </w:p>
    <w:p>
      <w:pPr>
        <w:framePr w:w="1683" w:wrap="around" w:vAnchor="margin" w:hAnchor="text" w:x="2220" w:y="594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）通讯开会</w:t>
      </w:r>
    </w:p>
    <w:p>
      <w:pPr>
        <w:framePr w:w="9560"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在通讯开会的情况下，首先由召集人提前</w:t>
      </w:r>
      <w:r>
        <w:rPr>
          <w:rFonts w:ascii="GGHCMB+å®ä½"/>
          <w:color w:val="222222"/>
          <w:spacing w:val="0"/>
          <w:sz w:val="21"/>
        </w:rPr>
        <w:t>30</w:t>
      </w:r>
      <w:r>
        <w:rPr>
          <w:rFonts w:ascii="SKJVQB+å®ä½" w:hAnsi="SKJVQB+å®ä½" w:cs="SKJVQB+å®ä½"/>
          <w:color w:val="222222"/>
          <w:spacing w:val="0"/>
          <w:sz w:val="21"/>
        </w:rPr>
        <w:t>日公布提案，在所通知的表决截止日期后</w:t>
      </w:r>
    </w:p>
    <w:p>
      <w:pPr>
        <w:framePr w:w="9560"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个工作日内在公证机关监督下由召集人统计全部有效表决，在公证机关监督下形成决</w:t>
      </w:r>
    </w:p>
    <w:p>
      <w:pPr>
        <w:framePr w:w="9560"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议。</w:t>
      </w:r>
    </w:p>
    <w:p>
      <w:pPr>
        <w:framePr w:w="1369"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（六）表决</w:t>
      </w:r>
    </w:p>
    <w:p>
      <w:pPr>
        <w:framePr w:w="5319"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基金份额持有人所持每份基金份额有同等表决权。</w:t>
      </w:r>
    </w:p>
    <w:p>
      <w:pPr>
        <w:framePr w:w="5560" w:wrap="around" w:vAnchor="margin" w:hAnchor="text" w:x="2220" w:y="839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基金份额持有人大会决议分为一般决议和特别决议：</w:t>
      </w:r>
    </w:p>
    <w:p>
      <w:pPr>
        <w:framePr w:w="9560"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、一般决议，一般决议须经参加大会的基金份额持有人或其代理人所持表决权的二分</w:t>
      </w:r>
    </w:p>
    <w:p>
      <w:pPr>
        <w:framePr w:w="9560"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之一以上（含二分之一）通过方为有效；除下列第</w:t>
      </w:r>
      <w:r>
        <w:rPr>
          <w:rFonts w:ascii="GGHCMB+å®ä½"/>
          <w:color w:val="222222"/>
          <w:spacing w:val="0"/>
          <w:sz w:val="21"/>
        </w:rPr>
        <w:t>2</w:t>
      </w:r>
      <w:r>
        <w:rPr>
          <w:rFonts w:ascii="SKJVQB+å®ä½" w:hAnsi="SKJVQB+å®ä½" w:cs="SKJVQB+å®ä½"/>
          <w:color w:val="222222"/>
          <w:spacing w:val="0"/>
          <w:sz w:val="21"/>
        </w:rPr>
        <w:t>项所规定的须以特别决议通过事项以外</w:t>
      </w:r>
    </w:p>
    <w:p>
      <w:pPr>
        <w:framePr w:w="9560"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的其他事项均以一般决议的方式通过。</w:t>
      </w:r>
    </w:p>
    <w:p>
      <w:pPr>
        <w:framePr w:w="9559"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、特别决议，特别决议应当经参加大会的基金份额持有人或其代理人所持表决权的三</w:t>
      </w:r>
    </w:p>
    <w:p>
      <w:pPr>
        <w:framePr w:w="9559"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分之二以上（含三分之二）通过方可做出。转换基金运作方式、与其他基金合并、更换基金</w:t>
      </w:r>
    </w:p>
    <w:p>
      <w:pPr>
        <w:framePr w:w="9559" w:wrap="around" w:vAnchor="margin" w:hAnchor="text" w:x="1800" w:y="1003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管理人或者基金托管人、终止《基金合同》以特别决议通过方为有效。</w:t>
      </w:r>
    </w:p>
    <w:p>
      <w:pPr>
        <w:framePr w:w="9559" w:wrap="around" w:vAnchor="margin" w:hAnchor="text" w:x="1800" w:y="10033"/>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基金份额持有人大会采取记名方式进行投票表决。</w:t>
      </w:r>
    </w:p>
    <w:p>
      <w:pPr>
        <w:framePr w:w="9553"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采取通讯方式进行表决时，除非在计票时有充分的相反证据证明，否则提交符合会议</w:t>
      </w:r>
    </w:p>
    <w:p>
      <w:pPr>
        <w:framePr w:w="9553"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通知中规定的确认投资人身份文件的表决视为有效出席的投资人，表面符合会议通知规定</w:t>
      </w:r>
    </w:p>
    <w:p>
      <w:pPr>
        <w:framePr w:w="9553"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的书面表决意见视为有效表决，表决意见模糊不清或相互矛盾的视为弃权表决，但应当计</w:t>
      </w:r>
    </w:p>
    <w:p>
      <w:pPr>
        <w:framePr w:w="9553"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入出具表决意见的基金份额持有人所代表的基金份额总数。</w:t>
      </w:r>
    </w:p>
    <w:p>
      <w:pPr>
        <w:framePr w:w="9553" w:wrap="around" w:vAnchor="margin" w:hAnchor="text" w:x="1800" w:y="1166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基金份额持有人大会的各项提案或同一项提案内并列的各项议题应当分开审议、逐项</w:t>
      </w:r>
    </w:p>
    <w:p>
      <w:pPr>
        <w:framePr w:w="9553"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表决。</w:t>
      </w:r>
    </w:p>
    <w:p>
      <w:pPr>
        <w:framePr w:w="8461" w:wrap="around" w:vAnchor="margin" w:hAnchor="text" w:x="2220" w:y="1411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在上述规则的前提下，具体规则以召集人发布的基金份额持有人大会通知为准。</w:t>
      </w:r>
    </w:p>
    <w:p>
      <w:pPr>
        <w:framePr w:w="8461" w:wrap="around" w:vAnchor="margin" w:hAnchor="text" w:x="222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（七）计票</w:t>
      </w:r>
    </w:p>
    <w:p>
      <w:pPr>
        <w:framePr w:w="1472"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、现场开会</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165</w:t>
      </w:r>
    </w:p>
    <w:p>
      <w:pPr>
        <w:spacing w:before="0" w:after="0" w:line="0" w:lineRule="exact"/>
        <w:ind w:left="0" w:right="0"/>
        <w:jc w:val="left"/>
        <w:rPr>
          <w:rFonts w:ascii="Arial"/>
          <w:color w:val="FF0000"/>
          <w:spacing w:val="0"/>
          <w:sz w:val="2"/>
        </w:rPr>
      </w:pPr>
      <w:r>
        <w:pict>
          <v:shape id="_x0000356" o:spid="_x0000_s138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57" o:spid="_x0000_s1383"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6"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）如大会由基金管理人或基金托管人召集，基金份额持有人大会的主持人应当在会</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议开始后宣布在出席会议的基金份额持有人和代理人中选举两名基金份额持有人代表与大</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会召集人授权的一名监督员共同担任监票人；如大会由基金份额持有人自行召集或大会虽</w:t>
      </w:r>
    </w:p>
    <w:p>
      <w:pPr>
        <w:framePr w:w="9556"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然由基金管理人或基金托管人召集，但是基金管理人或基金托管人未出席大会的，基金份</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额持有人大会的主持人应当在会议开始后宣布在出席会议的基金份额持有人中选举三名基</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金份额持有人代表担任监票人。基金管理人或基金托管人不出席大会的，不影响计票的效</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力。</w:t>
      </w:r>
    </w:p>
    <w:p>
      <w:pPr>
        <w:framePr w:w="9557"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）监票人应当在基金份额持有人表决后立即进行清点并由大会主持人当场公布计票</w:t>
      </w:r>
    </w:p>
    <w:p>
      <w:pPr>
        <w:framePr w:w="9557"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结果。</w:t>
      </w:r>
    </w:p>
    <w:p>
      <w:pPr>
        <w:framePr w:w="9556"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）如果会议主持人或基金份额持有人或代理人对于提交的表决结果有怀疑，可以在</w:t>
      </w:r>
    </w:p>
    <w:p>
      <w:pPr>
        <w:framePr w:w="9556"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宣布表决结果后立即对所投票数要求进行重新清点。监票人应当进行重新清点，重新清点</w:t>
      </w:r>
    </w:p>
    <w:p>
      <w:pPr>
        <w:framePr w:w="9556"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以一次为限。重新清点后，大会主持人应当当场公布重新清点结果。</w:t>
      </w:r>
    </w:p>
    <w:p>
      <w:pPr>
        <w:framePr w:w="9556" w:wrap="around" w:vAnchor="margin" w:hAnchor="text" w:x="1800" w:y="5129"/>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）计票过程应由公证机关予以公证，基金管理人或基金托管人拒不出席大会的，不</w:t>
      </w:r>
    </w:p>
    <w:p>
      <w:pPr>
        <w:framePr w:w="9556"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影响计票的效力。</w:t>
      </w:r>
    </w:p>
    <w:p>
      <w:pPr>
        <w:framePr w:w="1472" w:wrap="around" w:vAnchor="margin" w:hAnchor="text" w:x="2220" w:y="717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、通讯开会</w:t>
      </w:r>
    </w:p>
    <w:p>
      <w:pPr>
        <w:framePr w:w="9560" w:wrap="around" w:vAnchor="margin" w:hAnchor="text" w:x="1800" w:y="75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在通讯开会的情况下，计票方式为：由大会召集人授权的两名监督员在基金托管人授</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权代表（若由基金托管人召集，则为基金管理人授权代表）的监督下进行计票，并由公证机</w:t>
      </w:r>
    </w:p>
    <w:p>
      <w:pPr>
        <w:framePr w:w="9560" w:wrap="around" w:vAnchor="margin" w:hAnchor="text" w:x="1800" w:y="7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关对其计票过程予以公证。基金管理人或基金托管人拒派代表对表决意见的计票进行监督</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的，不影响计票和表决结果。</w:t>
      </w:r>
    </w:p>
    <w:p>
      <w:pPr>
        <w:framePr w:w="1998" w:wrap="around" w:vAnchor="margin" w:hAnchor="text" w:x="2220" w:y="921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（八）生效与公告</w:t>
      </w:r>
    </w:p>
    <w:p>
      <w:pPr>
        <w:framePr w:w="8704" w:wrap="around" w:vAnchor="margin" w:hAnchor="text" w:x="2220" w:y="96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基金份额持有人大会的决议，召集人应当自通过之日起</w:t>
      </w:r>
      <w:r>
        <w:rPr>
          <w:rFonts w:ascii="GGHCMB+å®ä½"/>
          <w:color w:val="222222"/>
          <w:spacing w:val="0"/>
          <w:sz w:val="21"/>
        </w:rPr>
        <w:t>5</w:t>
      </w:r>
      <w:r>
        <w:rPr>
          <w:rFonts w:ascii="SKJVQB+å®ä½" w:hAnsi="SKJVQB+å®ä½" w:cs="SKJVQB+å®ä½"/>
          <w:color w:val="222222"/>
          <w:spacing w:val="0"/>
          <w:sz w:val="21"/>
        </w:rPr>
        <w:t>日内报中国证监会备案。</w:t>
      </w:r>
    </w:p>
    <w:p>
      <w:pPr>
        <w:framePr w:w="8704" w:wrap="around" w:vAnchor="margin" w:hAnchor="text" w:x="222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基金份额持有人大会的决议自表决通过之日起生效。</w:t>
      </w:r>
    </w:p>
    <w:p>
      <w:pPr>
        <w:framePr w:w="9557"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基金份额持有人大会决议自生效之日起 </w:t>
      </w:r>
      <w:r>
        <w:rPr>
          <w:rFonts w:ascii="GGHCMB+å®ä½"/>
          <w:color w:val="222222"/>
          <w:spacing w:val="0"/>
          <w:sz w:val="21"/>
        </w:rPr>
        <w:t>2</w:t>
      </w:r>
      <w:r>
        <w:rPr>
          <w:rFonts w:ascii="SKJVQB+å®ä½" w:hAnsi="SKJVQB+å®ä½" w:cs="SKJVQB+å®ä½"/>
          <w:color w:val="222222"/>
          <w:spacing w:val="0"/>
          <w:sz w:val="21"/>
        </w:rPr>
        <w:t>日内在指定媒介上公告。如果采用通讯方式</w:t>
      </w:r>
    </w:p>
    <w:p>
      <w:pPr>
        <w:framePr w:w="9557" w:wrap="around" w:vAnchor="margin" w:hAnchor="text" w:x="1800" w:y="104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进行表决，在公告基金份额持有人大会决议时，必须将公证书全文、公证机构、公证员姓</w:t>
      </w:r>
    </w:p>
    <w:p>
      <w:pPr>
        <w:framePr w:w="9557"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名等一同公告。</w:t>
      </w:r>
    </w:p>
    <w:p>
      <w:pPr>
        <w:framePr w:w="9553"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基金管理人、基金托管人和基金份额持有人应当执行生效的基金份额持有人大会的决</w:t>
      </w:r>
    </w:p>
    <w:p>
      <w:pPr>
        <w:framePr w:w="9553"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议。生效的基金份额持有人大会决议对全体基金份额持有人、基金管理人、基金托管人均</w:t>
      </w:r>
    </w:p>
    <w:p>
      <w:pPr>
        <w:framePr w:w="9553"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有约束力。</w:t>
      </w:r>
    </w:p>
    <w:p>
      <w:pPr>
        <w:framePr w:w="9559" w:wrap="around" w:vAnchor="margin" w:hAnchor="text" w:x="1800" w:y="1289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（九）本部分关于基金份额持有人大会召开事由、召开条件、议事程序、表决条件等规</w:t>
      </w:r>
    </w:p>
    <w:p>
      <w:pPr>
        <w:framePr w:w="9559"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定，凡是直接引用法律法规或监管规则的部分，如将来法律法规或监管规则修改导致相关</w:t>
      </w:r>
    </w:p>
    <w:p>
      <w:pPr>
        <w:framePr w:w="9559"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内容被取消或变更的，基金管理人提前公告后，可直接对本部分内容进行修改和调整，无</w:t>
      </w:r>
    </w:p>
    <w:p>
      <w:pPr>
        <w:framePr w:w="9559" w:wrap="around" w:vAnchor="margin" w:hAnchor="text" w:x="1800" w:y="1289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需召开基金份额持有人大会审议。</w:t>
      </w:r>
    </w:p>
    <w:p>
      <w:pPr>
        <w:framePr w:w="3627"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三、基金收益分配原则、执行方式</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166</w:t>
      </w:r>
    </w:p>
    <w:p>
      <w:pPr>
        <w:spacing w:before="0" w:after="0" w:line="0" w:lineRule="exact"/>
        <w:ind w:left="0" w:right="0"/>
        <w:jc w:val="left"/>
        <w:rPr>
          <w:rFonts w:ascii="Arial"/>
          <w:color w:val="FF0000"/>
          <w:spacing w:val="0"/>
          <w:sz w:val="2"/>
        </w:rPr>
      </w:pPr>
      <w:r>
        <w:pict>
          <v:shape id="_x0000358" o:spid="_x0000_s138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59" o:spid="_x0000_s1385"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418"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（一）基金利润的构成</w:t>
      </w:r>
    </w:p>
    <w:p>
      <w:pPr>
        <w:framePr w:w="9553" w:wrap="around" w:vAnchor="margin" w:hAnchor="text" w:x="1800" w:y="186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基金利润指基金利息收入、投资收益、公允价值变动收益和其他收入扣除相关费用后</w:t>
      </w:r>
    </w:p>
    <w:p>
      <w:pPr>
        <w:framePr w:w="9553"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的余额，基金已实现收益指基金利润减去公允价值变动收益后的余额。</w:t>
      </w:r>
    </w:p>
    <w:p>
      <w:pPr>
        <w:framePr w:w="9553" w:wrap="around" w:vAnchor="margin" w:hAnchor="text" w:x="1800" w:y="1860"/>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（二）基金可供分配利润</w:t>
      </w:r>
    </w:p>
    <w:p>
      <w:pPr>
        <w:framePr w:w="9553"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基金可供分配利润指截至收益分配基准日基金未分配利润与未分配利润中已实现收益</w:t>
      </w:r>
    </w:p>
    <w:p>
      <w:pPr>
        <w:framePr w:w="9553"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的孰低数。</w:t>
      </w:r>
    </w:p>
    <w:p>
      <w:pPr>
        <w:framePr w:w="2661" w:wrap="around" w:vAnchor="margin" w:hAnchor="text" w:x="2220" w:y="390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（三）基金收益分配原则</w:t>
      </w:r>
    </w:p>
    <w:p>
      <w:pPr>
        <w:framePr w:w="9557"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 xml:space="preserve">、在符合有关基金分红条件的前提下，本基金每年收益分配次数最多为 </w:t>
      </w:r>
      <w:r>
        <w:rPr>
          <w:rFonts w:ascii="GGHCMB+å®ä½"/>
          <w:color w:val="222222"/>
          <w:spacing w:val="0"/>
          <w:sz w:val="21"/>
        </w:rPr>
        <w:t>12</w:t>
      </w:r>
      <w:r>
        <w:rPr>
          <w:rFonts w:ascii="SKJVQB+å®ä½" w:hAnsi="SKJVQB+å®ä½" w:cs="SKJVQB+å®ä½"/>
          <w:color w:val="222222"/>
          <w:spacing w:val="0"/>
          <w:sz w:val="21"/>
        </w:rPr>
        <w:t>次，每份</w:t>
      </w:r>
    </w:p>
    <w:p>
      <w:pPr>
        <w:framePr w:w="9557"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基金份额每次基金收益分配比例不得低于基金收益分配基准日每份基金份额可供分配利润</w:t>
      </w:r>
    </w:p>
    <w:p>
      <w:pPr>
        <w:framePr w:w="9557"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10%</w:t>
      </w:r>
      <w:r>
        <w:rPr>
          <w:rFonts w:ascii="SKJVQB+å®ä½" w:hAnsi="SKJVQB+å®ä½" w:cs="SKJVQB+å®ä½"/>
          <w:color w:val="222222"/>
          <w:spacing w:val="0"/>
          <w:sz w:val="21"/>
        </w:rPr>
        <w:t>，若《基金合同》生效不满</w:t>
      </w:r>
      <w:r>
        <w:rPr>
          <w:rFonts w:ascii="GGHCMB+å®ä½"/>
          <w:color w:val="222222"/>
          <w:spacing w:val="0"/>
          <w:sz w:val="21"/>
        </w:rPr>
        <w:t>3</w:t>
      </w:r>
      <w:r>
        <w:rPr>
          <w:rFonts w:ascii="SKJVQB+å®ä½" w:hAnsi="SKJVQB+å®ä½" w:cs="SKJVQB+å®ä½"/>
          <w:color w:val="222222"/>
          <w:spacing w:val="0"/>
          <w:sz w:val="21"/>
        </w:rPr>
        <w:t>个月可不进行收益分配；</w:t>
      </w:r>
    </w:p>
    <w:p>
      <w:pPr>
        <w:framePr w:w="9557" w:wrap="around" w:vAnchor="margin" w:hAnchor="text" w:x="1800" w:y="4313"/>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、本基金收益分配方式分两种：现金分红与红利再投资，投资人可选择现金红利或将</w:t>
      </w:r>
    </w:p>
    <w:p>
      <w:pPr>
        <w:framePr w:w="9557" w:wrap="around" w:vAnchor="margin" w:hAnchor="text" w:x="1800" w:y="431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现金红利自动转为基金份额进行再投资；若投资人不选择，本基金默认的收益分配方式是</w:t>
      </w:r>
    </w:p>
    <w:p>
      <w:pPr>
        <w:framePr w:w="9557" w:wrap="around" w:vAnchor="margin" w:hAnchor="text" w:x="1800" w:y="431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现金分红；</w:t>
      </w:r>
    </w:p>
    <w:p>
      <w:pPr>
        <w:framePr w:w="9556" w:wrap="around" w:vAnchor="margin" w:hAnchor="text" w:x="1800" w:y="676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、基金收益分配后基金份额净值不能低于面值；即基金收益分配基准日的基金份额净</w:t>
      </w:r>
    </w:p>
    <w:p>
      <w:pPr>
        <w:framePr w:w="9556"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值减去每单位基金份额收益分配金额后不能低于面值；</w:t>
      </w:r>
    </w:p>
    <w:p>
      <w:pPr>
        <w:framePr w:w="9556" w:wrap="around" w:vAnchor="margin" w:hAnchor="text" w:x="1800" w:y="6763"/>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、同一类别每一基金份额享有同等分配权；</w:t>
      </w:r>
    </w:p>
    <w:p>
      <w:pPr>
        <w:framePr w:w="5195"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、法律法规或监管机关另有规定的，从其规定。</w:t>
      </w:r>
    </w:p>
    <w:p>
      <w:pPr>
        <w:framePr w:w="9553"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在对基金份额持有人利益无实质不利影响的前提下，基金管理人、登记机构可对基金</w:t>
      </w:r>
    </w:p>
    <w:p>
      <w:pPr>
        <w:framePr w:w="9553"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收益分配原则进行调整，不需召开基金份额持有人大会。</w:t>
      </w:r>
    </w:p>
    <w:p>
      <w:pPr>
        <w:framePr w:w="9553" w:wrap="around" w:vAnchor="margin" w:hAnchor="text" w:x="1800" w:y="839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（四）收益分配方案</w:t>
      </w:r>
    </w:p>
    <w:p>
      <w:pPr>
        <w:framePr w:w="9798" w:wrap="around" w:vAnchor="margin" w:hAnchor="text" w:x="1800" w:y="962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基金收益分配方案中应载明截止收益分配基准日的可供分配利润、基金收益分配对象、</w:t>
      </w:r>
    </w:p>
    <w:p>
      <w:pPr>
        <w:framePr w:w="9798" w:wrap="around" w:vAnchor="margin" w:hAnchor="text" w:x="180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分配时间、分配数额及比例、分配方式等内容。</w:t>
      </w:r>
    </w:p>
    <w:p>
      <w:pPr>
        <w:framePr w:w="4353"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（五）收益分配方案的确定、公告与实施</w:t>
      </w:r>
    </w:p>
    <w:p>
      <w:pPr>
        <w:framePr w:w="9557" w:wrap="around" w:vAnchor="margin" w:hAnchor="text" w:x="1800" w:y="1084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本基金收益分配方案由基金管理人拟定，并由基金托管人复核，在 </w:t>
      </w:r>
      <w:r>
        <w:rPr>
          <w:rFonts w:ascii="GGHCMB+å®ä½"/>
          <w:color w:val="222222"/>
          <w:spacing w:val="0"/>
          <w:sz w:val="21"/>
        </w:rPr>
        <w:t>2</w:t>
      </w:r>
      <w:r>
        <w:rPr>
          <w:rFonts w:ascii="SKJVQB+å®ä½" w:hAnsi="SKJVQB+å®ä½" w:cs="SKJVQB+å®ä½"/>
          <w:color w:val="222222"/>
          <w:spacing w:val="0"/>
          <w:sz w:val="21"/>
        </w:rPr>
        <w:t>日内在指定媒介</w:t>
      </w:r>
    </w:p>
    <w:p>
      <w:pPr>
        <w:framePr w:w="9557"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公告。</w:t>
      </w:r>
    </w:p>
    <w:p>
      <w:pPr>
        <w:framePr w:w="9553"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基金红利发放日距离收益分配基准日（即可供分配利润计算截止日）的时间不得超过</w:t>
      </w:r>
    </w:p>
    <w:p>
      <w:pPr>
        <w:framePr w:w="9553"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个工作日。</w:t>
      </w:r>
    </w:p>
    <w:p>
      <w:pPr>
        <w:framePr w:w="3627" w:wrap="around" w:vAnchor="margin" w:hAnchor="text" w:x="2220" w:y="1248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（六）基金收益分配中发生的费用</w:t>
      </w:r>
    </w:p>
    <w:p>
      <w:pPr>
        <w:framePr w:w="9553" w:wrap="around" w:vAnchor="margin" w:hAnchor="text" w:x="1800" w:y="1289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基金收益分配时所发生的银行转账或其他手续费用由投资人自行承担。当投资人的现</w:t>
      </w:r>
    </w:p>
    <w:p>
      <w:pPr>
        <w:framePr w:w="9553"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金红利小于一定金额，不足以支付银行转账或其他手续费用时，基金登记机构可将基金份</w:t>
      </w:r>
    </w:p>
    <w:p>
      <w:pPr>
        <w:framePr w:w="9553"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额持有人的现金红利自动转为基金份额。红利再投资的计算方法，依照登记机构相关业务</w:t>
      </w:r>
    </w:p>
    <w:p>
      <w:pPr>
        <w:framePr w:w="9553" w:wrap="around" w:vAnchor="margin" w:hAnchor="text" w:x="1800" w:y="1289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规则执行。</w:t>
      </w:r>
    </w:p>
    <w:p>
      <w:pPr>
        <w:framePr w:w="2209"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四、基金费用与税收</w:t>
      </w:r>
    </w:p>
    <w:p>
      <w:pPr>
        <w:framePr w:w="543"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167</w:t>
      </w:r>
    </w:p>
    <w:p>
      <w:pPr>
        <w:spacing w:before="0" w:after="0" w:line="0" w:lineRule="exact"/>
        <w:ind w:left="0" w:right="0"/>
        <w:jc w:val="left"/>
        <w:rPr>
          <w:rFonts w:ascii="Arial"/>
          <w:color w:val="FF0000"/>
          <w:spacing w:val="0"/>
          <w:sz w:val="2"/>
        </w:rPr>
      </w:pPr>
      <w:r>
        <w:pict>
          <v:shape id="_x0000360" o:spid="_x0000_s138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61" o:spid="_x0000_s1387"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780"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（一）基金费用的种类</w:t>
      </w:r>
    </w:p>
    <w:p>
      <w:pPr>
        <w:framePr w:w="2780" w:wrap="around" w:vAnchor="margin" w:hAnchor="text" w:x="222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、基金管理人的管理费；</w:t>
      </w:r>
    </w:p>
    <w:p>
      <w:pPr>
        <w:framePr w:w="2780" w:wrap="around" w:vAnchor="margin" w:hAnchor="text" w:x="222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、基金托管人的托管费；</w:t>
      </w:r>
    </w:p>
    <w:p>
      <w:pPr>
        <w:framePr w:w="8096" w:wrap="around" w:vAnchor="margin" w:hAnchor="text" w:x="222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w:t>
      </w:r>
      <w:r>
        <w:rPr>
          <w:rFonts w:ascii="GGHCMB+å®ä½"/>
          <w:color w:val="222222"/>
          <w:spacing w:val="0"/>
          <w:sz w:val="21"/>
        </w:rPr>
        <w:t>C</w:t>
      </w:r>
      <w:r>
        <w:rPr>
          <w:rFonts w:ascii="SKJVQB+å®ä½" w:hAnsi="SKJVQB+å®ä½" w:cs="SKJVQB+å®ä½"/>
          <w:color w:val="222222"/>
          <w:spacing w:val="0"/>
          <w:sz w:val="21"/>
        </w:rPr>
        <w:t>类基金份额的基金财产中计提的销售服务费；</w:t>
      </w:r>
    </w:p>
    <w:p>
      <w:pPr>
        <w:framePr w:w="8096" w:wrap="around" w:vAnchor="margin" w:hAnchor="text" w:x="222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、《基金合同》生效后与基金相关的信息披露费用；</w:t>
      </w:r>
    </w:p>
    <w:p>
      <w:pPr>
        <w:framePr w:w="8096" w:wrap="around" w:vAnchor="margin" w:hAnchor="text" w:x="222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、《基金合同》生效后与基金相关的会计师费、律师费、诉讼费和仲裁费；</w:t>
      </w:r>
    </w:p>
    <w:p>
      <w:pPr>
        <w:framePr w:w="8096" w:wrap="around" w:vAnchor="margin" w:hAnchor="text" w:x="222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、基金份额持有人大会费用；</w:t>
      </w:r>
    </w:p>
    <w:p>
      <w:pPr>
        <w:framePr w:w="3506" w:wrap="around" w:vAnchor="margin" w:hAnchor="text" w:x="2220" w:y="43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、基金的证券、期货交易费用；</w:t>
      </w:r>
    </w:p>
    <w:p>
      <w:pPr>
        <w:framePr w:w="2780" w:wrap="around" w:vAnchor="margin" w:hAnchor="text" w:x="2220" w:y="47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、基金的银行汇划费用；</w:t>
      </w:r>
    </w:p>
    <w:p>
      <w:pPr>
        <w:framePr w:w="3989"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、基金相关账户的开户及维护费用；</w:t>
      </w:r>
    </w:p>
    <w:p>
      <w:pPr>
        <w:framePr w:w="8704" w:wrap="around" w:vAnchor="margin" w:hAnchor="text" w:x="2220" w:y="553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、按照国家有关规定和《基金合同》约定，可以在基金财产中列支的其他费用。</w:t>
      </w:r>
    </w:p>
    <w:p>
      <w:pPr>
        <w:framePr w:w="8704" w:wrap="around" w:vAnchor="margin" w:hAnchor="text" w:x="222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（二）基金费用计提方法、计提标准和支付方式</w:t>
      </w:r>
    </w:p>
    <w:p>
      <w:pPr>
        <w:framePr w:w="8704" w:wrap="around" w:vAnchor="margin" w:hAnchor="text" w:x="2220" w:y="553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、基金管理人的管理费</w:t>
      </w:r>
    </w:p>
    <w:p>
      <w:pPr>
        <w:framePr w:w="9002" w:wrap="around" w:vAnchor="margin" w:hAnchor="text" w:x="2220" w:y="676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本基金的管理费按前一日基金资产净值的</w:t>
      </w:r>
      <w:r>
        <w:rPr>
          <w:rFonts w:ascii="GGHCMB+å®ä½"/>
          <w:color w:val="222222"/>
          <w:spacing w:val="0"/>
          <w:sz w:val="21"/>
        </w:rPr>
        <w:t>0.3%</w:t>
      </w:r>
      <w:r>
        <w:rPr>
          <w:rFonts w:ascii="SKJVQB+å®ä½" w:hAnsi="SKJVQB+å®ä½" w:cs="SKJVQB+å®ä½"/>
          <w:color w:val="222222"/>
          <w:spacing w:val="0"/>
          <w:sz w:val="21"/>
        </w:rPr>
        <w:t>年费率计提。管理费的计算方法如下：</w:t>
      </w:r>
    </w:p>
    <w:p>
      <w:pPr>
        <w:framePr w:w="9002" w:wrap="around" w:vAnchor="margin" w:hAnchor="text" w:x="222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w:t>
      </w:r>
      <w:r>
        <w:rPr>
          <w:rFonts w:ascii="GGHCMB+å®ä½"/>
          <w:color w:val="222222"/>
          <w:spacing w:val="0"/>
          <w:sz w:val="21"/>
        </w:rPr>
        <w:t>0.3%</w:t>
      </w:r>
      <w:r>
        <w:rPr>
          <w:rFonts w:ascii="SKJVQB+å®ä½" w:hAnsi="SKJVQB+å®ä½" w:cs="SKJVQB+å®ä½"/>
          <w:color w:val="222222"/>
          <w:spacing w:val="0"/>
          <w:sz w:val="21"/>
        </w:rPr>
        <w:t>÷当年天数</w:t>
      </w:r>
    </w:p>
    <w:p>
      <w:pPr>
        <w:framePr w:w="3083"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为每日应计提的基金管理费</w:t>
      </w:r>
    </w:p>
    <w:p>
      <w:pPr>
        <w:framePr w:w="2840"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为前一日的基金资产净值</w:t>
      </w:r>
    </w:p>
    <w:p>
      <w:pPr>
        <w:framePr w:w="9557"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framePr w:w="9557"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金财产中一次性支付给基金管理人。若遇法定节假日、公休日等，支付日期顺延。</w:t>
      </w:r>
    </w:p>
    <w:p>
      <w:pPr>
        <w:framePr w:w="9557" w:wrap="around" w:vAnchor="margin" w:hAnchor="text" w:x="1800" w:y="839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、基金托管人的托管费</w:t>
      </w:r>
    </w:p>
    <w:p>
      <w:pPr>
        <w:framePr w:w="9551" w:wrap="around" w:vAnchor="margin" w:hAnchor="text" w:x="1800" w:y="962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本基金的托管费按前一日基金资产净值的  </w:t>
      </w:r>
      <w:r>
        <w:rPr>
          <w:rFonts w:ascii="GGHCMB+å®ä½"/>
          <w:color w:val="222222"/>
          <w:spacing w:val="0"/>
          <w:sz w:val="21"/>
        </w:rPr>
        <w:t>0.1%</w:t>
      </w:r>
      <w:r>
        <w:rPr>
          <w:rFonts w:ascii="SKJVQB+å®ä½" w:hAnsi="SKJVQB+å®ä½" w:cs="SKJVQB+å®ä½"/>
          <w:color w:val="222222"/>
          <w:spacing w:val="0"/>
          <w:sz w:val="21"/>
        </w:rPr>
        <w:t>的年费率计提。托管费的计算方法如</w:t>
      </w:r>
    </w:p>
    <w:p>
      <w:pPr>
        <w:framePr w:w="9551" w:wrap="around" w:vAnchor="margin" w:hAnchor="text" w:x="180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下：</w:t>
      </w:r>
    </w:p>
    <w:p>
      <w:pPr>
        <w:framePr w:w="2423"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w:t>
      </w:r>
      <w:r>
        <w:rPr>
          <w:rFonts w:ascii="GGHCMB+å®ä½"/>
          <w:color w:val="222222"/>
          <w:spacing w:val="0"/>
          <w:sz w:val="21"/>
        </w:rPr>
        <w:t>0.1%</w:t>
      </w:r>
      <w:r>
        <w:rPr>
          <w:rFonts w:ascii="SKJVQB+å®ä½" w:hAnsi="SKJVQB+å®ä½" w:cs="SKJVQB+å®ä½"/>
          <w:color w:val="222222"/>
          <w:spacing w:val="0"/>
          <w:sz w:val="21"/>
        </w:rPr>
        <w:t>÷当年天数</w:t>
      </w:r>
    </w:p>
    <w:p>
      <w:pPr>
        <w:framePr w:w="3083"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为每日应计提的基金托管费</w:t>
      </w:r>
    </w:p>
    <w:p>
      <w:pPr>
        <w:framePr w:w="2840" w:wrap="around" w:vAnchor="margin" w:hAnchor="text" w:x="2220" w:y="112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为前一日的基金资产净值</w:t>
      </w:r>
    </w:p>
    <w:p>
      <w:pPr>
        <w:framePr w:w="9557"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基金托管费每日计算，逐日累计至每月月末，按月支付，于次月前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framePr w:w="9557"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金财产中一次性支取。若遇法定节假日、公休日等，支付日期顺延。</w:t>
      </w:r>
    </w:p>
    <w:p>
      <w:pPr>
        <w:framePr w:w="9557" w:wrap="around" w:vAnchor="margin" w:hAnchor="text" w:x="1800" w:y="1166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w:t>
      </w:r>
      <w:r>
        <w:rPr>
          <w:rFonts w:ascii="GGHCMB+å®ä½"/>
          <w:color w:val="222222"/>
          <w:spacing w:val="0"/>
          <w:sz w:val="21"/>
        </w:rPr>
        <w:t>C</w:t>
      </w:r>
      <w:r>
        <w:rPr>
          <w:rFonts w:ascii="SKJVQB+å®ä½" w:hAnsi="SKJVQB+å®ä½" w:cs="SKJVQB+å®ä½"/>
          <w:color w:val="222222"/>
          <w:spacing w:val="0"/>
          <w:sz w:val="21"/>
        </w:rPr>
        <w:t>类基金份额的基金财产中计提的销售服务费</w:t>
      </w:r>
    </w:p>
    <w:p>
      <w:pPr>
        <w:framePr w:w="9557" w:wrap="around" w:vAnchor="margin" w:hAnchor="text" w:x="1800" w:y="1166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w:t>
      </w:r>
      <w:r>
        <w:rPr>
          <w:rFonts w:ascii="GGHCMB+å®ä½"/>
          <w:color w:val="222222"/>
          <w:spacing w:val="0"/>
          <w:sz w:val="21"/>
        </w:rPr>
        <w:t>A</w:t>
      </w:r>
      <w:r>
        <w:rPr>
          <w:rFonts w:ascii="SKJVQB+å®ä½" w:hAnsi="SKJVQB+å®ä½" w:cs="SKJVQB+å®ä½"/>
          <w:color w:val="222222"/>
          <w:spacing w:val="0"/>
          <w:sz w:val="21"/>
        </w:rPr>
        <w:t>类基金份额不收取销售服务费，</w:t>
      </w:r>
      <w:r>
        <w:rPr>
          <w:rFonts w:ascii="GGHCMB+å®ä½"/>
          <w:color w:val="222222"/>
          <w:spacing w:val="0"/>
          <w:sz w:val="21"/>
        </w:rPr>
        <w:t>C</w:t>
      </w:r>
      <w:r>
        <w:rPr>
          <w:rFonts w:ascii="SKJVQB+å®ä½" w:hAnsi="SKJVQB+å®ä½" w:cs="SKJVQB+å®ä½"/>
          <w:color w:val="222222"/>
          <w:spacing w:val="0"/>
          <w:sz w:val="21"/>
        </w:rPr>
        <w:t>类基金份额的销售服务费年费率为</w:t>
      </w:r>
      <w:r>
        <w:rPr>
          <w:rFonts w:ascii="GGHCMB+å®ä½"/>
          <w:color w:val="222222"/>
          <w:spacing w:val="0"/>
          <w:sz w:val="21"/>
        </w:rPr>
        <w:t>0.4%</w:t>
      </w:r>
      <w:r>
        <w:rPr>
          <w:rFonts w:ascii="SKJVQB+å®ä½" w:hAnsi="SKJVQB+å®ä½" w:cs="SKJVQB+å®ä½"/>
          <w:color w:val="222222"/>
          <w:spacing w:val="0"/>
          <w:sz w:val="21"/>
        </w:rPr>
        <w:t>。本</w:t>
      </w:r>
    </w:p>
    <w:p>
      <w:pPr>
        <w:framePr w:w="9557"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基金销售服务费按前一日</w:t>
      </w:r>
      <w:r>
        <w:rPr>
          <w:rFonts w:ascii="GGHCMB+å®ä½"/>
          <w:color w:val="222222"/>
          <w:spacing w:val="0"/>
          <w:sz w:val="21"/>
        </w:rPr>
        <w:t>C</w:t>
      </w:r>
      <w:r>
        <w:rPr>
          <w:rFonts w:ascii="SKJVQB+å®ä½" w:hAnsi="SKJVQB+å®ä½" w:cs="SKJVQB+å®ä½"/>
          <w:color w:val="222222"/>
          <w:spacing w:val="0"/>
          <w:sz w:val="21"/>
        </w:rPr>
        <w:t>类基金份额资产净值的</w:t>
      </w:r>
      <w:r>
        <w:rPr>
          <w:rFonts w:ascii="GGHCMB+å®ä½"/>
          <w:color w:val="222222"/>
          <w:spacing w:val="0"/>
          <w:sz w:val="21"/>
        </w:rPr>
        <w:t>0.4%</w:t>
      </w:r>
      <w:r>
        <w:rPr>
          <w:rFonts w:ascii="SKJVQB+å®ä½" w:hAnsi="SKJVQB+å®ä½" w:cs="SKJVQB+å®ä½"/>
          <w:color w:val="222222"/>
          <w:spacing w:val="0"/>
          <w:sz w:val="21"/>
        </w:rPr>
        <w:t>年费率计提。计算方法如下：</w:t>
      </w:r>
    </w:p>
    <w:p>
      <w:pPr>
        <w:framePr w:w="9557" w:wrap="around" w:vAnchor="margin" w:hAnchor="text" w:x="1800" w:y="1166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w:t>
      </w:r>
      <w:r>
        <w:rPr>
          <w:rFonts w:ascii="GGHCMB+å®ä½"/>
          <w:color w:val="222222"/>
          <w:spacing w:val="0"/>
          <w:sz w:val="21"/>
        </w:rPr>
        <w:t>E</w:t>
      </w:r>
      <w:r>
        <w:rPr>
          <w:rFonts w:ascii="SKJVQB+å®ä½" w:hAnsi="SKJVQB+å®ä½" w:cs="SKJVQB+å®ä½"/>
          <w:color w:val="222222"/>
          <w:spacing w:val="0"/>
          <w:sz w:val="21"/>
        </w:rPr>
        <w:t>×售服务费年费率÷当年天数</w:t>
      </w:r>
    </w:p>
    <w:p>
      <w:pPr>
        <w:framePr w:w="5016" w:wrap="around" w:vAnchor="margin" w:hAnchor="text" w:x="2220" w:y="1411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H</w:t>
      </w:r>
      <w:r>
        <w:rPr>
          <w:rFonts w:ascii="SKJVQB+å®ä½" w:hAnsi="SKJVQB+å®ä½" w:cs="SKJVQB+å®ä½"/>
          <w:color w:val="222222"/>
          <w:spacing w:val="0"/>
          <w:sz w:val="21"/>
        </w:rPr>
        <w:t>为</w:t>
      </w:r>
      <w:r>
        <w:rPr>
          <w:rFonts w:ascii="GGHCMB+å®ä½"/>
          <w:color w:val="222222"/>
          <w:spacing w:val="0"/>
          <w:sz w:val="21"/>
        </w:rPr>
        <w:t>C</w:t>
      </w:r>
      <w:r>
        <w:rPr>
          <w:rFonts w:ascii="SKJVQB+å®ä½" w:hAnsi="SKJVQB+å®ä½" w:cs="SKJVQB+å®ä½"/>
          <w:color w:val="222222"/>
          <w:spacing w:val="0"/>
          <w:sz w:val="21"/>
        </w:rPr>
        <w:t>类基金份额每日应计提的基金销售服务费</w:t>
      </w:r>
    </w:p>
    <w:p>
      <w:pPr>
        <w:framePr w:w="5016" w:wrap="around" w:vAnchor="margin" w:hAnchor="text" w:x="222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E</w:t>
      </w:r>
      <w:r>
        <w:rPr>
          <w:rFonts w:ascii="SKJVQB+å®ä½" w:hAnsi="SKJVQB+å®ä½" w:cs="SKJVQB+å®ä½"/>
          <w:color w:val="222222"/>
          <w:spacing w:val="0"/>
          <w:sz w:val="21"/>
        </w:rPr>
        <w:t>为</w:t>
      </w:r>
      <w:r>
        <w:rPr>
          <w:rFonts w:ascii="GGHCMB+å®ä½"/>
          <w:color w:val="222222"/>
          <w:spacing w:val="0"/>
          <w:sz w:val="21"/>
        </w:rPr>
        <w:t>C</w:t>
      </w:r>
      <w:r>
        <w:rPr>
          <w:rFonts w:ascii="SKJVQB+å®ä½" w:hAnsi="SKJVQB+å®ä½" w:cs="SKJVQB+å®ä½"/>
          <w:color w:val="222222"/>
          <w:spacing w:val="0"/>
          <w:sz w:val="21"/>
        </w:rPr>
        <w:t>类基金份额前一日基金资产净值</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168</w:t>
      </w:r>
    </w:p>
    <w:p>
      <w:pPr>
        <w:spacing w:before="0" w:after="0" w:line="0" w:lineRule="exact"/>
        <w:ind w:left="0" w:right="0"/>
        <w:jc w:val="left"/>
        <w:rPr>
          <w:rFonts w:ascii="Arial"/>
          <w:color w:val="FF0000"/>
          <w:spacing w:val="0"/>
          <w:sz w:val="2"/>
        </w:rPr>
      </w:pPr>
      <w:r>
        <w:pict>
          <v:shape id="_x0000362" o:spid="_x0000_s138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63" o:spid="_x0000_s1389"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7"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销售服务费每日计算，逐日累计至每月月末，按月支付，于次月前 </w:t>
      </w:r>
      <w:r>
        <w:rPr>
          <w:rFonts w:ascii="GGHCMB+å®ä½"/>
          <w:color w:val="222222"/>
          <w:spacing w:val="0"/>
          <w:sz w:val="21"/>
        </w:rPr>
        <w:t>5</w:t>
      </w:r>
      <w:r>
        <w:rPr>
          <w:rFonts w:ascii="SKJVQB+å®ä½" w:hAnsi="SKJVQB+å®ä½" w:cs="SKJVQB+å®ä½"/>
          <w:color w:val="222222"/>
          <w:spacing w:val="0"/>
          <w:sz w:val="21"/>
        </w:rPr>
        <w:t>个工作日内从基</w:t>
      </w:r>
    </w:p>
    <w:p>
      <w:pPr>
        <w:framePr w:w="9557"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金财产中一次性支付给基金管理人并由基金管理人代付给各基金销售机构。若遇法定节假</w:t>
      </w:r>
    </w:p>
    <w:p>
      <w:pPr>
        <w:framePr w:w="9557"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日、休息日，支付日期顺延。</w:t>
      </w:r>
    </w:p>
    <w:p>
      <w:pPr>
        <w:framePr w:w="9557"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上述“一、基金费用的种类中第 </w:t>
      </w:r>
      <w:r>
        <w:rPr>
          <w:rFonts w:ascii="GGHCMB+å®ä½"/>
          <w:color w:val="222222"/>
          <w:spacing w:val="0"/>
          <w:sz w:val="21"/>
        </w:rPr>
        <w:t>4</w:t>
      </w: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项费用”，根据有关法规及相应协议规定，按</w:t>
      </w:r>
    </w:p>
    <w:p>
      <w:pPr>
        <w:framePr w:w="9557"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费用实际支出金额列入当期费用，由基金托管人从基金财产中支付。</w:t>
      </w:r>
    </w:p>
    <w:p>
      <w:pPr>
        <w:framePr w:w="3870" w:wrap="around" w:vAnchor="margin" w:hAnchor="text" w:x="2220" w:y="390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五、基金财产的投资范围和投资限制</w:t>
      </w:r>
    </w:p>
    <w:p>
      <w:pPr>
        <w:framePr w:w="1789" w:wrap="around" w:vAnchor="margin" w:hAnchor="text" w:x="2220" w:y="431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（一）投资方向</w:t>
      </w:r>
    </w:p>
    <w:p>
      <w:pPr>
        <w:framePr w:w="9798"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本基金主要投资于国内依法发行和上市交易的国债、央行票据、金融债券、企业债券、</w:t>
      </w:r>
    </w:p>
    <w:p>
      <w:pPr>
        <w:framePr w:w="9798"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公司债券、中期票据、短期融资券、超短期融资券、次级债券、政府机构债券、地方政府</w:t>
      </w:r>
    </w:p>
    <w:p>
      <w:pPr>
        <w:framePr w:w="9798"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债券、资产支持证券、信贷资产支持证券、可交换债券、减记债券、中小企业私募债券、</w:t>
      </w:r>
    </w:p>
    <w:p>
      <w:pPr>
        <w:framePr w:w="9798"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可转换债券（含分离交易可转债）、债券回购、银行存款（包括协议存款、定期存款及其他</w:t>
      </w:r>
    </w:p>
    <w:p>
      <w:pPr>
        <w:framePr w:w="9798" w:wrap="around" w:vAnchor="margin" w:hAnchor="text" w:x="1800" w:y="472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银行存款）、货币市场工具、国债期货以及经中国证监会允许基金投资的其他金融工具，但</w:t>
      </w:r>
    </w:p>
    <w:p>
      <w:pPr>
        <w:framePr w:w="9798"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需符合中国证监会的相关规定。</w:t>
      </w:r>
    </w:p>
    <w:p>
      <w:pPr>
        <w:framePr w:w="9560"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。其中，投资于信用债券和可转</w:t>
      </w:r>
    </w:p>
    <w:p>
      <w:pPr>
        <w:framePr w:w="9560"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换债券的比例合计不低于债券资产的 </w:t>
      </w:r>
      <w:r>
        <w:rPr>
          <w:rFonts w:ascii="GGHCMB+å®ä½"/>
          <w:color w:val="222222"/>
          <w:spacing w:val="0"/>
          <w:sz w:val="21"/>
        </w:rPr>
        <w:t>80%</w:t>
      </w:r>
      <w:r>
        <w:rPr>
          <w:rFonts w:ascii="SKJVQB+å®ä½" w:hAnsi="SKJVQB+å®ä½" w:cs="SKJVQB+å®ä½"/>
          <w:color w:val="222222"/>
          <w:spacing w:val="0"/>
          <w:sz w:val="21"/>
        </w:rPr>
        <w:t>。每个交易日日终在扣除期货合约需缴纳的交易</w:t>
      </w:r>
    </w:p>
    <w:p>
      <w:pPr>
        <w:framePr w:w="9560"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保证金后，现金或到期日在一年以内的政府债券的投资比例不低于基金资产净值的</w:t>
      </w:r>
      <w:r>
        <w:rPr>
          <w:rFonts w:ascii="GGHCMB+å®ä½"/>
          <w:color w:val="222222"/>
          <w:spacing w:val="0"/>
          <w:sz w:val="21"/>
        </w:rPr>
        <w:t>5</w:t>
      </w:r>
      <w:r>
        <w:rPr>
          <w:rFonts w:ascii="SKJVQB+å®ä½" w:hAnsi="SKJVQB+å®ä½" w:cs="SKJVQB+å®ä½"/>
          <w:color w:val="222222"/>
          <w:spacing w:val="0"/>
          <w:sz w:val="21"/>
        </w:rPr>
        <w:t>％。</w:t>
      </w:r>
    </w:p>
    <w:p>
      <w:pPr>
        <w:framePr w:w="9560" w:wrap="around" w:vAnchor="margin" w:hAnchor="text" w:x="1800" w:y="7171"/>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本基金不直接投资股票、权证等权益类资产，但可持有因可转换债券转股所形成的股</w:t>
      </w:r>
    </w:p>
    <w:p>
      <w:pPr>
        <w:framePr w:w="9560"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票、因可交换债券换股所形成的股票、因所持股票所派发的权证以及因投资可分离债券而</w:t>
      </w:r>
    </w:p>
    <w:p>
      <w:pPr>
        <w:framePr w:w="9560"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产生的权证等。因上述原因持有的股票和权证等资产，本基金将在其可交易之日起 </w:t>
      </w:r>
      <w:r>
        <w:rPr>
          <w:rFonts w:ascii="GGHCMB+å®ä½"/>
          <w:color w:val="222222"/>
          <w:spacing w:val="0"/>
          <w:sz w:val="21"/>
        </w:rPr>
        <w:t>10</w:t>
      </w:r>
      <w:r>
        <w:rPr>
          <w:rFonts w:ascii="SKJVQB+å®ä½" w:hAnsi="SKJVQB+å®ä½" w:cs="SKJVQB+å®ä½"/>
          <w:color w:val="222222"/>
          <w:spacing w:val="0"/>
          <w:sz w:val="21"/>
        </w:rPr>
        <w:t>个交</w:t>
      </w:r>
    </w:p>
    <w:p>
      <w:pPr>
        <w:framePr w:w="9560"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易日内卖出。</w:t>
      </w:r>
    </w:p>
    <w:p>
      <w:pPr>
        <w:framePr w:w="9799"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本基金所指信用债包括但不限于金融债券、企业债券、公司债券、中期票据、短期融</w:t>
      </w:r>
    </w:p>
    <w:p>
      <w:pPr>
        <w:framePr w:w="9799"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资券、超短期融资券、次级债券、政府机构债券、地方政府债券、资产支持证券、信贷资</w:t>
      </w:r>
    </w:p>
    <w:p>
      <w:pPr>
        <w:framePr w:w="9799" w:wrap="around" w:vAnchor="margin" w:hAnchor="text" w:x="1800" w:y="1003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产支持证券、可交换债券、减记债券、中小企业私募债券、可转换债券（含分离交易可转债）</w:t>
      </w:r>
    </w:p>
    <w:p>
      <w:pPr>
        <w:framePr w:w="9799"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以及法律法规或中国证监会允许基金投资的其他信用债。</w:t>
      </w:r>
    </w:p>
    <w:p>
      <w:pPr>
        <w:framePr w:w="9553"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如法律法规或监管机构以后允许基金投资其他品种，基金管理人在履行适当程序后，</w:t>
      </w:r>
    </w:p>
    <w:p>
      <w:pPr>
        <w:framePr w:w="9553"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可以将其纳入投资范围。</w:t>
      </w:r>
    </w:p>
    <w:p>
      <w:pPr>
        <w:framePr w:w="1789" w:wrap="around" w:vAnchor="margin" w:hAnchor="text" w:x="2220" w:y="1248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（二）投资限制</w:t>
      </w:r>
    </w:p>
    <w:p>
      <w:pPr>
        <w:framePr w:w="1578" w:wrap="around" w:vAnchor="margin" w:hAnchor="text" w:x="2220" w:y="1289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一）组合限制</w:t>
      </w:r>
    </w:p>
    <w:p>
      <w:pPr>
        <w:framePr w:w="3627" w:wrap="around" w:vAnchor="margin" w:hAnchor="text" w:x="2220" w:y="1330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基金的投资组合应遵循以下限制：</w:t>
      </w:r>
    </w:p>
    <w:p>
      <w:pPr>
        <w:framePr w:w="9557"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w:t>
      </w:r>
    </w:p>
    <w:p>
      <w:pPr>
        <w:framePr w:w="9557" w:wrap="around" w:vAnchor="margin" w:hAnchor="text" w:x="180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可转换债券的比例合计不低于债券资产的 </w:t>
      </w:r>
      <w:r>
        <w:rPr>
          <w:rFonts w:ascii="GGHCMB+å®ä½"/>
          <w:color w:val="222222"/>
          <w:spacing w:val="0"/>
          <w:sz w:val="21"/>
        </w:rPr>
        <w:t>80%</w:t>
      </w:r>
      <w:r>
        <w:rPr>
          <w:rFonts w:ascii="SKJVQB+å®ä½" w:hAnsi="SKJVQB+å®ä½" w:cs="SKJVQB+å®ä½"/>
          <w:color w:val="222222"/>
          <w:spacing w:val="0"/>
          <w:sz w:val="21"/>
        </w:rPr>
        <w:t>。本基金不直接投资股票、权证等权益类资</w:t>
      </w:r>
    </w:p>
    <w:p>
      <w:pPr>
        <w:framePr w:w="9557" w:wrap="around" w:vAnchor="margin" w:hAnchor="text" w:x="1800" w:y="137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产，但可持有因可转换债券转股所形成的股票、因可交换债券换股所形成的股票、因所持</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169</w:t>
      </w:r>
    </w:p>
    <w:p>
      <w:pPr>
        <w:spacing w:before="0" w:after="0" w:line="0" w:lineRule="exact"/>
        <w:ind w:left="0" w:right="0"/>
        <w:jc w:val="left"/>
        <w:rPr>
          <w:rFonts w:ascii="Arial"/>
          <w:color w:val="FF0000"/>
          <w:spacing w:val="0"/>
          <w:sz w:val="2"/>
        </w:rPr>
      </w:pPr>
      <w:r>
        <w:pict>
          <v:shape id="_x0000364" o:spid="_x0000_s139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65" o:spid="_x0000_s1391"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48"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股票所派发的权证以及因投资可分离债券而产生的权证等。因上述原因持有的股票和权证</w:t>
      </w:r>
    </w:p>
    <w:p>
      <w:pPr>
        <w:framePr w:w="954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等资产，本基金将在其可交易之日起</w:t>
      </w:r>
      <w:r>
        <w:rPr>
          <w:rFonts w:ascii="GGHCMB+å®ä½"/>
          <w:color w:val="222222"/>
          <w:spacing w:val="0"/>
          <w:sz w:val="21"/>
        </w:rPr>
        <w:t>10</w:t>
      </w:r>
      <w:r>
        <w:rPr>
          <w:rFonts w:ascii="SKJVQB+å®ä½" w:hAnsi="SKJVQB+å®ä½" w:cs="SKJVQB+å®ä½"/>
          <w:color w:val="222222"/>
          <w:spacing w:val="0"/>
          <w:sz w:val="21"/>
        </w:rPr>
        <w:t>个交易日内卖出；</w:t>
      </w:r>
    </w:p>
    <w:p>
      <w:pPr>
        <w:framePr w:w="9556"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）每个交易日日终在扣除期货合约需缴纳的交易保证金后，现金或到期日在一年以</w:t>
      </w:r>
    </w:p>
    <w:p>
      <w:pPr>
        <w:framePr w:w="9556"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内的政府债券的投资比例不低于基金资产净值的  </w:t>
      </w:r>
      <w:r>
        <w:rPr>
          <w:rFonts w:ascii="GGHCMB+å®ä½"/>
          <w:color w:val="222222"/>
          <w:spacing w:val="0"/>
          <w:sz w:val="21"/>
        </w:rPr>
        <w:t>5</w:t>
      </w:r>
      <w:r>
        <w:rPr>
          <w:rFonts w:ascii="SKJVQB+å®ä½" w:hAnsi="SKJVQB+å®ä½" w:cs="SKJVQB+å®ä½"/>
          <w:color w:val="222222"/>
          <w:spacing w:val="0"/>
          <w:sz w:val="21"/>
        </w:rPr>
        <w:t>％，其中现金不包括结算备付金、存出</w:t>
      </w:r>
    </w:p>
    <w:p>
      <w:pPr>
        <w:framePr w:w="9556"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保证金、应收申购款等；</w:t>
      </w:r>
    </w:p>
    <w:p>
      <w:pPr>
        <w:framePr w:w="9560"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）本基金持有一家公司发行的证券，其市值不超过基金资产净值的</w:t>
      </w:r>
      <w:r>
        <w:rPr>
          <w:rFonts w:ascii="GGHCMB+å®ä½"/>
          <w:color w:val="222222"/>
          <w:spacing w:val="0"/>
          <w:sz w:val="21"/>
        </w:rPr>
        <w:t>10%</w:t>
      </w:r>
      <w:r>
        <w:rPr>
          <w:rFonts w:ascii="SKJVQB+å®ä½" w:hAnsi="SKJVQB+å®ä½" w:cs="SKJVQB+å®ä½"/>
          <w:color w:val="222222"/>
          <w:spacing w:val="0"/>
          <w:sz w:val="21"/>
        </w:rPr>
        <w:t>；</w:t>
      </w:r>
    </w:p>
    <w:p>
      <w:pPr>
        <w:framePr w:w="9560" w:wrap="around" w:vAnchor="margin" w:hAnchor="text" w:x="1800" w:y="349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）本基金管理人管理的全部基金持有一家公司发行的证券，不超过该证券的</w:t>
      </w:r>
      <w:r>
        <w:rPr>
          <w:rFonts w:ascii="GGHCMB+å®ä½"/>
          <w:color w:val="222222"/>
          <w:spacing w:val="0"/>
          <w:sz w:val="21"/>
        </w:rPr>
        <w:t>10</w:t>
      </w:r>
      <w:r>
        <w:rPr>
          <w:rFonts w:ascii="SKJVQB+å®ä½" w:hAnsi="SKJVQB+å®ä½" w:cs="SKJVQB+å®ä½"/>
          <w:color w:val="222222"/>
          <w:spacing w:val="0"/>
          <w:sz w:val="21"/>
        </w:rPr>
        <w:t>％；</w:t>
      </w:r>
    </w:p>
    <w:p>
      <w:pPr>
        <w:framePr w:w="9560" w:wrap="around" w:vAnchor="margin" w:hAnchor="text" w:x="1800" w:y="3494"/>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）本基金投资于同一原始权益人的各类资产支持证券的比例，不得超过基金资产净</w:t>
      </w:r>
    </w:p>
    <w:p>
      <w:pPr>
        <w:framePr w:w="9560" w:wrap="around" w:vAnchor="margin" w:hAnchor="text" w:x="1800" w:y="349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值的</w:t>
      </w:r>
      <w:r>
        <w:rPr>
          <w:rFonts w:ascii="GGHCMB+å®ä½"/>
          <w:color w:val="222222"/>
          <w:spacing w:val="0"/>
          <w:sz w:val="21"/>
        </w:rPr>
        <w:t>10</w:t>
      </w:r>
      <w:r>
        <w:rPr>
          <w:rFonts w:ascii="SKJVQB+å®ä½" w:hAnsi="SKJVQB+å®ä½" w:cs="SKJVQB+å®ä½"/>
          <w:color w:val="222222"/>
          <w:spacing w:val="0"/>
          <w:sz w:val="21"/>
        </w:rPr>
        <w:t>％；</w:t>
      </w:r>
    </w:p>
    <w:p>
      <w:pPr>
        <w:framePr w:w="9557"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）本基金持有的全部资产支持证券，其市值不得超过基金资产净值的</w:t>
      </w:r>
      <w:r>
        <w:rPr>
          <w:rFonts w:ascii="GGHCMB+å®ä½"/>
          <w:color w:val="222222"/>
          <w:spacing w:val="0"/>
          <w:sz w:val="21"/>
        </w:rPr>
        <w:t>20</w:t>
      </w:r>
      <w:r>
        <w:rPr>
          <w:rFonts w:ascii="SKJVQB+å®ä½" w:hAnsi="SKJVQB+å®ä½" w:cs="SKJVQB+å®ä½"/>
          <w:color w:val="222222"/>
          <w:spacing w:val="0"/>
          <w:sz w:val="21"/>
        </w:rPr>
        <w:t>％；</w:t>
      </w:r>
    </w:p>
    <w:p>
      <w:pPr>
        <w:framePr w:w="9557"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）本基金持有的同一</w:t>
      </w:r>
      <w:r>
        <w:rPr>
          <w:rFonts w:ascii="GGHCMB+å®ä½"/>
          <w:color w:val="222222"/>
          <w:spacing w:val="0"/>
          <w:sz w:val="21"/>
        </w:rPr>
        <w:t>(</w:t>
      </w:r>
      <w:r>
        <w:rPr>
          <w:rFonts w:ascii="SKJVQB+å®ä½" w:hAnsi="SKJVQB+å®ä½" w:cs="SKJVQB+å®ä½"/>
          <w:color w:val="222222"/>
          <w:spacing w:val="0"/>
          <w:sz w:val="21"/>
        </w:rPr>
        <w:t>指同一信用级别</w:t>
      </w:r>
      <w:r>
        <w:rPr>
          <w:rFonts w:ascii="GGHCMB+å®ä½"/>
          <w:color w:val="222222"/>
          <w:spacing w:val="0"/>
          <w:sz w:val="21"/>
        </w:rPr>
        <w:t>)</w:t>
      </w:r>
      <w:r>
        <w:rPr>
          <w:rFonts w:ascii="SKJVQB+å®ä½" w:hAnsi="SKJVQB+å®ä½" w:cs="SKJVQB+å®ä½"/>
          <w:color w:val="222222"/>
          <w:spacing w:val="0"/>
          <w:sz w:val="21"/>
        </w:rPr>
        <w:t>资产支持证券的比例，不得超过该资产支持</w:t>
      </w:r>
    </w:p>
    <w:p>
      <w:pPr>
        <w:framePr w:w="9557"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证券规模的</w:t>
      </w:r>
      <w:r>
        <w:rPr>
          <w:rFonts w:ascii="GGHCMB+å®ä½"/>
          <w:color w:val="222222"/>
          <w:spacing w:val="0"/>
          <w:sz w:val="21"/>
        </w:rPr>
        <w:t>10</w:t>
      </w:r>
      <w:r>
        <w:rPr>
          <w:rFonts w:ascii="SKJVQB+å®ä½" w:hAnsi="SKJVQB+å®ä½" w:cs="SKJVQB+å®ä½"/>
          <w:color w:val="222222"/>
          <w:spacing w:val="0"/>
          <w:sz w:val="21"/>
        </w:rPr>
        <w:t>％；</w:t>
      </w:r>
    </w:p>
    <w:p>
      <w:pPr>
        <w:framePr w:w="9556"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）本基金管理人管理的全部基金投资于同一原始权益人的各类资产支持证券，不得</w:t>
      </w:r>
    </w:p>
    <w:p>
      <w:pPr>
        <w:framePr w:w="9556"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超过其各类资产支持证券合计规模的</w:t>
      </w:r>
      <w:r>
        <w:rPr>
          <w:rFonts w:ascii="GGHCMB+å®ä½"/>
          <w:color w:val="222222"/>
          <w:spacing w:val="0"/>
          <w:sz w:val="21"/>
        </w:rPr>
        <w:t>10</w:t>
      </w:r>
      <w:r>
        <w:rPr>
          <w:rFonts w:ascii="SKJVQB+å®ä½" w:hAnsi="SKJVQB+å®ä½" w:cs="SKJVQB+å®ä½"/>
          <w:color w:val="222222"/>
          <w:spacing w:val="0"/>
          <w:sz w:val="21"/>
        </w:rPr>
        <w:t>％；</w:t>
      </w:r>
    </w:p>
    <w:p>
      <w:pPr>
        <w:framePr w:w="9560"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 xml:space="preserve">）本基金应投资于信用级别评级为 </w:t>
      </w:r>
      <w:r>
        <w:rPr>
          <w:rFonts w:ascii="GGHCMB+å®ä½"/>
          <w:color w:val="222222"/>
          <w:spacing w:val="0"/>
          <w:sz w:val="21"/>
        </w:rPr>
        <w:t>BBB</w:t>
      </w:r>
      <w:r>
        <w:rPr>
          <w:rFonts w:ascii="SKJVQB+å®ä½" w:hAnsi="SKJVQB+å®ä½" w:cs="SKJVQB+å®ä½"/>
          <w:color w:val="222222"/>
          <w:spacing w:val="0"/>
          <w:sz w:val="21"/>
        </w:rPr>
        <w:t>以上</w:t>
      </w:r>
      <w:r>
        <w:rPr>
          <w:rFonts w:ascii="GGHCMB+å®ä½"/>
          <w:color w:val="222222"/>
          <w:spacing w:val="0"/>
          <w:sz w:val="21"/>
        </w:rPr>
        <w:t>(</w:t>
      </w:r>
      <w:r>
        <w:rPr>
          <w:rFonts w:ascii="SKJVQB+å®ä½" w:hAnsi="SKJVQB+å®ä½" w:cs="SKJVQB+å®ä½"/>
          <w:color w:val="222222"/>
          <w:spacing w:val="0"/>
          <w:sz w:val="21"/>
        </w:rPr>
        <w:t xml:space="preserve">含 </w:t>
      </w:r>
      <w:r>
        <w:rPr>
          <w:rFonts w:ascii="GGHCMB+å®ä½"/>
          <w:color w:val="222222"/>
          <w:spacing w:val="0"/>
          <w:sz w:val="21"/>
        </w:rPr>
        <w:t>BBB)</w:t>
      </w:r>
      <w:r>
        <w:rPr>
          <w:rFonts w:ascii="SKJVQB+å®ä½" w:hAnsi="SKJVQB+å®ä½" w:cs="SKJVQB+å®ä½"/>
          <w:color w:val="222222"/>
          <w:spacing w:val="0"/>
          <w:sz w:val="21"/>
        </w:rPr>
        <w:t>的资产支持证券。基金持有资</w:t>
      </w:r>
    </w:p>
    <w:p>
      <w:pPr>
        <w:framePr w:w="9560" w:wrap="around" w:vAnchor="margin" w:hAnchor="text" w:x="1800" w:y="7171"/>
        <w:widowControl w:val="0"/>
        <w:autoSpaceDE w:val="0"/>
        <w:autoSpaceDN w:val="0"/>
        <w:spacing w:before="0" w:after="0" w:line="408" w:lineRule="exact"/>
        <w:ind w:left="0" w:right="0"/>
        <w:jc w:val="left"/>
        <w:rPr>
          <w:rFonts w:ascii="GGHCMB+å®ä½"/>
          <w:color w:val="222222"/>
          <w:spacing w:val="0"/>
          <w:sz w:val="21"/>
        </w:rPr>
      </w:pPr>
      <w:r>
        <w:rPr>
          <w:rFonts w:ascii="SKJVQB+å®ä½" w:hAnsi="SKJVQB+å®ä½" w:cs="SKJVQB+å®ä½"/>
          <w:color w:val="222222"/>
          <w:spacing w:val="0"/>
          <w:sz w:val="21"/>
        </w:rPr>
        <w:t xml:space="preserve">产支持证券期间，如果其信用等级下降、不再符合投资标准，应在评级报告发布之日起  </w:t>
      </w:r>
      <w:r>
        <w:rPr>
          <w:rFonts w:ascii="GGHCMB+å®ä½"/>
          <w:color w:val="222222"/>
          <w:spacing w:val="0"/>
          <w:sz w:val="21"/>
        </w:rPr>
        <w:t xml:space="preserve"> 3</w:t>
      </w:r>
    </w:p>
    <w:p>
      <w:pPr>
        <w:framePr w:w="9560"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个月内予以全部卖出；</w:t>
      </w:r>
    </w:p>
    <w:p>
      <w:pPr>
        <w:framePr w:w="9559"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10</w:t>
      </w:r>
      <w:r>
        <w:rPr>
          <w:rFonts w:ascii="SKJVQB+å®ä½" w:hAnsi="SKJVQB+å®ä½" w:cs="SKJVQB+å®ä½"/>
          <w:color w:val="222222"/>
          <w:spacing w:val="0"/>
          <w:sz w:val="21"/>
        </w:rPr>
        <w:t>）本基金进入全国银行间同业市场进行债券回购的资金余额不得超过基金资产净值</w:t>
      </w:r>
    </w:p>
    <w:p>
      <w:pPr>
        <w:framePr w:w="9559"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40%</w:t>
      </w:r>
      <w:r>
        <w:rPr>
          <w:rFonts w:ascii="SKJVQB+å®ä½" w:hAnsi="SKJVQB+å®ä½" w:cs="SKJVQB+å®ä½"/>
          <w:color w:val="222222"/>
          <w:spacing w:val="0"/>
          <w:sz w:val="21"/>
        </w:rPr>
        <w:t>；</w:t>
      </w:r>
    </w:p>
    <w:p>
      <w:pPr>
        <w:framePr w:w="4895" w:wrap="around" w:vAnchor="margin" w:hAnchor="text" w:x="2220" w:y="921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11</w:t>
      </w:r>
      <w:r>
        <w:rPr>
          <w:rFonts w:ascii="SKJVQB+å®ä½" w:hAnsi="SKJVQB+å®ä½" w:cs="SKJVQB+å®ä½"/>
          <w:color w:val="222222"/>
          <w:spacing w:val="0"/>
          <w:sz w:val="21"/>
        </w:rPr>
        <w:t>）基金总资产不超过基金净资产的</w:t>
      </w:r>
      <w:r>
        <w:rPr>
          <w:rFonts w:ascii="GGHCMB+å®ä½"/>
          <w:color w:val="222222"/>
          <w:spacing w:val="0"/>
          <w:sz w:val="21"/>
        </w:rPr>
        <w:t>140%</w:t>
      </w:r>
      <w:r>
        <w:rPr>
          <w:rFonts w:ascii="SKJVQB+å®ä½" w:hAnsi="SKJVQB+å®ä½" w:cs="SKJVQB+å®ä½"/>
          <w:color w:val="222222"/>
          <w:spacing w:val="0"/>
          <w:sz w:val="21"/>
        </w:rPr>
        <w:t>；</w:t>
      </w:r>
    </w:p>
    <w:p>
      <w:pPr>
        <w:framePr w:w="9560" w:wrap="around" w:vAnchor="margin" w:hAnchor="text" w:x="1800" w:y="962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12</w:t>
      </w:r>
      <w:r>
        <w:rPr>
          <w:rFonts w:ascii="SKJVQB+å®ä½" w:hAnsi="SKJVQB+å®ä½" w:cs="SKJVQB+å®ä½"/>
          <w:color w:val="222222"/>
          <w:spacing w:val="0"/>
          <w:sz w:val="21"/>
        </w:rPr>
        <w:t>）本基金持有单只中小企业私募债券，其市值不得超过该基金资产净值的</w:t>
      </w:r>
      <w:r>
        <w:rPr>
          <w:rFonts w:ascii="GGHCMB+å®ä½"/>
          <w:color w:val="222222"/>
          <w:spacing w:val="0"/>
          <w:sz w:val="21"/>
        </w:rPr>
        <w:t>10</w:t>
      </w:r>
      <w:r>
        <w:rPr>
          <w:rFonts w:ascii="SKJVQB+å®ä½" w:hAnsi="SKJVQB+å®ä½" w:cs="SKJVQB+å®ä½"/>
          <w:color w:val="222222"/>
          <w:spacing w:val="0"/>
          <w:sz w:val="21"/>
        </w:rPr>
        <w:t>％；</w:t>
      </w:r>
    </w:p>
    <w:p>
      <w:pPr>
        <w:framePr w:w="9560" w:wrap="around" w:vAnchor="margin" w:hAnchor="text" w:x="1800" w:y="962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13</w:t>
      </w:r>
      <w:r>
        <w:rPr>
          <w:rFonts w:ascii="SKJVQB+å®ä½" w:hAnsi="SKJVQB+å®ä½" w:cs="SKJVQB+å®ä½"/>
          <w:color w:val="222222"/>
          <w:spacing w:val="0"/>
          <w:sz w:val="21"/>
        </w:rPr>
        <w:t>）在任何交易日日终，持有的买入国债期货合约价值，不得超过基金资产净值的</w:t>
      </w:r>
    </w:p>
    <w:p>
      <w:pPr>
        <w:framePr w:w="9560"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；在任何交易日日终，持有的卖出国债期货合约价值不得超过基金持有的债券总市值的</w:t>
      </w:r>
    </w:p>
    <w:p>
      <w:pPr>
        <w:framePr w:w="9560" w:wrap="around" w:vAnchor="margin" w:hAnchor="text" w:x="1800" w:y="962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GGHCMB+å®ä½"/>
          <w:color w:val="222222"/>
          <w:spacing w:val="0"/>
          <w:sz w:val="21"/>
        </w:rPr>
        <w:t>30%</w:t>
      </w:r>
      <w:r>
        <w:rPr>
          <w:rFonts w:ascii="SKJVQB+å®ä½" w:hAnsi="SKJVQB+å®ä½" w:cs="SKJVQB+å®ä½"/>
          <w:color w:val="222222"/>
          <w:spacing w:val="0"/>
          <w:sz w:val="21"/>
        </w:rPr>
        <w:t>；本基金所持有的债券（不含到期日在一年以内的政府债券）市值和买入、卖出国债期</w:t>
      </w:r>
    </w:p>
    <w:p>
      <w:pPr>
        <w:framePr w:w="9560"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货合约价值，合计（轧差计算）不低于基金资产的</w:t>
      </w:r>
      <w:r>
        <w:rPr>
          <w:rFonts w:ascii="GGHCMB+å®ä½"/>
          <w:color w:val="222222"/>
          <w:spacing w:val="0"/>
          <w:sz w:val="21"/>
        </w:rPr>
        <w:t>80%</w:t>
      </w:r>
      <w:r>
        <w:rPr>
          <w:rFonts w:ascii="SKJVQB+å®ä½" w:hAnsi="SKJVQB+å®ä½" w:cs="SKJVQB+å®ä½"/>
          <w:color w:val="222222"/>
          <w:spacing w:val="0"/>
          <w:sz w:val="21"/>
        </w:rPr>
        <w:t>；在任何交易日内交易（不包括平仓）</w:t>
      </w:r>
    </w:p>
    <w:p>
      <w:pPr>
        <w:framePr w:w="9560"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的国债期货合约的成交金额不得超过上一交易日基金资产净值的</w:t>
      </w:r>
      <w:r>
        <w:rPr>
          <w:rFonts w:ascii="GGHCMB+å®ä½"/>
          <w:color w:val="222222"/>
          <w:spacing w:val="0"/>
          <w:sz w:val="21"/>
        </w:rPr>
        <w:t>30%</w:t>
      </w:r>
      <w:r>
        <w:rPr>
          <w:rFonts w:ascii="SKJVQB+å®ä½" w:hAnsi="SKJVQB+å®ä½" w:cs="SKJVQB+å®ä½"/>
          <w:color w:val="222222"/>
          <w:spacing w:val="0"/>
          <w:sz w:val="21"/>
        </w:rPr>
        <w:t>；</w:t>
      </w:r>
    </w:p>
    <w:p>
      <w:pPr>
        <w:framePr w:w="9560" w:wrap="around" w:vAnchor="margin" w:hAnchor="text" w:x="1800" w:y="962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14</w:t>
      </w:r>
      <w:r>
        <w:rPr>
          <w:rFonts w:ascii="SKJVQB+å®ä½" w:hAnsi="SKJVQB+å®ä½" w:cs="SKJVQB+å®ä½"/>
          <w:color w:val="222222"/>
          <w:spacing w:val="0"/>
          <w:sz w:val="21"/>
        </w:rPr>
        <w:t>）本基金管理人管理的全部开放式基金（包括开放式基金以及处于开放期的定期开</w:t>
      </w:r>
    </w:p>
    <w:p>
      <w:pPr>
        <w:framePr w:w="9560"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放基金）持有一家上市公司发行的可流通股票，不得超过该上市公司可流通股票的</w:t>
      </w:r>
      <w:r>
        <w:rPr>
          <w:rFonts w:ascii="GGHCMB+å®ä½"/>
          <w:color w:val="222222"/>
          <w:spacing w:val="0"/>
          <w:sz w:val="21"/>
        </w:rPr>
        <w:t>15%</w:t>
      </w:r>
      <w:r>
        <w:rPr>
          <w:rFonts w:ascii="SKJVQB+å®ä½" w:hAnsi="SKJVQB+å®ä½" w:cs="SKJVQB+å®ä½"/>
          <w:color w:val="222222"/>
          <w:spacing w:val="0"/>
          <w:sz w:val="21"/>
        </w:rPr>
        <w:t>；本</w:t>
      </w:r>
    </w:p>
    <w:p>
      <w:pPr>
        <w:framePr w:w="9560"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基金管理人管理的全部投资组合持有一家上市公司发行的可流通股票，不得超过该上市公</w:t>
      </w:r>
    </w:p>
    <w:p>
      <w:pPr>
        <w:framePr w:w="9560"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司可流通股票的</w:t>
      </w:r>
      <w:r>
        <w:rPr>
          <w:rFonts w:ascii="GGHCMB+å®ä½"/>
          <w:color w:val="222222"/>
          <w:spacing w:val="0"/>
          <w:sz w:val="21"/>
        </w:rPr>
        <w:t>30%</w:t>
      </w:r>
      <w:r>
        <w:rPr>
          <w:rFonts w:ascii="SKJVQB+å®ä½" w:hAnsi="SKJVQB+å®ä½" w:cs="SKJVQB+å®ä½"/>
          <w:color w:val="222222"/>
          <w:spacing w:val="0"/>
          <w:sz w:val="21"/>
        </w:rPr>
        <w:t>；</w:t>
      </w:r>
    </w:p>
    <w:p>
      <w:pPr>
        <w:framePr w:w="9560"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）本基金主动投资于流动性受限资产的市值合计不得超过基金资产净值的</w:t>
      </w:r>
      <w:r>
        <w:rPr>
          <w:rFonts w:ascii="GGHCMB+å®ä½"/>
          <w:color w:val="222222"/>
          <w:spacing w:val="0"/>
          <w:sz w:val="21"/>
        </w:rPr>
        <w:t>15%</w:t>
      </w:r>
      <w:r>
        <w:rPr>
          <w:rFonts w:ascii="SKJVQB+å®ä½" w:hAnsi="SKJVQB+å®ä½" w:cs="SKJVQB+å®ä½"/>
          <w:color w:val="222222"/>
          <w:spacing w:val="0"/>
          <w:sz w:val="21"/>
        </w:rPr>
        <w:t>；因</w:t>
      </w:r>
    </w:p>
    <w:p>
      <w:pPr>
        <w:framePr w:w="9560" w:wrap="around" w:vAnchor="margin" w:hAnchor="text" w:x="180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证券市场波动、上市公司股票停牌、基金规模变动等基金管理人之外的因素致使基金不符</w:t>
      </w:r>
    </w:p>
    <w:p>
      <w:pPr>
        <w:framePr w:w="9560" w:wrap="around" w:vAnchor="margin" w:hAnchor="text" w:x="1800" w:y="137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合该比例限制的，基金管理人不得主动新增流动性受限资产的投资；</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170</w:t>
      </w:r>
    </w:p>
    <w:p>
      <w:pPr>
        <w:spacing w:before="0" w:after="0" w:line="0" w:lineRule="exact"/>
        <w:ind w:left="0" w:right="0"/>
        <w:jc w:val="left"/>
        <w:rPr>
          <w:rFonts w:ascii="Arial"/>
          <w:color w:val="FF0000"/>
          <w:spacing w:val="0"/>
          <w:sz w:val="2"/>
        </w:rPr>
      </w:pPr>
      <w:r>
        <w:pict>
          <v:shape id="_x0000366" o:spid="_x0000_s139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67" o:spid="_x0000_s1393"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60"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）本基金与私募类证券资管产品及中国证监会认定的其他主体为交易对手开展逆回</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购交易的，可接受质押品的资质要求应当与基金合同约定的投资范围保持一致；</w:t>
      </w:r>
    </w:p>
    <w:p>
      <w:pPr>
        <w:framePr w:w="9560"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17</w:t>
      </w:r>
      <w:r>
        <w:rPr>
          <w:rFonts w:ascii="SKJVQB+å®ä½" w:hAnsi="SKJVQB+å®ä½" w:cs="SKJVQB+å®ä½"/>
          <w:color w:val="222222"/>
          <w:spacing w:val="0"/>
          <w:sz w:val="21"/>
        </w:rPr>
        <w:t>）法律法规及中国证监会规定的和《基金合同》约定的其他投资限制。</w:t>
      </w:r>
    </w:p>
    <w:p>
      <w:pPr>
        <w:framePr w:w="9560" w:wrap="around" w:vAnchor="margin" w:hAnchor="text" w:x="1800" w:y="145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除上述第（</w:t>
      </w:r>
      <w:r>
        <w:rPr>
          <w:rFonts w:ascii="GGHCMB+å®ä½"/>
          <w:color w:val="222222"/>
          <w:spacing w:val="0"/>
          <w:sz w:val="21"/>
        </w:rPr>
        <w:t>2</w:t>
      </w: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）项另有约定外，因证券、期货市场波动、上市</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公司合并、基金规模变动、股权分置改革中支付对价等基金管理人之外的因素致使基金投</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资比例不符合上述规定投资比例的，基金管理人应当在 </w:t>
      </w:r>
      <w:r>
        <w:rPr>
          <w:rFonts w:ascii="GGHCMB+å®ä½"/>
          <w:color w:val="222222"/>
          <w:spacing w:val="0"/>
          <w:sz w:val="21"/>
        </w:rPr>
        <w:t>10</w:t>
      </w:r>
      <w:r>
        <w:rPr>
          <w:rFonts w:ascii="SKJVQB+å®ä½" w:hAnsi="SKJVQB+å®ä½" w:cs="SKJVQB+å®ä½"/>
          <w:color w:val="222222"/>
          <w:spacing w:val="0"/>
          <w:sz w:val="21"/>
        </w:rPr>
        <w:t>个交易日内进行调整，但中国证</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监会规定的特殊情形除外。本基金投资公开发行可交换债的比例等投资限制、估值核算和</w:t>
      </w:r>
    </w:p>
    <w:p>
      <w:pPr>
        <w:framePr w:w="9560"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信息披露参照可转债，且投资比例应当与可转债合并计算。</w:t>
      </w:r>
    </w:p>
    <w:p>
      <w:pPr>
        <w:framePr w:w="9798"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基金管理人应当自基金合同生效之日起 </w:t>
      </w:r>
      <w:r>
        <w:rPr>
          <w:rFonts w:ascii="GGHCMB+å®ä½"/>
          <w:color w:val="222222"/>
          <w:spacing w:val="0"/>
          <w:sz w:val="21"/>
        </w:rPr>
        <w:t>6</w:t>
      </w:r>
      <w:r>
        <w:rPr>
          <w:rFonts w:ascii="SKJVQB+å®ä½" w:hAnsi="SKJVQB+å®ä½" w:cs="SKJVQB+å®ä½"/>
          <w:color w:val="222222"/>
          <w:spacing w:val="0"/>
          <w:sz w:val="21"/>
        </w:rPr>
        <w:t>个月内使基金的投资组合比例符合基金合同</w:t>
      </w:r>
    </w:p>
    <w:p>
      <w:pPr>
        <w:framePr w:w="9798"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的有关约定，在上述期间内，本基金的投资范围、投资策略应当符合基金合同的约定。基</w:t>
      </w:r>
    </w:p>
    <w:p>
      <w:pPr>
        <w:framePr w:w="9798"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金托管人对基金的投资的监督与检查自本基金合同生效之日起开始。</w:t>
      </w:r>
    </w:p>
    <w:p>
      <w:pPr>
        <w:framePr w:w="9798" w:wrap="around" w:vAnchor="margin" w:hAnchor="text" w:x="1800" w:y="472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如果法律法规或监管部门对上述投资组合比例限制进行变更的，以变更后的规定为准。</w:t>
      </w:r>
    </w:p>
    <w:p>
      <w:pPr>
        <w:framePr w:w="9798" w:wrap="around" w:vAnchor="margin" w:hAnchor="text" w:x="1800" w:y="472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法律法规或监管部门取消上述限制，如适用于本基金，则本基金投资不再受相关限制。</w:t>
      </w:r>
    </w:p>
    <w:p>
      <w:pPr>
        <w:framePr w:w="9798" w:wrap="around" w:vAnchor="margin" w:hAnchor="text" w:x="1800" w:y="472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二）禁止行为</w:t>
      </w:r>
    </w:p>
    <w:p>
      <w:pPr>
        <w:framePr w:w="7978" w:wrap="around" w:vAnchor="margin" w:hAnchor="text" w:x="2220" w:y="717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为维护基金份额持有人的合法权益，基金财产不得用于下列投资或者活动：</w:t>
      </w:r>
    </w:p>
    <w:p>
      <w:pPr>
        <w:framePr w:w="7978" w:wrap="around" w:vAnchor="margin" w:hAnchor="text" w:x="222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）承销证券；</w:t>
      </w:r>
    </w:p>
    <w:p>
      <w:pPr>
        <w:framePr w:w="4472"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）违反规定向他人贷款或者提供担保；</w:t>
      </w:r>
    </w:p>
    <w:p>
      <w:pPr>
        <w:framePr w:w="3506" w:wrap="around" w:vAnchor="margin" w:hAnchor="text" w:x="2220" w:y="839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）从事承担无限责任的投资；</w:t>
      </w:r>
    </w:p>
    <w:p>
      <w:pPr>
        <w:framePr w:w="6404" w:wrap="around" w:vAnchor="margin" w:hAnchor="text" w:x="2220" w:y="880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）买卖其他基金份额，但是中国证监会另有规定的除外；</w:t>
      </w:r>
    </w:p>
    <w:p>
      <w:pPr>
        <w:framePr w:w="4472" w:wrap="around" w:vAnchor="margin" w:hAnchor="text" w:x="2220" w:y="921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）向其基金管理人、基金托管人出资；</w:t>
      </w:r>
    </w:p>
    <w:p>
      <w:pPr>
        <w:framePr w:w="7614" w:wrap="around" w:vAnchor="margin" w:hAnchor="text" w:x="2220" w:y="96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）从事内幕交易、操纵证券交易价格及其他不正当的证券交易活动；</w:t>
      </w:r>
    </w:p>
    <w:p>
      <w:pPr>
        <w:framePr w:w="7614" w:wrap="around" w:vAnchor="margin" w:hAnchor="text" w:x="222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）法律、行政法规和中国证监会规定禁止的其他活动。</w:t>
      </w:r>
    </w:p>
    <w:p>
      <w:pPr>
        <w:framePr w:w="9553"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如法律、行政法规或监管部门取消上述限制，如适用于本基金，则本基金投资不再受</w:t>
      </w:r>
    </w:p>
    <w:p>
      <w:pPr>
        <w:framePr w:w="9553" w:wrap="around" w:vAnchor="margin" w:hAnchor="text" w:x="1800" w:y="104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相关限制。基金管理人运用基金财产买卖基金管理人、基金托管人及其控股股东、实际控</w:t>
      </w:r>
    </w:p>
    <w:p>
      <w:pPr>
        <w:framePr w:w="9553"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制人或者与其他重大利害关系的公司发行的证券或者承销期内承销的证券，或者从事其他</w:t>
      </w:r>
    </w:p>
    <w:p>
      <w:pPr>
        <w:framePr w:w="9553"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重大关联交易的，应当符合基金的投资目标和投资策略，遵循基金份额持有人利益优先的</w:t>
      </w:r>
    </w:p>
    <w:p>
      <w:pPr>
        <w:framePr w:w="9553" w:wrap="around" w:vAnchor="margin" w:hAnchor="text" w:x="1800" w:y="1044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原则，防范利益冲突，相关交易必须事先得到基金托管人的同意，并履行信息披露义务。</w:t>
      </w:r>
    </w:p>
    <w:p>
      <w:pPr>
        <w:framePr w:w="4353" w:wrap="around" w:vAnchor="margin" w:hAnchor="text" w:x="2220" w:y="1289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六、基金资产净值的计算方法和公告方式</w:t>
      </w:r>
    </w:p>
    <w:p>
      <w:pPr>
        <w:framePr w:w="9559"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基金资产净值是指基金资产总值减去基金负债后的价值。</w:t>
      </w:r>
    </w:p>
    <w:p>
      <w:pPr>
        <w:framePr w:w="9559" w:wrap="around" w:vAnchor="margin" w:hAnchor="text" w:x="1800" w:y="13300"/>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《基金合同》生效后，在开始办理基金份额申购或者赎回前，基金管理人应当至少每周</w:t>
      </w:r>
    </w:p>
    <w:p>
      <w:pPr>
        <w:framePr w:w="9559" w:wrap="around" w:vAnchor="margin" w:hAnchor="text" w:x="1800" w:y="1330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在指定网站披露一次基金份额净值和基金份额累计净值。</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171</w:t>
      </w:r>
    </w:p>
    <w:p>
      <w:pPr>
        <w:spacing w:before="0" w:after="0" w:line="0" w:lineRule="exact"/>
        <w:ind w:left="0" w:right="0"/>
        <w:jc w:val="left"/>
        <w:rPr>
          <w:rFonts w:ascii="Arial"/>
          <w:color w:val="FF0000"/>
          <w:spacing w:val="0"/>
          <w:sz w:val="2"/>
        </w:rPr>
      </w:pPr>
      <w:r>
        <w:pict>
          <v:shape id="_x0000368" o:spid="_x0000_s139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35" o:title=""/>
            <o:lock v:ext="edit" aspectratio="t"/>
          </v:shape>
        </w:pict>
      </w:r>
      <w:r>
        <w:pict>
          <v:shape id="_x0000369" o:spid="_x0000_s1395" o:spt="75" type="#_x0000_t75" style="position:absolute;left:0pt;margin-left:88.6pt;margin-top:71.1pt;height:653.75pt;width:418.3pt;mso-position-horizontal-relative:page;mso-position-vertical-relative:page;z-index:-2048;mso-width-relative:page;mso-height-relative:page;" filled="f" coordsize="21600,21600">
            <v:path/>
            <v:fill on="f" focussize="0,0"/>
            <v:stroke/>
            <v:imagedata r:id="rId3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在开始办理基金份额申购或者赎回后，基金管理人应当在不晚于每个开放日的次日，</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通过指定网站、基金销售机构网站或者营业网点披露开放日的基金份额净值和基金份额累</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计净值。</w:t>
      </w:r>
    </w:p>
    <w:p>
      <w:pPr>
        <w:framePr w:w="9553"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基金管理人应当在不晚于半年度和年度最后一日的次日，在指定网站披露半年度和年</w:t>
      </w:r>
    </w:p>
    <w:p>
      <w:pPr>
        <w:framePr w:w="9553"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度最后一日的基金份额净值和基金份额累计净值。</w:t>
      </w:r>
    </w:p>
    <w:p>
      <w:pPr>
        <w:framePr w:w="6769" w:wrap="around" w:vAnchor="margin" w:hAnchor="text" w:x="2220" w:y="390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七、基金合同解除和终止的事由、程序以及基金财产的清算方式</w:t>
      </w:r>
    </w:p>
    <w:p>
      <w:pPr>
        <w:framePr w:w="6769" w:wrap="around" w:vAnchor="margin" w:hAnchor="text" w:x="222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（一）《基金合同》的变更</w:t>
      </w:r>
    </w:p>
    <w:p>
      <w:pPr>
        <w:framePr w:w="9786"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、变更基金合同涉及法律法规规定或本基金合同约定应经基金份额持有人大会决议通</w:t>
      </w:r>
    </w:p>
    <w:p>
      <w:pPr>
        <w:framePr w:w="9786"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过的事项的，应召开基金份额持有人大会决议通过。对于法律法规规定和基金合同约定可</w:t>
      </w:r>
    </w:p>
    <w:p>
      <w:pPr>
        <w:framePr w:w="9786"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不经基金份额持有人大会决议通过的事项，由基金管理人和基金托管人同意后变更并公告，</w:t>
      </w:r>
    </w:p>
    <w:p>
      <w:pPr>
        <w:framePr w:w="9786"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并报中国证监会备案。</w:t>
      </w:r>
    </w:p>
    <w:p>
      <w:pPr>
        <w:framePr w:w="9556"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、关于《基金合同》变更的基金份额持有人大会决议自生效后方可执行，自决议生效</w:t>
      </w:r>
    </w:p>
    <w:p>
      <w:pPr>
        <w:framePr w:w="9556"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后</w:t>
      </w:r>
      <w:r>
        <w:rPr>
          <w:rFonts w:ascii="GGHCMB+å®ä½"/>
          <w:color w:val="222222"/>
          <w:spacing w:val="0"/>
          <w:sz w:val="21"/>
        </w:rPr>
        <w:t>2</w:t>
      </w:r>
      <w:r>
        <w:rPr>
          <w:rFonts w:ascii="SKJVQB+å®ä½" w:hAnsi="SKJVQB+å®ä½" w:cs="SKJVQB+å®ä½"/>
          <w:color w:val="222222"/>
          <w:spacing w:val="0"/>
          <w:sz w:val="21"/>
        </w:rPr>
        <w:t>日内在指定媒介公告。</w:t>
      </w:r>
    </w:p>
    <w:p>
      <w:pPr>
        <w:framePr w:w="3387" w:wrap="around" w:vAnchor="margin" w:hAnchor="text" w:x="2220" w:y="717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（二）《基金合同》的终止事由</w:t>
      </w:r>
    </w:p>
    <w:p>
      <w:pPr>
        <w:framePr w:w="4836"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有下列情形之一的，《基金合同》应当终止：</w:t>
      </w:r>
    </w:p>
    <w:p>
      <w:pPr>
        <w:framePr w:w="3989"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、基金份额持有人大会决定终止的；</w:t>
      </w:r>
    </w:p>
    <w:p>
      <w:pPr>
        <w:framePr w:w="9557"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、基金管理人、基金托管人职责终止，在</w:t>
      </w:r>
      <w:r>
        <w:rPr>
          <w:rFonts w:ascii="GGHCMB+å®ä½"/>
          <w:color w:val="222222"/>
          <w:spacing w:val="0"/>
          <w:sz w:val="21"/>
        </w:rPr>
        <w:t>6</w:t>
      </w:r>
      <w:r>
        <w:rPr>
          <w:rFonts w:ascii="SKJVQB+å®ä½" w:hAnsi="SKJVQB+å®ä½" w:cs="SKJVQB+å®ä½"/>
          <w:color w:val="222222"/>
          <w:spacing w:val="0"/>
          <w:sz w:val="21"/>
        </w:rPr>
        <w:t>个月内没有新基金管理人、新基金托管人</w:t>
      </w:r>
    </w:p>
    <w:p>
      <w:pPr>
        <w:framePr w:w="9557"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承接的；</w:t>
      </w:r>
    </w:p>
    <w:p>
      <w:pPr>
        <w:framePr w:w="3746" w:wrap="around" w:vAnchor="margin" w:hAnchor="text" w:x="2220" w:y="921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、《基金合同》约定的其他情形；</w:t>
      </w:r>
    </w:p>
    <w:p>
      <w:pPr>
        <w:framePr w:w="5195" w:wrap="around" w:vAnchor="margin" w:hAnchor="text" w:x="2220" w:y="96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、相关法律法规和中国证监会规定的其他情况。</w:t>
      </w:r>
    </w:p>
    <w:p>
      <w:pPr>
        <w:framePr w:w="2418"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（三）基金财产的清算</w:t>
      </w:r>
    </w:p>
    <w:p>
      <w:pPr>
        <w:framePr w:w="9557"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、基金财产清算小组：自出现《基金合同》终止事由之日起</w:t>
      </w:r>
      <w:r>
        <w:rPr>
          <w:rFonts w:ascii="GGHCMB+å®ä½"/>
          <w:color w:val="222222"/>
          <w:spacing w:val="0"/>
          <w:sz w:val="21"/>
        </w:rPr>
        <w:t>30</w:t>
      </w:r>
      <w:r>
        <w:rPr>
          <w:rFonts w:ascii="SKJVQB+å®ä½" w:hAnsi="SKJVQB+å®ä½" w:cs="SKJVQB+å®ä½"/>
          <w:color w:val="222222"/>
          <w:spacing w:val="0"/>
          <w:sz w:val="21"/>
        </w:rPr>
        <w:t>个工作日内成立清算小</w:t>
      </w:r>
    </w:p>
    <w:p>
      <w:pPr>
        <w:framePr w:w="9557" w:wrap="around" w:vAnchor="margin" w:hAnchor="text" w:x="1800" w:y="104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组，基金管理人组织基金财产清算小组并在中国证监会的监督下进行基金清算。</w:t>
      </w:r>
    </w:p>
    <w:p>
      <w:pPr>
        <w:framePr w:w="9557" w:wrap="around" w:vAnchor="margin" w:hAnchor="text" w:x="1800" w:y="1044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、基金财产清算小组组成：基金财产清算小组成员由基金管理人、基金托管人、具有</w:t>
      </w:r>
    </w:p>
    <w:p>
      <w:pPr>
        <w:framePr w:w="9557"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从事证券、期货相关业务资格的注册会计师、律师以及中国证监会指定的人员组成。基金</w:t>
      </w:r>
    </w:p>
    <w:p>
      <w:pPr>
        <w:framePr w:w="9557" w:wrap="around" w:vAnchor="margin" w:hAnchor="text" w:x="1800" w:y="1044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财产清算小组可以聘用必要的工作人员。</w:t>
      </w:r>
    </w:p>
    <w:p>
      <w:pPr>
        <w:framePr w:w="9556" w:wrap="around" w:vAnchor="margin" w:hAnchor="text" w:x="1800" w:y="124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、基金财产清算小组职责：基金财产清算小组负责基金财产的保管、清理、估价、变</w:t>
      </w:r>
    </w:p>
    <w:p>
      <w:pPr>
        <w:framePr w:w="9556"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现和分配。基金财产清算小组可以依法进行必要的民事活动。</w:t>
      </w:r>
    </w:p>
    <w:p>
      <w:pPr>
        <w:framePr w:w="9556" w:wrap="around" w:vAnchor="margin" w:hAnchor="text" w:x="1800" w:y="1248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、基金财产清算程序：</w:t>
      </w:r>
    </w:p>
    <w:p>
      <w:pPr>
        <w:framePr w:w="7854" w:wrap="around" w:vAnchor="margin" w:hAnchor="text" w:x="2220" w:y="137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）《基金合同》终止情形出现时，由基金财产清算小组统一接管基金；</w:t>
      </w:r>
    </w:p>
    <w:p>
      <w:pPr>
        <w:framePr w:w="7854" w:wrap="around" w:vAnchor="margin" w:hAnchor="text" w:x="222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）对基金财产和债权债务进行清理和确认；</w:t>
      </w:r>
    </w:p>
    <w:p>
      <w:pPr>
        <w:framePr w:w="3746" w:wrap="around" w:vAnchor="margin" w:hAnchor="text" w:x="2220" w:y="1452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）对基金财产进行估值和变现；</w:t>
      </w:r>
    </w:p>
    <w:p>
      <w:pPr>
        <w:framePr w:w="2312" w:wrap="around" w:vAnchor="margin" w:hAnchor="text" w:x="2220" w:y="149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）制作清算报告；</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172</w:t>
      </w:r>
    </w:p>
    <w:p>
      <w:pPr>
        <w:spacing w:before="0" w:after="0" w:line="0" w:lineRule="exact"/>
        <w:ind w:left="0" w:right="0"/>
        <w:jc w:val="left"/>
        <w:rPr>
          <w:rFonts w:ascii="Arial"/>
          <w:color w:val="FF0000"/>
          <w:spacing w:val="0"/>
          <w:sz w:val="2"/>
        </w:rPr>
      </w:pPr>
      <w:r>
        <w:pict>
          <v:shape id="_x0000370" o:spid="_x0000_s139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71" o:spid="_x0000_s1397"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6"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）聘请具有证券、期货相关业务资格的会计师事务所对清算报告进行外部审计，聘</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请律师事务所对清算报告出具法律意见书；</w:t>
      </w:r>
    </w:p>
    <w:p>
      <w:pPr>
        <w:framePr w:w="4712" w:wrap="around" w:vAnchor="margin" w:hAnchor="text" w:x="2220" w:y="226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）将清算报告报中国证监会备案并公告；</w:t>
      </w:r>
    </w:p>
    <w:p>
      <w:pPr>
        <w:framePr w:w="3506" w:wrap="around" w:vAnchor="margin" w:hAnchor="text" w:x="222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）对基金剩余财产进行分配。</w:t>
      </w:r>
    </w:p>
    <w:p>
      <w:pPr>
        <w:framePr w:w="3749" w:wrap="around" w:vAnchor="margin" w:hAnchor="text" w:x="2220" w:y="30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、基金财产清算的期限为</w:t>
      </w:r>
      <w:r>
        <w:rPr>
          <w:rFonts w:ascii="GGHCMB+å®ä½"/>
          <w:color w:val="222222"/>
          <w:spacing w:val="0"/>
          <w:sz w:val="21"/>
        </w:rPr>
        <w:t>6</w:t>
      </w:r>
      <w:r>
        <w:rPr>
          <w:rFonts w:ascii="SKJVQB+å®ä½" w:hAnsi="SKJVQB+å®ä½" w:cs="SKJVQB+å®ä½"/>
          <w:color w:val="222222"/>
          <w:spacing w:val="0"/>
          <w:sz w:val="21"/>
        </w:rPr>
        <w:t>个月。</w:t>
      </w:r>
    </w:p>
    <w:p>
      <w:pPr>
        <w:framePr w:w="9556"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、基金管理人与基金托管人协商一致或基金资产清算小组认为有对基金份额持有人更</w:t>
      </w:r>
    </w:p>
    <w:p>
      <w:pPr>
        <w:framePr w:w="9556"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为有利的清算方法，本基金财产的清算可按该方法进行，并及时公告，不需召开基金份额</w:t>
      </w:r>
    </w:p>
    <w:p>
      <w:pPr>
        <w:framePr w:w="9556"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持有人大会。相关法律法规或监管部门另有规定的，按相关法律法规或监管部门的要求办</w:t>
      </w:r>
    </w:p>
    <w:p>
      <w:pPr>
        <w:framePr w:w="9556" w:wrap="around" w:vAnchor="margin" w:hAnchor="text" w:x="1800" w:y="349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w:t>
      </w:r>
    </w:p>
    <w:p>
      <w:pPr>
        <w:framePr w:w="1789"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（四）清算费用</w:t>
      </w:r>
    </w:p>
    <w:p>
      <w:pPr>
        <w:framePr w:w="9553"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清算费用是指基金财产清算小组在进行基金清算过程中发生的所有合理费用，清算费</w:t>
      </w:r>
    </w:p>
    <w:p>
      <w:pPr>
        <w:framePr w:w="9553"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用由基金财产清算小组优先从基金财产中支付。</w:t>
      </w:r>
    </w:p>
    <w:p>
      <w:pPr>
        <w:framePr w:w="3870" w:wrap="around" w:vAnchor="margin" w:hAnchor="text" w:x="2220" w:y="63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（五）基金财产清算剩余资产的分配</w:t>
      </w:r>
    </w:p>
    <w:p>
      <w:pPr>
        <w:framePr w:w="9553" w:wrap="around" w:vAnchor="margin" w:hAnchor="text" w:x="1800" w:y="676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依据基金财产清算的分配方案，将基金财产清算后的全部剩余资产扣除基金财产清算</w:t>
      </w:r>
    </w:p>
    <w:p>
      <w:pPr>
        <w:framePr w:w="9553"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费用、交纳所欠税款并清偿基金债务后，按基金份额持有人持有的基金份额比例进行分</w:t>
      </w:r>
    </w:p>
    <w:p>
      <w:pPr>
        <w:framePr w:w="9553"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配。</w:t>
      </w:r>
    </w:p>
    <w:p>
      <w:pPr>
        <w:framePr w:w="2901" w:wrap="around" w:vAnchor="margin" w:hAnchor="text" w:x="2220" w:y="798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（六）基金财产清算的公告</w:t>
      </w:r>
    </w:p>
    <w:p>
      <w:pPr>
        <w:framePr w:w="9559"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清算过程中的有关重大事项须及时公告；基金财产清算报告经具有证券、期货相关业</w:t>
      </w:r>
    </w:p>
    <w:p>
      <w:pPr>
        <w:framePr w:w="9559"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务资格的会计师事务所审计并由律师事务所出具法律意见书后报中国证监会备案并公告。</w:t>
      </w:r>
    </w:p>
    <w:p>
      <w:pPr>
        <w:framePr w:w="9559"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基金财产清算公告于基金财产清算报告报中国证监会备案后 </w:t>
      </w:r>
      <w:r>
        <w:rPr>
          <w:rFonts w:ascii="GGHCMB+å®ä½"/>
          <w:color w:val="222222"/>
          <w:spacing w:val="0"/>
          <w:sz w:val="21"/>
        </w:rPr>
        <w:t>5</w:t>
      </w:r>
      <w:r>
        <w:rPr>
          <w:rFonts w:ascii="SKJVQB+å®ä½" w:hAnsi="SKJVQB+å®ä½" w:cs="SKJVQB+å®ä½"/>
          <w:color w:val="222222"/>
          <w:spacing w:val="0"/>
          <w:sz w:val="21"/>
        </w:rPr>
        <w:t>个工作日内由基金财产清算</w:t>
      </w:r>
    </w:p>
    <w:p>
      <w:pPr>
        <w:framePr w:w="9559"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小组进行公告，基金财产清算小组应当将清算报告登载在指定网站上，并将清算报告提示</w:t>
      </w:r>
    </w:p>
    <w:p>
      <w:pPr>
        <w:framePr w:w="9559" w:wrap="around" w:vAnchor="margin" w:hAnchor="text" w:x="1800" w:y="839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性公告登载在指定报刊上。</w:t>
      </w:r>
    </w:p>
    <w:p>
      <w:pPr>
        <w:framePr w:w="4110"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（七）基金财产清算账册及文件的保存</w:t>
      </w:r>
    </w:p>
    <w:p>
      <w:pPr>
        <w:framePr w:w="6404"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基金财产清算账册及有关文件由基金托管人保存</w:t>
      </w:r>
      <w:r>
        <w:rPr>
          <w:rFonts w:ascii="GGHCMB+å®ä½"/>
          <w:color w:val="222222"/>
          <w:spacing w:val="0"/>
          <w:sz w:val="21"/>
        </w:rPr>
        <w:t>15</w:t>
      </w:r>
      <w:r>
        <w:rPr>
          <w:rFonts w:ascii="SKJVQB+å®ä½" w:hAnsi="SKJVQB+å®ä½" w:cs="SKJVQB+å®ä½"/>
          <w:color w:val="222222"/>
          <w:spacing w:val="0"/>
          <w:sz w:val="21"/>
        </w:rPr>
        <w:t>年以上。</w:t>
      </w:r>
    </w:p>
    <w:p>
      <w:pPr>
        <w:framePr w:w="1998" w:wrap="around" w:vAnchor="margin" w:hAnchor="text" w:x="2220" w:y="1166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八、争议解决方式</w:t>
      </w:r>
    </w:p>
    <w:p>
      <w:pPr>
        <w:framePr w:w="9559" w:wrap="around" w:vAnchor="margin" w:hAnchor="text" w:x="1800" w:y="1207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方当事人同意，因《基金合同》而产生的或与《基金合同》有关的一切争议，如经友好</w:t>
      </w:r>
    </w:p>
    <w:p>
      <w:pPr>
        <w:framePr w:w="9559"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协商未能解决的，任何一方均有权将争议提交中国国际经济贸易仲裁委员会，按照中国国</w:t>
      </w:r>
    </w:p>
    <w:p>
      <w:pPr>
        <w:framePr w:w="9559"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际经济贸易仲裁委员会届时有效的仲裁规则进行仲裁。仲裁地点为北京市。仲裁裁决是终</w:t>
      </w:r>
    </w:p>
    <w:p>
      <w:pPr>
        <w:framePr w:w="9559"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局的，对当事人均有约束力。仲裁费由败诉方承担。</w:t>
      </w:r>
    </w:p>
    <w:p>
      <w:pPr>
        <w:framePr w:w="9553"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争议处理期间，基金合同当事人应恪守各自的职责，继续忠实、勤勉、尽责地履行基</w:t>
      </w:r>
    </w:p>
    <w:p>
      <w:pPr>
        <w:framePr w:w="9553" w:wrap="around" w:vAnchor="margin" w:hAnchor="text" w:x="180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金合同规定的义务，维护基金份额持有人的合法权益。</w:t>
      </w:r>
    </w:p>
    <w:p>
      <w:pPr>
        <w:framePr w:w="3387" w:wrap="around" w:vAnchor="margin" w:hAnchor="text" w:x="2220" w:y="1452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《基金合同》受中国法律管辖。</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173</w:t>
      </w:r>
    </w:p>
    <w:p>
      <w:pPr>
        <w:spacing w:before="0" w:after="0" w:line="0" w:lineRule="exact"/>
        <w:ind w:left="0" w:right="0"/>
        <w:jc w:val="left"/>
        <w:rPr>
          <w:rFonts w:ascii="Arial"/>
          <w:color w:val="FF0000"/>
          <w:spacing w:val="0"/>
          <w:sz w:val="2"/>
        </w:rPr>
      </w:pPr>
      <w:r>
        <w:pict>
          <v:shape id="_x0000372" o:spid="_x0000_s139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73" o:spid="_x0000_s1399"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4836"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九、基金合同存放地和投资人取得合同的方式</w:t>
      </w:r>
    </w:p>
    <w:p>
      <w:pPr>
        <w:framePr w:w="9559" w:wrap="around" w:vAnchor="margin" w:hAnchor="text" w:x="1800" w:y="186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《基金合同》正本一式六份，除上报有关监管机构一式二份外，基金管理人、基金托管</w:t>
      </w:r>
    </w:p>
    <w:p>
      <w:pPr>
        <w:framePr w:w="9559"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人各持有二份，每份具有同等的法律效力。</w:t>
      </w:r>
    </w:p>
    <w:p>
      <w:pPr>
        <w:framePr w:w="9559"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《基金合同》可印制成册，供投资人在基金管理人、基金托管人、销售机构的办公场所</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和营业场所查阅。</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174</w:t>
      </w:r>
    </w:p>
    <w:p>
      <w:pPr>
        <w:spacing w:before="0" w:after="0" w:line="0" w:lineRule="exact"/>
        <w:ind w:left="0" w:right="0"/>
        <w:jc w:val="left"/>
        <w:rPr>
          <w:rFonts w:ascii="Arial"/>
          <w:color w:val="FF0000"/>
          <w:spacing w:val="0"/>
          <w:sz w:val="2"/>
        </w:rPr>
      </w:pPr>
      <w:r>
        <w:pict>
          <v:shape id="_x0000374" o:spid="_x0000_s140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58" o:title=""/>
            <o:lock v:ext="edit" aspectratio="t"/>
          </v:shape>
        </w:pict>
      </w:r>
      <w:r>
        <w:pict>
          <v:shape id="_x0000375" o:spid="_x0000_s1401" o:spt="75" type="#_x0000_t75" style="position:absolute;left:0pt;margin-left:88.6pt;margin-top:71.1pt;height:102.15pt;width:418.3pt;mso-position-horizontal-relative:page;mso-position-vertical-relative:page;z-index:-2048;mso-width-relative:page;mso-height-relative:page;" filled="f" coordsize="21600,21600">
            <v:path/>
            <v:fill on="f" focussize="0,0"/>
            <v:stroke/>
            <v:imagedata r:id="rId19"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4366" w:wrap="around" w:vAnchor="margin" w:hAnchor="text" w:x="4055"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19</w:t>
      </w:r>
      <w:r>
        <w:rPr>
          <w:rFonts w:ascii="SKJVQB+å®ä½" w:hAnsi="SKJVQB+å®ä½" w:cs="SKJVQB+å®ä½"/>
          <w:color w:val="222222"/>
          <w:spacing w:val="0"/>
          <w:sz w:val="28"/>
        </w:rPr>
        <w:t>基金托管协议的内容摘要</w:t>
      </w:r>
    </w:p>
    <w:p>
      <w:pPr>
        <w:framePr w:w="2661"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一、基金托管协议当事人</w:t>
      </w:r>
    </w:p>
    <w:p>
      <w:pPr>
        <w:framePr w:w="1998" w:wrap="around" w:vAnchor="margin" w:hAnchor="text" w:x="2220" w:y="276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（一）基金管理人</w:t>
      </w:r>
    </w:p>
    <w:p>
      <w:pPr>
        <w:framePr w:w="3627" w:wrap="around" w:vAnchor="margin" w:hAnchor="text" w:x="2220" w:y="317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名称：南方基金管理股份有限公司</w:t>
      </w:r>
    </w:p>
    <w:p>
      <w:pPr>
        <w:framePr w:w="7495" w:wrap="around" w:vAnchor="margin" w:hAnchor="text" w:x="2220" w:y="3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住所：深圳市福田区福田街道福华一路六号免税商务大厦</w:t>
      </w:r>
      <w:r>
        <w:rPr>
          <w:rFonts w:ascii="GGHCMB+å®ä½"/>
          <w:color w:val="222222"/>
          <w:spacing w:val="0"/>
          <w:sz w:val="21"/>
        </w:rPr>
        <w:t>31-33</w:t>
      </w:r>
      <w:r>
        <w:rPr>
          <w:rFonts w:ascii="SKJVQB+å®ä½" w:hAnsi="SKJVQB+å®ä½" w:cs="SKJVQB+å®ä½"/>
          <w:color w:val="222222"/>
          <w:spacing w:val="0"/>
          <w:sz w:val="21"/>
        </w:rPr>
        <w:t>层</w:t>
      </w:r>
    </w:p>
    <w:p>
      <w:pPr>
        <w:framePr w:w="7495" w:wrap="around" w:vAnchor="margin" w:hAnchor="text" w:x="2220" w:y="3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办公地址：深圳市福田区福田街道福华一路六号免税商务大厦</w:t>
      </w:r>
      <w:r>
        <w:rPr>
          <w:rFonts w:ascii="GGHCMB+å®ä½"/>
          <w:color w:val="222222"/>
          <w:spacing w:val="0"/>
          <w:sz w:val="21"/>
        </w:rPr>
        <w:t>31-33</w:t>
      </w:r>
      <w:r>
        <w:rPr>
          <w:rFonts w:ascii="SKJVQB+å®ä½" w:hAnsi="SKJVQB+å®ä½" w:cs="SKJVQB+å®ä½"/>
          <w:color w:val="222222"/>
          <w:spacing w:val="0"/>
          <w:sz w:val="21"/>
        </w:rPr>
        <w:t>层</w:t>
      </w:r>
    </w:p>
    <w:p>
      <w:pPr>
        <w:framePr w:w="7495" w:wrap="around" w:vAnchor="margin" w:hAnchor="text" w:x="2220" w:y="3580"/>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法定代表人：张海波</w:t>
      </w:r>
    </w:p>
    <w:p>
      <w:pPr>
        <w:framePr w:w="3084" w:wrap="around" w:vAnchor="margin" w:hAnchor="text" w:x="2220" w:y="480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成立时间： </w:t>
      </w:r>
      <w:r>
        <w:rPr>
          <w:rFonts w:ascii="GGHCMB+å®ä½"/>
          <w:color w:val="222222"/>
          <w:spacing w:val="0"/>
          <w:sz w:val="21"/>
        </w:rPr>
        <w:t>1998</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6</w:t>
      </w:r>
      <w:r>
        <w:rPr>
          <w:rFonts w:ascii="SKJVQB+å®ä½" w:hAnsi="SKJVQB+å®ä½" w:cs="SKJVQB+å®ä½"/>
          <w:color w:val="222222"/>
          <w:spacing w:val="0"/>
          <w:sz w:val="21"/>
        </w:rPr>
        <w:t>日</w:t>
      </w:r>
    </w:p>
    <w:p>
      <w:pPr>
        <w:framePr w:w="4353" w:wrap="around" w:vAnchor="margin" w:hAnchor="text" w:x="2220" w:y="521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批准设立机关：中国证券监督管理委员会</w:t>
      </w:r>
    </w:p>
    <w:p>
      <w:pPr>
        <w:framePr w:w="4353" w:wrap="around" w:vAnchor="margin" w:hAnchor="text" w:x="2220" w:y="521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批准设立文号：证监基字</w:t>
      </w:r>
      <w:r>
        <w:rPr>
          <w:rFonts w:ascii="GGHCMB+å®ä½"/>
          <w:color w:val="222222"/>
          <w:spacing w:val="0"/>
          <w:sz w:val="21"/>
        </w:rPr>
        <w:t>[1998]4</w:t>
      </w:r>
      <w:r>
        <w:rPr>
          <w:rFonts w:ascii="SKJVQB+å®ä½" w:hAnsi="SKJVQB+å®ä½" w:cs="SKJVQB+å®ä½"/>
          <w:color w:val="222222"/>
          <w:spacing w:val="0"/>
          <w:sz w:val="21"/>
        </w:rPr>
        <w:t>号</w:t>
      </w:r>
    </w:p>
    <w:p>
      <w:pPr>
        <w:framePr w:w="7735" w:wrap="around" w:vAnchor="margin" w:hAnchor="text" w:x="2220" w:y="603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经营范围：基金募集；基金销售；资产管理和中国证监会许可的其他业务</w:t>
      </w:r>
    </w:p>
    <w:p>
      <w:pPr>
        <w:framePr w:w="7735" w:wrap="around" w:vAnchor="margin" w:hAnchor="text" w:x="2220" w:y="603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注册资本：人民币</w:t>
      </w:r>
      <w:r>
        <w:rPr>
          <w:rFonts w:ascii="GGHCMB+å®ä½"/>
          <w:color w:val="222222"/>
          <w:spacing w:val="0"/>
          <w:sz w:val="21"/>
        </w:rPr>
        <w:t>3</w:t>
      </w:r>
      <w:r>
        <w:rPr>
          <w:rFonts w:ascii="SKJVQB+å®ä½" w:hAnsi="SKJVQB+å®ä½" w:cs="SKJVQB+å®ä½"/>
          <w:color w:val="222222"/>
          <w:spacing w:val="0"/>
          <w:sz w:val="21"/>
        </w:rPr>
        <w:t>亿元</w:t>
      </w:r>
    </w:p>
    <w:p>
      <w:pPr>
        <w:framePr w:w="2661" w:wrap="around" w:vAnchor="margin" w:hAnchor="text" w:x="2220" w:y="685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组织形式：股份有限公司</w:t>
      </w:r>
    </w:p>
    <w:p>
      <w:pPr>
        <w:framePr w:w="2209" w:wrap="around" w:vAnchor="margin" w:hAnchor="text" w:x="2220" w:y="725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存续期间：持续经营</w:t>
      </w:r>
    </w:p>
    <w:p>
      <w:pPr>
        <w:framePr w:w="1998" w:wrap="around" w:vAnchor="margin" w:hAnchor="text" w:x="2220" w:y="766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（二）基金托管人</w:t>
      </w:r>
    </w:p>
    <w:p>
      <w:pPr>
        <w:framePr w:w="6529" w:wrap="around" w:vAnchor="margin" w:hAnchor="text" w:x="2220" w:y="807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名称：交通银行股份有限公司（简称：交通银行）</w:t>
      </w:r>
    </w:p>
    <w:p>
      <w:pPr>
        <w:framePr w:w="6529" w:wrap="around" w:vAnchor="margin" w:hAnchor="text" w:x="222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住所：上海市浦东新区银城中路</w:t>
      </w:r>
      <w:r>
        <w:rPr>
          <w:rFonts w:ascii="GGHCMB+å®ä½"/>
          <w:color w:val="222222"/>
          <w:spacing w:val="0"/>
          <w:sz w:val="21"/>
        </w:rPr>
        <w:t>188</w:t>
      </w:r>
      <w:r>
        <w:rPr>
          <w:rFonts w:ascii="SKJVQB+å®ä½" w:hAnsi="SKJVQB+å®ä½" w:cs="SKJVQB+å®ä½"/>
          <w:color w:val="222222"/>
          <w:spacing w:val="0"/>
          <w:sz w:val="21"/>
        </w:rPr>
        <w:t>号（邮政编码：</w:t>
      </w:r>
      <w:r>
        <w:rPr>
          <w:rFonts w:ascii="GGHCMB+å®ä½"/>
          <w:color w:val="222222"/>
          <w:spacing w:val="0"/>
          <w:sz w:val="21"/>
        </w:rPr>
        <w:t>200120</w:t>
      </w:r>
      <w:r>
        <w:rPr>
          <w:rFonts w:ascii="SKJVQB+å®ä½" w:hAnsi="SKJVQB+å®ä½" w:cs="SKJVQB+å®ä½"/>
          <w:color w:val="222222"/>
          <w:spacing w:val="0"/>
          <w:sz w:val="21"/>
        </w:rPr>
        <w:t>）</w:t>
      </w:r>
    </w:p>
    <w:p>
      <w:pPr>
        <w:framePr w:w="6529" w:wrap="around" w:vAnchor="margin" w:hAnchor="text" w:x="222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办公地址：上海市长宁区仙霞路</w:t>
      </w:r>
      <w:r>
        <w:rPr>
          <w:rFonts w:ascii="GGHCMB+å®ä½"/>
          <w:color w:val="222222"/>
          <w:spacing w:val="0"/>
          <w:sz w:val="21"/>
        </w:rPr>
        <w:t>18</w:t>
      </w:r>
      <w:r>
        <w:rPr>
          <w:rFonts w:ascii="SKJVQB+å®ä½" w:hAnsi="SKJVQB+å®ä½" w:cs="SKJVQB+å®ä½"/>
          <w:color w:val="222222"/>
          <w:spacing w:val="0"/>
          <w:sz w:val="21"/>
        </w:rPr>
        <w:t>号（邮政编码：</w:t>
      </w:r>
      <w:r>
        <w:rPr>
          <w:rFonts w:ascii="GGHCMB+å®ä½"/>
          <w:color w:val="222222"/>
          <w:spacing w:val="0"/>
          <w:sz w:val="21"/>
        </w:rPr>
        <w:t>200336</w:t>
      </w:r>
      <w:r>
        <w:rPr>
          <w:rFonts w:ascii="SKJVQB+å®ä½" w:hAnsi="SKJVQB+å®ä½" w:cs="SKJVQB+å®ä½"/>
          <w:color w:val="222222"/>
          <w:spacing w:val="0"/>
          <w:sz w:val="21"/>
        </w:rPr>
        <w:t>）</w:t>
      </w:r>
    </w:p>
    <w:p>
      <w:pPr>
        <w:framePr w:w="6529" w:wrap="around" w:vAnchor="margin" w:hAnchor="text" w:x="2220" w:y="807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法定代表人：彭纯</w:t>
      </w:r>
    </w:p>
    <w:p>
      <w:pPr>
        <w:framePr w:w="3084" w:wrap="around" w:vAnchor="margin" w:hAnchor="text" w:x="2220" w:y="971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成立时间：</w:t>
      </w:r>
      <w:r>
        <w:rPr>
          <w:rFonts w:ascii="GGHCMB+å®ä½"/>
          <w:color w:val="222222"/>
          <w:spacing w:val="0"/>
          <w:sz w:val="21"/>
        </w:rPr>
        <w:t>1987</w:t>
      </w:r>
      <w:r>
        <w:rPr>
          <w:rFonts w:ascii="SKJVQB+å®ä½" w:hAnsi="SKJVQB+å®ä½" w:cs="SKJVQB+å®ä½"/>
          <w:color w:val="222222"/>
          <w:spacing w:val="0"/>
          <w:sz w:val="21"/>
        </w:rPr>
        <w:t>年</w:t>
      </w:r>
      <w:r>
        <w:rPr>
          <w:rFonts w:ascii="GGHCMB+å®ä½"/>
          <w:color w:val="222222"/>
          <w:spacing w:val="0"/>
          <w:sz w:val="21"/>
        </w:rPr>
        <w:t>3</w:t>
      </w:r>
      <w:r>
        <w:rPr>
          <w:rFonts w:ascii="SKJVQB+å®ä½" w:hAnsi="SKJVQB+å®ä½" w:cs="SKJVQB+å®ä½"/>
          <w:color w:val="222222"/>
          <w:spacing w:val="0"/>
          <w:sz w:val="21"/>
        </w:rPr>
        <w:t>月</w:t>
      </w:r>
      <w:r>
        <w:rPr>
          <w:rFonts w:ascii="GGHCMB+å®ä½"/>
          <w:color w:val="222222"/>
          <w:spacing w:val="0"/>
          <w:sz w:val="21"/>
        </w:rPr>
        <w:t>30</w:t>
      </w:r>
      <w:r>
        <w:rPr>
          <w:rFonts w:ascii="SKJVQB+å®ä½" w:hAnsi="SKJVQB+å®ä½" w:cs="SKJVQB+å®ä½"/>
          <w:color w:val="222222"/>
          <w:spacing w:val="0"/>
          <w:sz w:val="21"/>
        </w:rPr>
        <w:t>日</w:t>
      </w:r>
    </w:p>
    <w:p>
      <w:pPr>
        <w:framePr w:w="9071" w:wrap="around" w:vAnchor="margin" w:hAnchor="text" w:x="2220" w:y="1011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批准设立机关及批准设立文号：国务院国发 </w:t>
      </w:r>
      <w:r>
        <w:rPr>
          <w:rFonts w:ascii="GGHCMB+å®ä½"/>
          <w:color w:val="222222"/>
          <w:spacing w:val="0"/>
          <w:sz w:val="21"/>
        </w:rPr>
        <w:t>(1986)</w:t>
      </w:r>
      <w:r>
        <w:rPr>
          <w:rFonts w:ascii="SKJVQB+å®ä½" w:hAnsi="SKJVQB+å®ä½" w:cs="SKJVQB+å®ä½"/>
          <w:color w:val="222222"/>
          <w:spacing w:val="0"/>
          <w:sz w:val="21"/>
        </w:rPr>
        <w:t xml:space="preserve">字第 </w:t>
      </w:r>
      <w:r>
        <w:rPr>
          <w:rFonts w:ascii="GGHCMB+å®ä½"/>
          <w:color w:val="222222"/>
          <w:spacing w:val="0"/>
          <w:sz w:val="21"/>
        </w:rPr>
        <w:t>81</w:t>
      </w:r>
      <w:r>
        <w:rPr>
          <w:rFonts w:ascii="SKJVQB+å®ä½" w:hAnsi="SKJVQB+å®ä½" w:cs="SKJVQB+å®ä½"/>
          <w:color w:val="222222"/>
          <w:spacing w:val="0"/>
          <w:sz w:val="21"/>
        </w:rPr>
        <w:t>号文和中国人民银行银发</w:t>
      </w:r>
    </w:p>
    <w:p>
      <w:pPr>
        <w:framePr w:w="1839" w:wrap="around" w:vAnchor="margin" w:hAnchor="text" w:x="1800" w:y="1052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1987</w:t>
      </w:r>
      <w:r>
        <w:rPr>
          <w:rFonts w:ascii="SKJVQB+å®ä½" w:hAnsi="SKJVQB+å®ä½" w:cs="SKJVQB+å®ä½"/>
          <w:color w:val="222222"/>
          <w:spacing w:val="0"/>
          <w:sz w:val="21"/>
        </w:rPr>
        <w:t>］</w:t>
      </w:r>
      <w:r>
        <w:rPr>
          <w:rFonts w:ascii="GGHCMB+å®ä½"/>
          <w:color w:val="222222"/>
          <w:spacing w:val="0"/>
          <w:sz w:val="21"/>
        </w:rPr>
        <w:t>40</w:t>
      </w:r>
      <w:r>
        <w:rPr>
          <w:rFonts w:ascii="SKJVQB+å®ä½" w:hAnsi="SKJVQB+å®ä½" w:cs="SKJVQB+å®ä½"/>
          <w:color w:val="222222"/>
          <w:spacing w:val="0"/>
          <w:sz w:val="21"/>
        </w:rPr>
        <w:t>号文</w:t>
      </w:r>
    </w:p>
    <w:p>
      <w:pPr>
        <w:framePr w:w="9553" w:wrap="around" w:vAnchor="margin" w:hAnchor="text" w:x="1800" w:y="1093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基金托管业务批准文号：中国证监会证监基字［</w:t>
      </w:r>
      <w:r>
        <w:rPr>
          <w:rFonts w:ascii="GGHCMB+å®ä½"/>
          <w:color w:val="222222"/>
          <w:spacing w:val="0"/>
          <w:sz w:val="21"/>
        </w:rPr>
        <w:t>1998</w:t>
      </w:r>
      <w:r>
        <w:rPr>
          <w:rFonts w:ascii="SKJVQB+å®ä½" w:hAnsi="SKJVQB+å®ä½" w:cs="SKJVQB+å®ä½"/>
          <w:color w:val="222222"/>
          <w:spacing w:val="0"/>
          <w:sz w:val="21"/>
        </w:rPr>
        <w:t>］</w:t>
      </w:r>
      <w:r>
        <w:rPr>
          <w:rFonts w:ascii="GGHCMB+å®ä½"/>
          <w:color w:val="222222"/>
          <w:spacing w:val="0"/>
          <w:sz w:val="21"/>
        </w:rPr>
        <w:t>25</w:t>
      </w:r>
      <w:r>
        <w:rPr>
          <w:rFonts w:ascii="SKJVQB+å®ä½" w:hAnsi="SKJVQB+å®ä½" w:cs="SKJVQB+å®ä½"/>
          <w:color w:val="222222"/>
          <w:spacing w:val="0"/>
          <w:sz w:val="21"/>
        </w:rPr>
        <w:t>号</w:t>
      </w:r>
    </w:p>
    <w:p>
      <w:pPr>
        <w:framePr w:w="9553" w:wrap="around" w:vAnchor="margin" w:hAnchor="text" w:x="1800" w:y="1093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经营范围：吸收公众存款；发放短期、中期和长期贷款；办理国内外结算；办理票据</w:t>
      </w:r>
    </w:p>
    <w:p>
      <w:pPr>
        <w:framePr w:w="9553" w:wrap="around" w:vAnchor="margin" w:hAnchor="text" w:x="1800" w:y="1093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承兑与贴现；发行金融债券；代理发行、代理兑付、承销政府债券；买卖政府债券、金融</w:t>
      </w:r>
    </w:p>
    <w:p>
      <w:pPr>
        <w:framePr w:w="9553"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债券；从事同业拆借；买卖、代理买卖外汇；从事银行卡业务；提供信用证服务及担保；</w:t>
      </w:r>
    </w:p>
    <w:p>
      <w:pPr>
        <w:framePr w:w="9553"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代理收付款项业务；提供保管箱服务；经国务院银行业监督管理机构批准的其他业务；经</w:t>
      </w:r>
    </w:p>
    <w:p>
      <w:pPr>
        <w:framePr w:w="9553" w:wrap="around" w:vAnchor="margin" w:hAnchor="text" w:x="1800" w:y="1093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营结汇、售汇业务。</w:t>
      </w:r>
    </w:p>
    <w:p>
      <w:pPr>
        <w:framePr w:w="3202" w:wrap="around" w:vAnchor="margin" w:hAnchor="text" w:x="2220" w:y="133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注册资本：</w:t>
      </w:r>
      <w:r>
        <w:rPr>
          <w:rFonts w:ascii="GGHCMB+å®ä½"/>
          <w:color w:val="222222"/>
          <w:spacing w:val="0"/>
          <w:sz w:val="21"/>
        </w:rPr>
        <w:t>742.62</w:t>
      </w:r>
      <w:r>
        <w:rPr>
          <w:rFonts w:ascii="SKJVQB+å®ä½" w:hAnsi="SKJVQB+å®ä½" w:cs="SKJVQB+å®ä½"/>
          <w:color w:val="222222"/>
          <w:spacing w:val="0"/>
          <w:sz w:val="21"/>
        </w:rPr>
        <w:t>亿元人民币</w:t>
      </w:r>
    </w:p>
    <w:p>
      <w:pPr>
        <w:framePr w:w="2661" w:wrap="around" w:vAnchor="margin" w:hAnchor="text" w:x="2220" w:y="1379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组织形式：股份有限公司</w:t>
      </w:r>
    </w:p>
    <w:p>
      <w:pPr>
        <w:framePr w:w="2209" w:wrap="around" w:vAnchor="margin" w:hAnchor="text" w:x="2220" w:y="1420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存续期间：持续经营</w:t>
      </w:r>
    </w:p>
    <w:p>
      <w:pPr>
        <w:framePr w:w="5076" w:wrap="around" w:vAnchor="margin" w:hAnchor="text" w:x="2220" w:y="150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二、基金托管人对基金管理人的业务监督和核查</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175</w:t>
      </w:r>
    </w:p>
    <w:p>
      <w:pPr>
        <w:spacing w:before="0" w:after="0" w:line="0" w:lineRule="exact"/>
        <w:ind w:left="0" w:right="0"/>
        <w:jc w:val="left"/>
        <w:rPr>
          <w:rFonts w:ascii="Arial"/>
          <w:color w:val="FF0000"/>
          <w:spacing w:val="0"/>
          <w:sz w:val="2"/>
        </w:rPr>
      </w:pPr>
      <w:r>
        <w:pict>
          <v:shape id="_x0000376" o:spid="_x0000_s140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1" o:title=""/>
            <o:lock v:ext="edit" aspectratio="t"/>
          </v:shape>
        </w:pict>
      </w:r>
      <w:r>
        <w:pict>
          <v:shape id="_x0000377" o:spid="_x0000_s1403" o:spt="75" type="#_x0000_t75" style="position:absolute;left:0pt;margin-left:88.6pt;margin-top:71.1pt;height:699pt;width:418.3pt;mso-position-horizontal-relative:page;mso-position-vertical-relative:page;z-index:-2048;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802"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（一）基金托管人对基金管理人的投资行为行使监督权</w:t>
      </w:r>
    </w:p>
    <w:p>
      <w:pPr>
        <w:framePr w:w="9556" w:wrap="around" w:vAnchor="margin" w:hAnchor="text" w:x="1800" w:y="186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）基金托管人根据有关法律法规的规定及《基金合同》和本协议的约定，对基金的</w:t>
      </w:r>
    </w:p>
    <w:p>
      <w:pPr>
        <w:framePr w:w="9556"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投资范围、投资对象进行监督。</w:t>
      </w:r>
    </w:p>
    <w:p>
      <w:pPr>
        <w:framePr w:w="9798"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本基金主要投资于国内依法发行和上市交易的国债、央行票据、金融债券、企业债券、</w:t>
      </w:r>
    </w:p>
    <w:p>
      <w:pPr>
        <w:framePr w:w="9798"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公司债券、中期票据、短期融资券、超短期融资券、次级债券、政府机构债、地方政府债、</w:t>
      </w:r>
    </w:p>
    <w:p>
      <w:pPr>
        <w:framePr w:w="9798"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资产支持证券、信贷资产支持证券、可交换债券、减记债券、中小企业私募债券、可转换</w:t>
      </w:r>
    </w:p>
    <w:p>
      <w:pPr>
        <w:framePr w:w="9798"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债券（含分离交易可转债）、债券回购、银行存款（包括协议存款、定期存款及其他银行存</w:t>
      </w:r>
    </w:p>
    <w:p>
      <w:pPr>
        <w:framePr w:w="9798" w:wrap="around" w:vAnchor="margin" w:hAnchor="text" w:x="1800" w:y="267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款）、货币市场工具、国债期货以及经中国证监会允许基金投资的其他金融工具，但需符合</w:t>
      </w:r>
    </w:p>
    <w:p>
      <w:pPr>
        <w:framePr w:w="9798" w:wrap="around" w:vAnchor="margin" w:hAnchor="text" w:x="1800" w:y="2678"/>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中国证监会的相关规定。</w:t>
      </w:r>
    </w:p>
    <w:p>
      <w:pPr>
        <w:framePr w:w="9560"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。其中，投资于信用债券和可转</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换债券的比例合计不低于债券资产的 </w:t>
      </w:r>
      <w:r>
        <w:rPr>
          <w:rFonts w:ascii="GGHCMB+å®ä½"/>
          <w:color w:val="222222"/>
          <w:spacing w:val="0"/>
          <w:sz w:val="21"/>
        </w:rPr>
        <w:t>80%</w:t>
      </w:r>
      <w:r>
        <w:rPr>
          <w:rFonts w:ascii="SKJVQB+å®ä½" w:hAnsi="SKJVQB+å®ä½" w:cs="SKJVQB+å®ä½"/>
          <w:color w:val="222222"/>
          <w:spacing w:val="0"/>
          <w:sz w:val="21"/>
        </w:rPr>
        <w:t>。每个交易日日终在扣除期货合约需缴纳的交易</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保证金后，现金或到期日在一年以内的政府债券的投资比例不低于基金资产净值的</w:t>
      </w:r>
      <w:r>
        <w:rPr>
          <w:rFonts w:ascii="GGHCMB+å®ä½"/>
          <w:color w:val="222222"/>
          <w:spacing w:val="0"/>
          <w:sz w:val="21"/>
        </w:rPr>
        <w:t>5</w:t>
      </w:r>
      <w:r>
        <w:rPr>
          <w:rFonts w:ascii="SKJVQB+å®ä½" w:hAnsi="SKJVQB+å®ä½" w:cs="SKJVQB+å®ä½"/>
          <w:color w:val="222222"/>
          <w:spacing w:val="0"/>
          <w:sz w:val="21"/>
        </w:rPr>
        <w:t>％。</w:t>
      </w:r>
    </w:p>
    <w:p>
      <w:pPr>
        <w:framePr w:w="9560" w:wrap="around" w:vAnchor="margin" w:hAnchor="text" w:x="1800" w:y="5129"/>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本基金不直接投资股票、权证等权益类资产，但可持有因可转换债券转股所形成的股</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票、因可交换债券换股所形成的股票、因所持股票所派发的权证以及因投资可分离债券而</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产生的权证等。因上述原因持有的股票和权证等资产，本基金将在其可交易之日起 </w:t>
      </w:r>
      <w:r>
        <w:rPr>
          <w:rFonts w:ascii="GGHCMB+å®ä½"/>
          <w:color w:val="222222"/>
          <w:spacing w:val="0"/>
          <w:sz w:val="21"/>
        </w:rPr>
        <w:t>10</w:t>
      </w:r>
      <w:r>
        <w:rPr>
          <w:rFonts w:ascii="SKJVQB+å®ä½" w:hAnsi="SKJVQB+å®ä½" w:cs="SKJVQB+å®ä½"/>
          <w:color w:val="222222"/>
          <w:spacing w:val="0"/>
          <w:sz w:val="21"/>
        </w:rPr>
        <w:t>个交</w:t>
      </w:r>
    </w:p>
    <w:p>
      <w:pPr>
        <w:framePr w:w="9560"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易日内卖出。</w:t>
      </w:r>
    </w:p>
    <w:p>
      <w:pPr>
        <w:framePr w:w="9799"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本基金所指信用债包括但不限于金融债券、企业债券、公司债券、中期票据、短期融</w:t>
      </w:r>
    </w:p>
    <w:p>
      <w:pPr>
        <w:framePr w:w="9799"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资券、超短期融资券、次级债券、政府机构债券、地方政府债券、资产支持证券、信贷资</w:t>
      </w:r>
    </w:p>
    <w:p>
      <w:pPr>
        <w:framePr w:w="9799"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产支持证券、可交换债券、减记债券、中小企业私募债券、可转换债券（含分离交易可转债）</w:t>
      </w:r>
    </w:p>
    <w:p>
      <w:pPr>
        <w:framePr w:w="9799"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以及法律法规或中国证监会允许基金投资的其他信用债。</w:t>
      </w:r>
    </w:p>
    <w:p>
      <w:pPr>
        <w:framePr w:w="9552" w:wrap="around" w:vAnchor="margin" w:hAnchor="text" w:x="1800" w:y="962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如法律法规或监管机构以后允许基金投资其他品种，基金管理人在履行适当程序后，</w:t>
      </w:r>
    </w:p>
    <w:p>
      <w:pPr>
        <w:framePr w:w="9552" w:wrap="around" w:vAnchor="margin" w:hAnchor="text" w:x="180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可以将其纳入投资范围。</w:t>
      </w:r>
    </w:p>
    <w:p>
      <w:pPr>
        <w:framePr w:w="9556"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基金托管人对基金管理人业务进行监督和核查的义务自基金合同生效日起开始履行。</w:t>
      </w:r>
    </w:p>
    <w:p>
      <w:pPr>
        <w:framePr w:w="9556" w:wrap="around" w:vAnchor="margin" w:hAnchor="text" w:x="1800" w:y="10441"/>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）基金托管人根据有关法律法规的规定及《基金合同》和本协议的约定，对基金投</w:t>
      </w:r>
    </w:p>
    <w:p>
      <w:pPr>
        <w:framePr w:w="9556"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资、融资比例进行监督。</w:t>
      </w:r>
    </w:p>
    <w:p>
      <w:pPr>
        <w:framePr w:w="7011" w:wrap="around" w:vAnchor="margin" w:hAnchor="text" w:x="2220" w:y="1166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根据《基金合同》的约定，本基金投资组合比例应符合以下规定：</w:t>
      </w:r>
    </w:p>
    <w:p>
      <w:pPr>
        <w:framePr w:w="9794" w:wrap="around" w:vAnchor="margin" w:hAnchor="text" w:x="1800" w:y="1207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 xml:space="preserve">本基金投资于债券资产的比例不低于基金资产的  </w:t>
      </w:r>
      <w:r>
        <w:rPr>
          <w:rFonts w:ascii="GGHCMB+å®ä½"/>
          <w:color w:val="222222"/>
          <w:spacing w:val="0"/>
          <w:sz w:val="21"/>
        </w:rPr>
        <w:t>80%</w:t>
      </w:r>
      <w:r>
        <w:rPr>
          <w:rFonts w:ascii="SKJVQB+å®ä½" w:hAnsi="SKJVQB+å®ä½" w:cs="SKJVQB+å®ä½"/>
          <w:color w:val="222222"/>
          <w:spacing w:val="0"/>
          <w:sz w:val="21"/>
        </w:rPr>
        <w:t>。其中，投资于信用债券和可</w:t>
      </w:r>
    </w:p>
    <w:p>
      <w:pPr>
        <w:framePr w:w="9794"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转换债券的比例合计不低于债券资产的 </w:t>
      </w:r>
      <w:r>
        <w:rPr>
          <w:rFonts w:ascii="GGHCMB+å®ä½"/>
          <w:color w:val="222222"/>
          <w:spacing w:val="0"/>
          <w:sz w:val="21"/>
        </w:rPr>
        <w:t>80%</w:t>
      </w:r>
      <w:r>
        <w:rPr>
          <w:rFonts w:ascii="SKJVQB+å®ä½" w:hAnsi="SKJVQB+å®ä½" w:cs="SKJVQB+å®ä½"/>
          <w:color w:val="222222"/>
          <w:spacing w:val="0"/>
          <w:sz w:val="21"/>
        </w:rPr>
        <w:t>。本基金不直接投资股票、权证等权益类资产，</w:t>
      </w:r>
    </w:p>
    <w:p>
      <w:pPr>
        <w:framePr w:w="9794"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但可持有因可转换债券转股所形成的股票、因可交换债券换股所形成的股票、因所持股票</w:t>
      </w:r>
    </w:p>
    <w:p>
      <w:pPr>
        <w:framePr w:w="9794"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所派发的权证以及因投资可分离债券而产生的权证等。因上述原因持有的股票和权证等资</w:t>
      </w:r>
    </w:p>
    <w:p>
      <w:pPr>
        <w:framePr w:w="9794"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产，本基金将在其可交易之日起</w:t>
      </w:r>
      <w:r>
        <w:rPr>
          <w:rFonts w:ascii="GGHCMB+å®ä½"/>
          <w:color w:val="222222"/>
          <w:spacing w:val="0"/>
          <w:sz w:val="21"/>
        </w:rPr>
        <w:t>10</w:t>
      </w:r>
      <w:r>
        <w:rPr>
          <w:rFonts w:ascii="SKJVQB+å®ä½" w:hAnsi="SKJVQB+å®ä½" w:cs="SKJVQB+å®ä½"/>
          <w:color w:val="222222"/>
          <w:spacing w:val="0"/>
          <w:sz w:val="21"/>
        </w:rPr>
        <w:t>个交易日内卖出；</w:t>
      </w:r>
    </w:p>
    <w:p>
      <w:pPr>
        <w:framePr w:w="9555" w:wrap="around" w:vAnchor="margin" w:hAnchor="text" w:x="1800" w:y="1411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每个交易日日终在扣除期货合约需缴纳的交易保证金后，现金或到期日在一年以内</w:t>
      </w:r>
    </w:p>
    <w:p>
      <w:pPr>
        <w:framePr w:w="9555"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的政府债券的投资比例不低于基金资产净值的  </w:t>
      </w:r>
      <w:r>
        <w:rPr>
          <w:rFonts w:ascii="GGHCMB+å®ä½"/>
          <w:color w:val="222222"/>
          <w:spacing w:val="0"/>
          <w:sz w:val="21"/>
        </w:rPr>
        <w:t>5</w:t>
      </w:r>
      <w:r>
        <w:rPr>
          <w:rFonts w:ascii="SKJVQB+å®ä½" w:hAnsi="SKJVQB+å®ä½" w:cs="SKJVQB+å®ä½"/>
          <w:color w:val="222222"/>
          <w:spacing w:val="0"/>
          <w:sz w:val="21"/>
        </w:rPr>
        <w:t>％，其中现金不包括结算备付金、存出保</w:t>
      </w:r>
    </w:p>
    <w:p>
      <w:pPr>
        <w:framePr w:w="9555"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证金、应收申购款等；</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176</w:t>
      </w:r>
    </w:p>
    <w:p>
      <w:pPr>
        <w:spacing w:before="0" w:after="0" w:line="0" w:lineRule="exact"/>
        <w:ind w:left="0" w:right="0"/>
        <w:jc w:val="left"/>
        <w:rPr>
          <w:rFonts w:ascii="Arial"/>
          <w:color w:val="FF0000"/>
          <w:spacing w:val="0"/>
          <w:sz w:val="2"/>
        </w:rPr>
      </w:pPr>
      <w:r>
        <w:pict>
          <v:shape id="_x0000378" o:spid="_x0000_s140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79" o:spid="_x0000_s1405"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070"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本基金管理人管理的全部基金持有一家公司发行的证券，不超过该证券的</w:t>
      </w:r>
      <w:r>
        <w:rPr>
          <w:rFonts w:ascii="GGHCMB+å®ä½"/>
          <w:color w:val="222222"/>
          <w:spacing w:val="0"/>
          <w:sz w:val="21"/>
        </w:rPr>
        <w:t>10%</w:t>
      </w:r>
      <w:r>
        <w:rPr>
          <w:rFonts w:ascii="SKJVQB+å®ä½" w:hAnsi="SKJVQB+å®ä½" w:cs="SKJVQB+å®ä½"/>
          <w:color w:val="222222"/>
          <w:spacing w:val="0"/>
          <w:sz w:val="21"/>
        </w:rPr>
        <w:t>；</w:t>
      </w:r>
    </w:p>
    <w:p>
      <w:pPr>
        <w:framePr w:w="9070" w:wrap="around" w:vAnchor="margin" w:hAnchor="text" w:x="222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本基金持有一家公司发行的证券，其市值不超过基金资产净值的</w:t>
      </w:r>
      <w:r>
        <w:rPr>
          <w:rFonts w:ascii="GGHCMB+å®ä½"/>
          <w:color w:val="222222"/>
          <w:spacing w:val="0"/>
          <w:sz w:val="21"/>
        </w:rPr>
        <w:t>10%</w:t>
      </w:r>
      <w:r>
        <w:rPr>
          <w:rFonts w:ascii="SKJVQB+å®ä½" w:hAnsi="SKJVQB+å®ä½" w:cs="SKJVQB+å®ä½"/>
          <w:color w:val="222222"/>
          <w:spacing w:val="0"/>
          <w:sz w:val="21"/>
        </w:rPr>
        <w:t>；</w:t>
      </w:r>
    </w:p>
    <w:p>
      <w:pPr>
        <w:framePr w:w="9070" w:wrap="around" w:vAnchor="margin" w:hAnchor="text" w:x="222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本基金投资于同一原始权益人的各类资产支持证券的比例，不得超过基金资产净值</w:t>
      </w:r>
    </w:p>
    <w:p>
      <w:pPr>
        <w:framePr w:w="1210" w:wrap="around" w:vAnchor="margin" w:hAnchor="text" w:x="180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w:t>
      </w:r>
      <w:r>
        <w:rPr>
          <w:rFonts w:ascii="GGHCMB+å®ä½"/>
          <w:color w:val="222222"/>
          <w:spacing w:val="0"/>
          <w:sz w:val="21"/>
        </w:rPr>
        <w:t>10</w:t>
      </w:r>
      <w:r>
        <w:rPr>
          <w:rFonts w:ascii="SKJVQB+å®ä½" w:hAnsi="SKJVQB+å®ä½" w:cs="SKJVQB+å®ä½"/>
          <w:color w:val="222222"/>
          <w:spacing w:val="0"/>
          <w:sz w:val="21"/>
        </w:rPr>
        <w:t>％；</w:t>
      </w:r>
    </w:p>
    <w:p>
      <w:pPr>
        <w:framePr w:w="8036" w:wrap="around" w:vAnchor="margin" w:hAnchor="text" w:x="2220" w:y="30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本基金持有的全部资产支持证券，其市值不得超过基金资产净值的</w:t>
      </w:r>
      <w:r>
        <w:rPr>
          <w:rFonts w:ascii="GGHCMB+å®ä½"/>
          <w:color w:val="222222"/>
          <w:spacing w:val="0"/>
          <w:sz w:val="21"/>
        </w:rPr>
        <w:t>20</w:t>
      </w:r>
      <w:r>
        <w:rPr>
          <w:rFonts w:ascii="SKJVQB+å®ä½" w:hAnsi="SKJVQB+å®ä½" w:cs="SKJVQB+å®ä½"/>
          <w:color w:val="222222"/>
          <w:spacing w:val="0"/>
          <w:sz w:val="21"/>
        </w:rPr>
        <w:t>％；</w:t>
      </w:r>
    </w:p>
    <w:p>
      <w:pPr>
        <w:framePr w:w="9068" w:wrap="around" w:vAnchor="margin" w:hAnchor="text" w:x="2220" w:y="34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本基金持有的同一</w:t>
      </w:r>
      <w:r>
        <w:rPr>
          <w:rFonts w:ascii="GGHCMB+å®ä½"/>
          <w:color w:val="222222"/>
          <w:spacing w:val="0"/>
          <w:sz w:val="21"/>
        </w:rPr>
        <w:t>(</w:t>
      </w:r>
      <w:r>
        <w:rPr>
          <w:rFonts w:ascii="SKJVQB+å®ä½" w:hAnsi="SKJVQB+å®ä½" w:cs="SKJVQB+å®ä½"/>
          <w:color w:val="222222"/>
          <w:spacing w:val="0"/>
          <w:sz w:val="21"/>
        </w:rPr>
        <w:t>指同一信用级别</w:t>
      </w:r>
      <w:r>
        <w:rPr>
          <w:rFonts w:ascii="GGHCMB+å®ä½"/>
          <w:color w:val="222222"/>
          <w:spacing w:val="0"/>
          <w:sz w:val="21"/>
        </w:rPr>
        <w:t>)</w:t>
      </w:r>
      <w:r>
        <w:rPr>
          <w:rFonts w:ascii="SKJVQB+å®ä½" w:hAnsi="SKJVQB+å®ä½" w:cs="SKJVQB+å®ä½"/>
          <w:color w:val="222222"/>
          <w:spacing w:val="0"/>
          <w:sz w:val="21"/>
        </w:rPr>
        <w:t>资产支持证券的比例，不得超过该资产支持证</w:t>
      </w:r>
    </w:p>
    <w:p>
      <w:pPr>
        <w:framePr w:w="1839" w:wrap="around" w:vAnchor="margin" w:hAnchor="text" w:x="1800" w:y="390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券规模的</w:t>
      </w:r>
      <w:r>
        <w:rPr>
          <w:rFonts w:ascii="GGHCMB+å®ä½"/>
          <w:color w:val="222222"/>
          <w:spacing w:val="0"/>
          <w:sz w:val="21"/>
        </w:rPr>
        <w:t>10</w:t>
      </w:r>
      <w:r>
        <w:rPr>
          <w:rFonts w:ascii="SKJVQB+å®ä½" w:hAnsi="SKJVQB+å®ä½" w:cs="SKJVQB+å®ä½"/>
          <w:color w:val="222222"/>
          <w:spacing w:val="0"/>
          <w:sz w:val="21"/>
        </w:rPr>
        <w:t>％；</w:t>
      </w:r>
    </w:p>
    <w:p>
      <w:pPr>
        <w:framePr w:w="9553" w:wrap="around" w:vAnchor="margin" w:hAnchor="text" w:x="1800" w:y="431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本基金管理人管理的全部基金投资于同一原始权益人的各类资产支持证券，不得超</w:t>
      </w:r>
    </w:p>
    <w:p>
      <w:pPr>
        <w:framePr w:w="9553" w:wrap="around" w:vAnchor="margin" w:hAnchor="text" w:x="1800" w:y="431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过其各类资产支持证券合计规模的</w:t>
      </w:r>
      <w:r>
        <w:rPr>
          <w:rFonts w:ascii="GGHCMB+å®ä½"/>
          <w:color w:val="222222"/>
          <w:spacing w:val="0"/>
          <w:sz w:val="21"/>
        </w:rPr>
        <w:t>10</w:t>
      </w:r>
      <w:r>
        <w:rPr>
          <w:rFonts w:ascii="SKJVQB+å®ä½" w:hAnsi="SKJVQB+å®ä½" w:cs="SKJVQB+å®ä½"/>
          <w:color w:val="222222"/>
          <w:spacing w:val="0"/>
          <w:sz w:val="21"/>
        </w:rPr>
        <w:t>％；</w:t>
      </w:r>
    </w:p>
    <w:p>
      <w:pPr>
        <w:framePr w:w="9559"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9.</w:t>
      </w:r>
      <w:r>
        <w:rPr>
          <w:rFonts w:ascii="SKJVQB+å®ä½" w:hAnsi="SKJVQB+å®ä½" w:cs="SKJVQB+å®ä½"/>
          <w:color w:val="222222"/>
          <w:spacing w:val="0"/>
          <w:sz w:val="21"/>
        </w:rPr>
        <w:t>本基金应投资于信用级别评级为</w:t>
      </w:r>
      <w:r>
        <w:rPr>
          <w:rFonts w:ascii="GGHCMB+å®ä½"/>
          <w:color w:val="222222"/>
          <w:spacing w:val="0"/>
          <w:sz w:val="21"/>
        </w:rPr>
        <w:t>BBB</w:t>
      </w:r>
      <w:r>
        <w:rPr>
          <w:rFonts w:ascii="SKJVQB+å®ä½" w:hAnsi="SKJVQB+å®ä½" w:cs="SKJVQB+å®ä½"/>
          <w:color w:val="222222"/>
          <w:spacing w:val="0"/>
          <w:sz w:val="21"/>
        </w:rPr>
        <w:t>以上</w:t>
      </w:r>
      <w:r>
        <w:rPr>
          <w:rFonts w:ascii="GGHCMB+å®ä½"/>
          <w:color w:val="222222"/>
          <w:spacing w:val="0"/>
          <w:sz w:val="21"/>
        </w:rPr>
        <w:t>(</w:t>
      </w:r>
      <w:r>
        <w:rPr>
          <w:rFonts w:ascii="SKJVQB+å®ä½" w:hAnsi="SKJVQB+å®ä½" w:cs="SKJVQB+å®ä½"/>
          <w:color w:val="222222"/>
          <w:spacing w:val="0"/>
          <w:sz w:val="21"/>
        </w:rPr>
        <w:t>含</w:t>
      </w:r>
      <w:r>
        <w:rPr>
          <w:rFonts w:ascii="GGHCMB+å®ä½"/>
          <w:color w:val="222222"/>
          <w:spacing w:val="0"/>
          <w:sz w:val="21"/>
        </w:rPr>
        <w:t>BBB)</w:t>
      </w:r>
      <w:r>
        <w:rPr>
          <w:rFonts w:ascii="SKJVQB+å®ä½" w:hAnsi="SKJVQB+å®ä½" w:cs="SKJVQB+å®ä½"/>
          <w:color w:val="222222"/>
          <w:spacing w:val="0"/>
          <w:sz w:val="21"/>
        </w:rPr>
        <w:t>的资产支持证券。基金持有资产支</w:t>
      </w:r>
    </w:p>
    <w:p>
      <w:pPr>
        <w:framePr w:w="9559"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持证券期间，如果其信用等级下降、不再符合投资标准，应在评级报告发布之日起 </w:t>
      </w:r>
      <w:r>
        <w:rPr>
          <w:rFonts w:ascii="GGHCMB+å®ä½"/>
          <w:color w:val="222222"/>
          <w:spacing w:val="0"/>
          <w:sz w:val="21"/>
        </w:rPr>
        <w:t>3</w:t>
      </w:r>
      <w:r>
        <w:rPr>
          <w:rFonts w:ascii="SKJVQB+å®ä½" w:hAnsi="SKJVQB+å®ä½" w:cs="SKJVQB+å®ä½"/>
          <w:color w:val="222222"/>
          <w:spacing w:val="0"/>
          <w:sz w:val="21"/>
        </w:rPr>
        <w:t>个月</w:t>
      </w:r>
    </w:p>
    <w:p>
      <w:pPr>
        <w:framePr w:w="9559"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内予以全部卖出。</w:t>
      </w:r>
    </w:p>
    <w:p>
      <w:pPr>
        <w:framePr w:w="9556"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10.</w:t>
      </w:r>
      <w:r>
        <w:rPr>
          <w:rFonts w:ascii="SKJVQB+å®ä½" w:hAnsi="SKJVQB+å®ä½" w:cs="SKJVQB+å®ä½"/>
          <w:color w:val="222222"/>
          <w:spacing w:val="0"/>
          <w:sz w:val="21"/>
        </w:rPr>
        <w:t>本基金进入全国银行间同业市场进行债券回购的资金余额不得超过基金资产净值的</w:t>
      </w:r>
    </w:p>
    <w:p>
      <w:pPr>
        <w:framePr w:w="9556" w:wrap="around" w:vAnchor="margin" w:hAnchor="text" w:x="1800" w:y="6355"/>
        <w:widowControl w:val="0"/>
        <w:autoSpaceDE w:val="0"/>
        <w:autoSpaceDN w:val="0"/>
        <w:spacing w:before="0" w:after="0" w:line="408" w:lineRule="exact"/>
        <w:ind w:left="0" w:right="0"/>
        <w:jc w:val="left"/>
        <w:rPr>
          <w:rFonts w:ascii="GGHCMB+å®ä½"/>
          <w:color w:val="222222"/>
          <w:spacing w:val="0"/>
          <w:sz w:val="21"/>
        </w:rPr>
      </w:pPr>
      <w:r>
        <w:rPr>
          <w:rFonts w:ascii="GGHCMB+å®ä½"/>
          <w:color w:val="222222"/>
          <w:spacing w:val="0"/>
          <w:sz w:val="21"/>
        </w:rPr>
        <w:t>40%</w:t>
      </w:r>
    </w:p>
    <w:p>
      <w:pPr>
        <w:framePr w:w="4530" w:wrap="around" w:vAnchor="margin" w:hAnchor="text" w:x="2220" w:y="717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11.</w:t>
      </w:r>
      <w:r>
        <w:rPr>
          <w:rFonts w:ascii="SKJVQB+å®ä½" w:hAnsi="SKJVQB+å®ä½" w:cs="SKJVQB+å®ä½"/>
          <w:color w:val="222222"/>
          <w:spacing w:val="0"/>
          <w:sz w:val="21"/>
        </w:rPr>
        <w:t>基金总资产不超过基金净资产的</w:t>
      </w:r>
      <w:r>
        <w:rPr>
          <w:rFonts w:ascii="GGHCMB+å®ä½"/>
          <w:color w:val="222222"/>
          <w:spacing w:val="0"/>
          <w:sz w:val="21"/>
        </w:rPr>
        <w:t>140%</w:t>
      </w:r>
      <w:r>
        <w:rPr>
          <w:rFonts w:ascii="SKJVQB+å®ä½" w:hAnsi="SKJVQB+å®ä½" w:cs="SKJVQB+å®ä½"/>
          <w:color w:val="222222"/>
          <w:spacing w:val="0"/>
          <w:sz w:val="21"/>
        </w:rPr>
        <w:t>；</w:t>
      </w:r>
    </w:p>
    <w:p>
      <w:pPr>
        <w:framePr w:w="9560" w:wrap="around" w:vAnchor="margin" w:hAnchor="text" w:x="1800" w:y="75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12.</w:t>
      </w:r>
      <w:r>
        <w:rPr>
          <w:rFonts w:ascii="SKJVQB+å®ä½" w:hAnsi="SKJVQB+å®ä½" w:cs="SKJVQB+å®ä½"/>
          <w:color w:val="222222"/>
          <w:spacing w:val="0"/>
          <w:sz w:val="21"/>
        </w:rPr>
        <w:t>本基金持有单只中小企业私募债券，其市值不得超过该基金资产净值的</w:t>
      </w:r>
      <w:r>
        <w:rPr>
          <w:rFonts w:ascii="GGHCMB+å®ä½"/>
          <w:color w:val="222222"/>
          <w:spacing w:val="0"/>
          <w:sz w:val="21"/>
        </w:rPr>
        <w:t>10</w:t>
      </w:r>
      <w:r>
        <w:rPr>
          <w:rFonts w:ascii="SKJVQB+å®ä½" w:hAnsi="SKJVQB+å®ä½" w:cs="SKJVQB+å®ä½"/>
          <w:color w:val="222222"/>
          <w:spacing w:val="0"/>
          <w:sz w:val="21"/>
        </w:rPr>
        <w:t>％；</w:t>
      </w:r>
    </w:p>
    <w:p>
      <w:pPr>
        <w:framePr w:w="9560" w:wrap="around" w:vAnchor="margin" w:hAnchor="text" w:x="1800" w:y="7580"/>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13.</w:t>
      </w:r>
      <w:r>
        <w:rPr>
          <w:rFonts w:ascii="SKJVQB+å®ä½" w:hAnsi="SKJVQB+å®ä½" w:cs="SKJVQB+å®ä½"/>
          <w:color w:val="222222"/>
          <w:spacing w:val="0"/>
          <w:sz w:val="21"/>
        </w:rPr>
        <w:t xml:space="preserve">在任何交易日日终，持有的买入期货合约价值，不得超过基金资产净值的 </w:t>
      </w:r>
      <w:r>
        <w:rPr>
          <w:rFonts w:ascii="GGHCMB+å®ä½"/>
          <w:color w:val="222222"/>
          <w:spacing w:val="0"/>
          <w:sz w:val="21"/>
        </w:rPr>
        <w:t>15%</w:t>
      </w:r>
      <w:r>
        <w:rPr>
          <w:rFonts w:ascii="SKJVQB+å®ä½" w:hAnsi="SKJVQB+å®ä½" w:cs="SKJVQB+å®ä½"/>
          <w:color w:val="222222"/>
          <w:spacing w:val="0"/>
          <w:sz w:val="21"/>
        </w:rPr>
        <w:t>；在</w:t>
      </w:r>
    </w:p>
    <w:p>
      <w:pPr>
        <w:framePr w:w="9560" w:wrap="around" w:vAnchor="margin" w:hAnchor="text" w:x="1800" w:y="7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任何交易日日终，持有的卖出期货合约价值不得超过基金持有的债券总市值的  </w:t>
      </w:r>
      <w:r>
        <w:rPr>
          <w:rFonts w:ascii="GGHCMB+å®ä½"/>
          <w:color w:val="222222"/>
          <w:spacing w:val="0"/>
          <w:sz w:val="21"/>
        </w:rPr>
        <w:t>30%</w:t>
      </w:r>
      <w:r>
        <w:rPr>
          <w:rFonts w:ascii="SKJVQB+å®ä½" w:hAnsi="SKJVQB+å®ä½" w:cs="SKJVQB+å®ä½"/>
          <w:color w:val="222222"/>
          <w:spacing w:val="0"/>
          <w:sz w:val="21"/>
        </w:rPr>
        <w:t>；本基</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金所持有的债券（不含到期日在一年以内的政府债券）市值和买入、卖出期货合约价值，合</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计（轧差计算）不低于基金资产的</w:t>
      </w:r>
      <w:r>
        <w:rPr>
          <w:rFonts w:ascii="GGHCMB+å®ä½"/>
          <w:color w:val="222222"/>
          <w:spacing w:val="0"/>
          <w:sz w:val="21"/>
        </w:rPr>
        <w:t>80%</w:t>
      </w:r>
      <w:r>
        <w:rPr>
          <w:rFonts w:ascii="SKJVQB+å®ä½" w:hAnsi="SKJVQB+å®ä½" w:cs="SKJVQB+å®ä½"/>
          <w:color w:val="222222"/>
          <w:spacing w:val="0"/>
          <w:sz w:val="21"/>
        </w:rPr>
        <w:t>；在任何交易日内交易（不包括平仓）的期货合约的</w:t>
      </w:r>
    </w:p>
    <w:p>
      <w:pPr>
        <w:framePr w:w="9560"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成交金额不得超过上一交易日基金资产净值的</w:t>
      </w:r>
      <w:r>
        <w:rPr>
          <w:rFonts w:ascii="GGHCMB+å®ä½"/>
          <w:color w:val="222222"/>
          <w:spacing w:val="0"/>
          <w:sz w:val="21"/>
        </w:rPr>
        <w:t>30%</w:t>
      </w:r>
      <w:r>
        <w:rPr>
          <w:rFonts w:ascii="SKJVQB+å®ä½" w:hAnsi="SKJVQB+å®ä½" w:cs="SKJVQB+å®ä½"/>
          <w:color w:val="222222"/>
          <w:spacing w:val="0"/>
          <w:sz w:val="21"/>
        </w:rPr>
        <w:t>；</w:t>
      </w:r>
    </w:p>
    <w:p>
      <w:pPr>
        <w:framePr w:w="9560"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14.</w:t>
      </w:r>
      <w:r>
        <w:rPr>
          <w:rFonts w:ascii="SKJVQB+å®ä½" w:hAnsi="SKJVQB+å®ä½" w:cs="SKJVQB+å®ä½"/>
          <w:color w:val="222222"/>
          <w:spacing w:val="0"/>
          <w:sz w:val="21"/>
        </w:rPr>
        <w:t>本基金管理人管理的全部开放式基金（包括开放式基金以及处于开放期的定期开放</w:t>
      </w:r>
    </w:p>
    <w:p>
      <w:pPr>
        <w:framePr w:w="9560"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基金）持有一家上市公司发行的可流通股票，不得超过该上市公司可流通股票的</w:t>
      </w:r>
      <w:r>
        <w:rPr>
          <w:rFonts w:ascii="GGHCMB+å®ä½"/>
          <w:color w:val="222222"/>
          <w:spacing w:val="0"/>
          <w:sz w:val="21"/>
        </w:rPr>
        <w:t>15%</w:t>
      </w:r>
      <w:r>
        <w:rPr>
          <w:rFonts w:ascii="SKJVQB+å®ä½" w:hAnsi="SKJVQB+å®ä½" w:cs="SKJVQB+å®ä½"/>
          <w:color w:val="222222"/>
          <w:spacing w:val="0"/>
          <w:sz w:val="21"/>
        </w:rPr>
        <w:t>；本基</w:t>
      </w:r>
    </w:p>
    <w:p>
      <w:pPr>
        <w:framePr w:w="9560" w:wrap="around" w:vAnchor="margin" w:hAnchor="text" w:x="1800" w:y="10033"/>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金管理人管理的全部投资组合持有一家上市公司发行的可流通股票，不得超过该上市公司</w:t>
      </w:r>
    </w:p>
    <w:p>
      <w:pPr>
        <w:framePr w:w="9560"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可流通股票的</w:t>
      </w:r>
      <w:r>
        <w:rPr>
          <w:rFonts w:ascii="GGHCMB+å®ä½"/>
          <w:color w:val="222222"/>
          <w:spacing w:val="0"/>
          <w:sz w:val="21"/>
        </w:rPr>
        <w:t>30%</w:t>
      </w:r>
      <w:r>
        <w:rPr>
          <w:rFonts w:ascii="SKJVQB+å®ä½" w:hAnsi="SKJVQB+å®ä½" w:cs="SKJVQB+å®ä½"/>
          <w:color w:val="222222"/>
          <w:spacing w:val="0"/>
          <w:sz w:val="21"/>
        </w:rPr>
        <w:t>；</w:t>
      </w:r>
    </w:p>
    <w:p>
      <w:pPr>
        <w:framePr w:w="9560"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15.</w:t>
      </w:r>
      <w:r>
        <w:rPr>
          <w:rFonts w:ascii="SKJVQB+å®ä½" w:hAnsi="SKJVQB+å®ä½" w:cs="SKJVQB+å®ä½"/>
          <w:color w:val="222222"/>
          <w:spacing w:val="0"/>
          <w:sz w:val="21"/>
        </w:rPr>
        <w:t xml:space="preserve">本基金主动投资于流动性受限资产的市值合计不得超过基金资产净值的 </w:t>
      </w:r>
      <w:r>
        <w:rPr>
          <w:rFonts w:ascii="GGHCMB+å®ä½"/>
          <w:color w:val="222222"/>
          <w:spacing w:val="0"/>
          <w:sz w:val="21"/>
        </w:rPr>
        <w:t>15%</w:t>
      </w:r>
      <w:r>
        <w:rPr>
          <w:rFonts w:ascii="SKJVQB+å®ä½" w:hAnsi="SKJVQB+å®ä½" w:cs="SKJVQB+å®ä½"/>
          <w:color w:val="222222"/>
          <w:spacing w:val="0"/>
          <w:sz w:val="21"/>
        </w:rPr>
        <w:t>；因证</w:t>
      </w:r>
    </w:p>
    <w:p>
      <w:pPr>
        <w:framePr w:w="9560"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券市场波动、上市公司股票停牌、基金规模变动等基金管理人之外的因素致使基金不符合</w:t>
      </w:r>
    </w:p>
    <w:p>
      <w:pPr>
        <w:framePr w:w="9560" w:wrap="around" w:vAnchor="margin" w:hAnchor="text" w:x="1800" w:y="1166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该比例限制的，基金管理人不得主动新增流动性受限资产的投资；</w:t>
      </w:r>
    </w:p>
    <w:p>
      <w:pPr>
        <w:framePr w:w="9560" w:wrap="around" w:vAnchor="margin" w:hAnchor="text" w:x="1800" w:y="1289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16.</w:t>
      </w:r>
      <w:r>
        <w:rPr>
          <w:rFonts w:ascii="SKJVQB+å®ä½" w:hAnsi="SKJVQB+å®ä½" w:cs="SKJVQB+å®ä½"/>
          <w:color w:val="222222"/>
          <w:spacing w:val="0"/>
          <w:sz w:val="21"/>
        </w:rPr>
        <w:t>本基金与私募类证券资管产品及中国证监会认定的其他主体为交易对手开展逆回购</w:t>
      </w:r>
    </w:p>
    <w:p>
      <w:pPr>
        <w:framePr w:w="9560"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交易的，可接受质押品的资质要求应当与基金合同约定的投资范围保持一致；</w:t>
      </w:r>
    </w:p>
    <w:p>
      <w:pPr>
        <w:framePr w:w="9560" w:wrap="around" w:vAnchor="margin" w:hAnchor="text" w:x="1800" w:y="1289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17.</w:t>
      </w:r>
      <w:r>
        <w:rPr>
          <w:rFonts w:ascii="SKJVQB+å®ä½" w:hAnsi="SKJVQB+å®ä½" w:cs="SKJVQB+å®ä½"/>
          <w:color w:val="222222"/>
          <w:spacing w:val="0"/>
          <w:sz w:val="21"/>
        </w:rPr>
        <w:t>法律法规及中国证监会规定的和《基金合同》约定的其他投资限制。</w:t>
      </w:r>
    </w:p>
    <w:p>
      <w:pPr>
        <w:framePr w:w="9560" w:wrap="around" w:vAnchor="margin" w:hAnchor="text" w:x="1800" w:y="1289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除上述第</w:t>
      </w:r>
      <w:r>
        <w:rPr>
          <w:rFonts w:ascii="GGHCMB+å®ä½"/>
          <w:color w:val="222222"/>
          <w:spacing w:val="0"/>
          <w:sz w:val="21"/>
        </w:rPr>
        <w:t>2</w:t>
      </w:r>
      <w:r>
        <w:rPr>
          <w:rFonts w:ascii="SKJVQB+å®ä½" w:hAnsi="SKJVQB+å®ä½" w:cs="SKJVQB+å®ä½"/>
          <w:color w:val="222222"/>
          <w:spacing w:val="0"/>
          <w:sz w:val="21"/>
        </w:rPr>
        <w:t>、</w:t>
      </w:r>
      <w:r>
        <w:rPr>
          <w:rFonts w:ascii="GGHCMB+å®ä½"/>
          <w:color w:val="222222"/>
          <w:spacing w:val="0"/>
          <w:sz w:val="21"/>
        </w:rPr>
        <w:t>9</w:t>
      </w:r>
      <w:r>
        <w:rPr>
          <w:rFonts w:ascii="SKJVQB+å®ä½" w:hAnsi="SKJVQB+å®ä½" w:cs="SKJVQB+å®ä½"/>
          <w:color w:val="222222"/>
          <w:spacing w:val="0"/>
          <w:sz w:val="21"/>
        </w:rPr>
        <w:t>、</w:t>
      </w:r>
      <w:r>
        <w:rPr>
          <w:rFonts w:ascii="GGHCMB+å®ä½"/>
          <w:color w:val="222222"/>
          <w:spacing w:val="0"/>
          <w:sz w:val="21"/>
        </w:rPr>
        <w:t>15</w:t>
      </w:r>
      <w:r>
        <w:rPr>
          <w:rFonts w:ascii="SKJVQB+å®ä½" w:hAnsi="SKJVQB+å®ä½" w:cs="SKJVQB+å®ä½"/>
          <w:color w:val="222222"/>
          <w:spacing w:val="0"/>
          <w:sz w:val="21"/>
        </w:rPr>
        <w:t>、</w:t>
      </w:r>
      <w:r>
        <w:rPr>
          <w:rFonts w:ascii="GGHCMB+å®ä½"/>
          <w:color w:val="222222"/>
          <w:spacing w:val="0"/>
          <w:sz w:val="21"/>
        </w:rPr>
        <w:t>16</w:t>
      </w:r>
      <w:r>
        <w:rPr>
          <w:rFonts w:ascii="SKJVQB+å®ä½" w:hAnsi="SKJVQB+å®ä½" w:cs="SKJVQB+å®ä½"/>
          <w:color w:val="222222"/>
          <w:spacing w:val="0"/>
          <w:sz w:val="21"/>
        </w:rPr>
        <w:t>项另有约定外，因证券、期货市场波动、上市公司合并、基金</w:t>
      </w:r>
    </w:p>
    <w:p>
      <w:pPr>
        <w:framePr w:w="9560"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规模变动、股权分置改革中支付对价等基金管理人之外的因素致使基金投资比例不符合上</w:t>
      </w:r>
    </w:p>
    <w:p>
      <w:pPr>
        <w:framePr w:w="9560"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述规定投资比例的，基金管理人应当在</w:t>
      </w:r>
      <w:r>
        <w:rPr>
          <w:rFonts w:ascii="GGHCMB+å®ä½"/>
          <w:color w:val="222222"/>
          <w:spacing w:val="0"/>
          <w:sz w:val="21"/>
        </w:rPr>
        <w:t>10</w:t>
      </w:r>
      <w:r>
        <w:rPr>
          <w:rFonts w:ascii="SKJVQB+å®ä½" w:hAnsi="SKJVQB+å®ä½" w:cs="SKJVQB+å®ä½"/>
          <w:color w:val="222222"/>
          <w:spacing w:val="0"/>
          <w:sz w:val="21"/>
        </w:rPr>
        <w:t>个交易日内进行调整，但中国证监会规定的特殊</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177</w:t>
      </w:r>
    </w:p>
    <w:p>
      <w:pPr>
        <w:spacing w:before="0" w:after="0" w:line="0" w:lineRule="exact"/>
        <w:ind w:left="0" w:right="0"/>
        <w:jc w:val="left"/>
        <w:rPr>
          <w:rFonts w:ascii="Arial"/>
          <w:color w:val="FF0000"/>
          <w:spacing w:val="0"/>
          <w:sz w:val="2"/>
        </w:rPr>
      </w:pPr>
      <w:r>
        <w:pict>
          <v:shape id="_x0000380" o:spid="_x0000_s140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81" o:spid="_x0000_s1407"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48"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情形除外。本基金投资公开发行可交换债的比例等投资限制、估值核算和信息披露参照可</w:t>
      </w:r>
    </w:p>
    <w:p>
      <w:pPr>
        <w:framePr w:w="9548"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转债，且投资比例应当与可转债合并计算。</w:t>
      </w:r>
    </w:p>
    <w:p>
      <w:pPr>
        <w:framePr w:w="9798"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基金管理人应当自基金合同生效之日起 </w:t>
      </w:r>
      <w:r>
        <w:rPr>
          <w:rFonts w:ascii="GGHCMB+å®ä½"/>
          <w:color w:val="222222"/>
          <w:spacing w:val="0"/>
          <w:sz w:val="21"/>
        </w:rPr>
        <w:t>6</w:t>
      </w:r>
      <w:r>
        <w:rPr>
          <w:rFonts w:ascii="SKJVQB+å®ä½" w:hAnsi="SKJVQB+å®ä½" w:cs="SKJVQB+å®ä½"/>
          <w:color w:val="222222"/>
          <w:spacing w:val="0"/>
          <w:sz w:val="21"/>
        </w:rPr>
        <w:t>个月内使基金的投资组合比例符合基金合同</w:t>
      </w:r>
    </w:p>
    <w:p>
      <w:pPr>
        <w:framePr w:w="9798"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的有关约定，在上述期间内，本基金的投资范围、投资策略应当符合基金合同的约定。基</w:t>
      </w:r>
    </w:p>
    <w:p>
      <w:pPr>
        <w:framePr w:w="9798"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金托管人对基金的投资的监督与检查自本基金合同生效之日起开始。</w:t>
      </w:r>
    </w:p>
    <w:p>
      <w:pPr>
        <w:framePr w:w="9798" w:wrap="around" w:vAnchor="margin" w:hAnchor="text" w:x="1800" w:y="226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如果法律法规或监管部门对上述投资组合比例限制进行变更的，以变更后的规定为准。</w:t>
      </w:r>
    </w:p>
    <w:p>
      <w:pPr>
        <w:framePr w:w="9798"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法律法规或监管部门取消上述限制，如适用于本基金，则本基金投资不再受相关限制。</w:t>
      </w:r>
    </w:p>
    <w:p>
      <w:pPr>
        <w:framePr w:w="9798" w:wrap="around" w:vAnchor="margin" w:hAnchor="text" w:x="1800" w:y="2268"/>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基金托管人依照上述规定对本基金的投资组合限制及调整期限进行监督。</w:t>
      </w:r>
    </w:p>
    <w:p>
      <w:pPr>
        <w:framePr w:w="9798" w:wrap="around" w:vAnchor="margin" w:hAnchor="text" w:x="1800" w:y="2268"/>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）基金托管人根据有关法律法规的规定及基金合同和本协议的约定，对基金投资禁</w:t>
      </w:r>
    </w:p>
    <w:p>
      <w:pPr>
        <w:framePr w:w="9798"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止行为进行监督。基金财产不得用于下列投资或者活动。</w:t>
      </w:r>
    </w:p>
    <w:p>
      <w:pPr>
        <w:framePr w:w="1683" w:wrap="around" w:vAnchor="margin" w:hAnchor="text" w:x="2220" w:y="553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承销证券；</w:t>
      </w:r>
    </w:p>
    <w:p>
      <w:pPr>
        <w:framePr w:w="4229" w:wrap="around" w:vAnchor="margin" w:hAnchor="text" w:x="2220" w:y="594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违反规定向他人贷款或者提供担保；</w:t>
      </w:r>
    </w:p>
    <w:p>
      <w:pPr>
        <w:framePr w:w="3263" w:wrap="around" w:vAnchor="margin" w:hAnchor="text" w:x="2220" w:y="6355"/>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从事承担无限责任的投资；</w:t>
      </w:r>
    </w:p>
    <w:p>
      <w:pPr>
        <w:framePr w:w="6164" w:wrap="around" w:vAnchor="margin" w:hAnchor="text" w:x="2220" w:y="676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买卖其他基金份额，但是中国证监会另有规定的除外；</w:t>
      </w:r>
    </w:p>
    <w:p>
      <w:pPr>
        <w:framePr w:w="4955" w:wrap="around" w:vAnchor="margin" w:hAnchor="text" w:x="2220" w:y="717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向本基金的基金管理人、基金托管人出资；</w:t>
      </w:r>
    </w:p>
    <w:p>
      <w:pPr>
        <w:framePr w:w="7370"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从事内幕交易、操纵证券交易价格及其他不正当的证券交易活动；</w:t>
      </w:r>
    </w:p>
    <w:p>
      <w:pPr>
        <w:framePr w:w="7370" w:wrap="around" w:vAnchor="margin" w:hAnchor="text" w:x="222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法律、行政法规和中国证监会规定禁止的其他活动。</w:t>
      </w:r>
    </w:p>
    <w:p>
      <w:pPr>
        <w:framePr w:w="9556"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如法律、行政法规或监管部门取消上述限制，如适用于本基金，则本基金投资不再受</w:t>
      </w:r>
    </w:p>
    <w:p>
      <w:pPr>
        <w:framePr w:w="9556"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相关限制。基金管理人运用基金财产买卖基金管理人、基金托管人及其控股股东、实际控</w:t>
      </w:r>
    </w:p>
    <w:p>
      <w:pPr>
        <w:framePr w:w="9556"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制人或者与其他重大利害关系的公司发行的证券或者承销期内承销的证券，或者从事其他</w:t>
      </w:r>
    </w:p>
    <w:p>
      <w:pPr>
        <w:framePr w:w="9556"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重大关联交易的，应当符合基金的投资目标和投资策略，遵循基金份额持有人利益优先的</w:t>
      </w:r>
    </w:p>
    <w:p>
      <w:pPr>
        <w:framePr w:w="9556" w:wrap="around" w:vAnchor="margin" w:hAnchor="text" w:x="1800" w:y="839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原则，防范利益冲突，相关交易必须事先得到基金托管人的同意，并履行信息披露义务。</w:t>
      </w:r>
    </w:p>
    <w:p>
      <w:pPr>
        <w:framePr w:w="9556" w:wrap="around" w:vAnchor="margin" w:hAnchor="text" w:x="1800" w:y="839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）基金托管人根据有关法律法规的规定及基金合同和本协议的约定，对基金管理人</w:t>
      </w:r>
    </w:p>
    <w:p>
      <w:pPr>
        <w:framePr w:w="9556" w:wrap="around" w:vAnchor="margin" w:hAnchor="text" w:x="1800" w:y="8398"/>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参与银行间债券市场进行监督。</w:t>
      </w:r>
    </w:p>
    <w:p>
      <w:pPr>
        <w:framePr w:w="9557"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）基金托管人依据有关法律法规的规定和《基金合同》的约定对于基金管理人参与</w:t>
      </w:r>
    </w:p>
    <w:p>
      <w:pPr>
        <w:framePr w:w="9557"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银行间市场交易时面临的交易对手资信风险进行监督。</w:t>
      </w:r>
    </w:p>
    <w:p>
      <w:pPr>
        <w:framePr w:w="9798" w:wrap="around" w:vAnchor="margin" w:hAnchor="text" w:x="1800" w:y="1207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基金管理人向基金托管人提供符合法律法规及行业标准的银行间市场交易对手的名单。</w:t>
      </w:r>
    </w:p>
    <w:p>
      <w:pPr>
        <w:framePr w:w="9798"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基金托管人在收到名单后 </w:t>
      </w:r>
      <w:r>
        <w:rPr>
          <w:rFonts w:ascii="GGHCMB+å®ä½"/>
          <w:color w:val="222222"/>
          <w:spacing w:val="0"/>
          <w:sz w:val="21"/>
        </w:rPr>
        <w:t>2</w:t>
      </w:r>
      <w:r>
        <w:rPr>
          <w:rFonts w:ascii="SKJVQB+å®ä½" w:hAnsi="SKJVQB+å®ä½" w:cs="SKJVQB+å®ä½"/>
          <w:color w:val="222222"/>
          <w:spacing w:val="0"/>
          <w:sz w:val="21"/>
        </w:rPr>
        <w:t>个工作日内电话或回函确认收到该名单。基金管理人应定期和</w:t>
      </w:r>
    </w:p>
    <w:p>
      <w:pPr>
        <w:framePr w:w="9798"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不定期对银行间市场现券及回购交易对手的名单进行更新。基金托管人在收到名单后 </w:t>
      </w:r>
      <w:r>
        <w:rPr>
          <w:rFonts w:ascii="GGHCMB+å®ä½"/>
          <w:color w:val="222222"/>
          <w:spacing w:val="0"/>
          <w:sz w:val="21"/>
        </w:rPr>
        <w:t>2</w:t>
      </w:r>
      <w:r>
        <w:rPr>
          <w:rFonts w:ascii="SKJVQB+å®ä½" w:hAnsi="SKJVQB+å®ä½" w:cs="SKJVQB+å®ä½"/>
          <w:color w:val="222222"/>
          <w:spacing w:val="0"/>
          <w:sz w:val="21"/>
        </w:rPr>
        <w:t>个</w:t>
      </w:r>
    </w:p>
    <w:p>
      <w:pPr>
        <w:framePr w:w="9798"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工作日内电话或书面回函确认，新名单自基金托管人确认当日生效。新名单生效前已与本</w:t>
      </w:r>
    </w:p>
    <w:p>
      <w:pPr>
        <w:framePr w:w="9798"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次剔除的交易对手所进行但尚未结算的交易，仍应按照协议进行结算。</w:t>
      </w:r>
    </w:p>
    <w:p>
      <w:pPr>
        <w:framePr w:w="9798" w:wrap="around" w:vAnchor="margin" w:hAnchor="text" w:x="1800" w:y="12076"/>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）基金管理人参与银行间市场交易时，有责任控制交易对手的资信风险，由于交易</w:t>
      </w:r>
    </w:p>
    <w:p>
      <w:pPr>
        <w:framePr w:w="9798"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对手资信风险引起的损失</w:t>
      </w:r>
      <w:r>
        <w:rPr>
          <w:rFonts w:ascii="GGHCMB+å®ä½"/>
          <w:color w:val="222222"/>
          <w:spacing w:val="0"/>
          <w:sz w:val="21"/>
        </w:rPr>
        <w:t>,</w:t>
      </w:r>
      <w:r>
        <w:rPr>
          <w:rFonts w:ascii="SKJVQB+å®ä½" w:hAnsi="SKJVQB+å®ä½" w:cs="SKJVQB+å®ä½"/>
          <w:color w:val="222222"/>
          <w:spacing w:val="0"/>
          <w:sz w:val="21"/>
        </w:rPr>
        <w:t>基金管理人应当负责向相关责任人追偿。</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178</w:t>
      </w:r>
    </w:p>
    <w:p>
      <w:pPr>
        <w:spacing w:before="0" w:after="0" w:line="0" w:lineRule="exact"/>
        <w:ind w:left="0" w:right="0"/>
        <w:jc w:val="left"/>
        <w:rPr>
          <w:rFonts w:ascii="Arial"/>
          <w:color w:val="FF0000"/>
          <w:spacing w:val="0"/>
          <w:sz w:val="2"/>
        </w:rPr>
      </w:pPr>
      <w:r>
        <w:pict>
          <v:shape id="_x0000382" o:spid="_x0000_s140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83" o:spid="_x0000_s1409"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6"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）基金托管人根据有关法律法规的规定及基金合同和本协议的约定，对基金管理人</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选择存款银行进行监督。</w:t>
      </w:r>
    </w:p>
    <w:p>
      <w:pPr>
        <w:framePr w:w="9553"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基金投资银行定期存款的，基金管理人应根据法律法规的规定及基金合同的约定，确</w:t>
      </w:r>
    </w:p>
    <w:p>
      <w:pPr>
        <w:framePr w:w="9553"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定符合条件的所有存款银行的名单，并及时提供给基金托管人，基金托管人应据以对基金</w:t>
      </w:r>
    </w:p>
    <w:p>
      <w:pPr>
        <w:framePr w:w="9553"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投资银行存款的交易对手是否符合有关规定进行监督。</w:t>
      </w:r>
    </w:p>
    <w:p>
      <w:pPr>
        <w:framePr w:w="4110" w:wrap="around" w:vAnchor="margin" w:hAnchor="text" w:x="2220" w:y="34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本基金投资银行存款应符合如下规定：</w:t>
      </w:r>
    </w:p>
    <w:p>
      <w:pPr>
        <w:framePr w:w="9553"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基金管理人、基金托管人应当与存款银行建立定期对账机制，确保基金银行存款业</w:t>
      </w:r>
    </w:p>
    <w:p>
      <w:pPr>
        <w:framePr w:w="9553"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务账目及核算的真实、准确。</w:t>
      </w:r>
    </w:p>
    <w:p>
      <w:pPr>
        <w:framePr w:w="9557" w:wrap="around" w:vAnchor="margin" w:hAnchor="text" w:x="1800" w:y="472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．基金管理人与基金托管人应根据相关规定，就本基金银行存款业务另行签订书面协</w:t>
      </w:r>
    </w:p>
    <w:p>
      <w:pPr>
        <w:framePr w:w="9557"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议，明确双方在相关协议签署、账户开设与管理、投资指令传达与执行、资金划拨、账目</w:t>
      </w:r>
    </w:p>
    <w:p>
      <w:pPr>
        <w:framePr w:w="9557"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核对、到期兑付、文件保管以及存款证实书的开立、传递、保管等流程中的权利、义务和</w:t>
      </w:r>
    </w:p>
    <w:p>
      <w:pPr>
        <w:framePr w:w="9557"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职责，以确保基金财产的安全，保护基金份额持有人的合法权益。</w:t>
      </w:r>
    </w:p>
    <w:p>
      <w:pPr>
        <w:framePr w:w="9557" w:wrap="around" w:vAnchor="margin" w:hAnchor="text" w:x="1800" w:y="4721"/>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．基金托管人应加强对基金银行存款业务的监督与核查，严格审查、复核相关协议、</w:t>
      </w:r>
    </w:p>
    <w:p>
      <w:pPr>
        <w:framePr w:w="9557"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账户资料、投资指令、存款证实书等有关文件，切实履行托管职责。</w:t>
      </w:r>
    </w:p>
    <w:p>
      <w:pPr>
        <w:framePr w:w="9557" w:wrap="around" w:vAnchor="margin" w:hAnchor="text" w:x="1800" w:y="472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．基金管理人与基金托管人在开展基金存款业务时，应严格遵守《基金法》、《运作</w:t>
      </w:r>
    </w:p>
    <w:p>
      <w:pPr>
        <w:framePr w:w="9557" w:wrap="around" w:vAnchor="margin" w:hAnchor="text" w:x="1800" w:y="472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办法》等有关法律法规，以及国家有关账户管理、利率管理、支付结算等的各项规定。</w:t>
      </w:r>
    </w:p>
    <w:p>
      <w:pPr>
        <w:framePr w:w="9557" w:wrap="around" w:vAnchor="margin" w:hAnchor="text" w:x="1800" w:y="472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6</w:t>
      </w:r>
      <w:r>
        <w:rPr>
          <w:rFonts w:ascii="SKJVQB+å®ä½" w:hAnsi="SKJVQB+å®ä½" w:cs="SKJVQB+å®ä½"/>
          <w:color w:val="222222"/>
          <w:spacing w:val="0"/>
          <w:sz w:val="21"/>
        </w:rPr>
        <w:t>）基金托管人根据有关法律法规的规定及基金合同和本协议的约定，对基金管理人</w:t>
      </w:r>
    </w:p>
    <w:p>
      <w:pPr>
        <w:framePr w:w="9557" w:wrap="around" w:vAnchor="margin" w:hAnchor="text" w:x="1800" w:y="472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投资中期票据进行监督。</w:t>
      </w:r>
    </w:p>
    <w:p>
      <w:pPr>
        <w:framePr w:w="9562"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基金管理人应当对投资中期票据业务进行研究，认真评估中期票据投资业务的风险，</w:t>
      </w:r>
    </w:p>
    <w:p>
      <w:pPr>
        <w:framePr w:w="9562"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本着审慎、勤勉尽责的原则进行中期票据的投资业务。基金管理人根据法律、法规、监管</w:t>
      </w:r>
    </w:p>
    <w:p>
      <w:pPr>
        <w:framePr w:w="9562"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部门的规定，制定了经公司董事会批准的基金投资中期票据相关制度   </w:t>
      </w:r>
      <w:r>
        <w:rPr>
          <w:rFonts w:ascii="GGHCMB+å®ä½"/>
          <w:color w:val="222222"/>
          <w:spacing w:val="0"/>
          <w:sz w:val="21"/>
        </w:rPr>
        <w:t>(</w:t>
      </w:r>
      <w:r>
        <w:rPr>
          <w:rFonts w:ascii="SKJVQB+å®ä½" w:hAnsi="SKJVQB+å®ä½" w:cs="SKJVQB+å®ä½"/>
          <w:color w:val="222222"/>
          <w:spacing w:val="0"/>
          <w:sz w:val="21"/>
        </w:rPr>
        <w:t>以下简称“《制</w:t>
      </w:r>
    </w:p>
    <w:p>
      <w:pPr>
        <w:framePr w:w="9562" w:wrap="around" w:vAnchor="margin" w:hAnchor="text" w:x="1800" w:y="880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度》”</w:t>
      </w:r>
      <w:r>
        <w:rPr>
          <w:rFonts w:ascii="GGHCMB+å®ä½"/>
          <w:color w:val="222222"/>
          <w:spacing w:val="0"/>
          <w:sz w:val="21"/>
        </w:rPr>
        <w:t>)</w:t>
      </w:r>
      <w:r>
        <w:rPr>
          <w:rFonts w:ascii="SKJVQB+å®ä½" w:hAnsi="SKJVQB+å®ä½" w:cs="SKJVQB+å®ä½"/>
          <w:color w:val="222222"/>
          <w:spacing w:val="0"/>
          <w:sz w:val="21"/>
        </w:rPr>
        <w:t>，以规范对中期票据的投资决策流程、风险控制。基金管理人《制度》的内容与本</w:t>
      </w:r>
    </w:p>
    <w:p>
      <w:pPr>
        <w:framePr w:w="9562"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协议不一致的，以本协议的约定为准。</w:t>
      </w:r>
    </w:p>
    <w:p>
      <w:pPr>
        <w:framePr w:w="4712"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）基金投资中期票据应遵循以下投资限制：</w:t>
      </w:r>
    </w:p>
    <w:p>
      <w:pPr>
        <w:framePr w:w="9678"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①中期票据属于固定收益类证券，基金投资中期票据应符合法律、法规及《基金合同》</w:t>
      </w:r>
    </w:p>
    <w:p>
      <w:pPr>
        <w:framePr w:w="9678"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中关于该基金投资固定收益类证券的相关比例及期限限制；</w:t>
      </w:r>
    </w:p>
    <w:p>
      <w:pPr>
        <w:framePr w:w="9553" w:wrap="around" w:vAnchor="margin" w:hAnchor="text" w:x="1800" w:y="1207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②基金管理人管理的全部公募基金投资于一家企业发行的单期中期票据合计不超过该</w:t>
      </w:r>
    </w:p>
    <w:p>
      <w:pPr>
        <w:framePr w:w="9553"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期证券的</w:t>
      </w:r>
      <w:r>
        <w:rPr>
          <w:rFonts w:ascii="GGHCMB+å®ä½"/>
          <w:color w:val="222222"/>
          <w:spacing w:val="0"/>
          <w:sz w:val="21"/>
        </w:rPr>
        <w:t>10%</w:t>
      </w:r>
      <w:r>
        <w:rPr>
          <w:rFonts w:ascii="SKJVQB+å®ä½" w:hAnsi="SKJVQB+å®ä½" w:cs="SKJVQB+å®ä½"/>
          <w:color w:val="222222"/>
          <w:spacing w:val="0"/>
          <w:sz w:val="21"/>
        </w:rPr>
        <w:t>。</w:t>
      </w:r>
    </w:p>
    <w:p>
      <w:pPr>
        <w:framePr w:w="6647" w:wrap="around" w:vAnchor="margin" w:hAnchor="text" w:x="2220" w:y="1289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）基金托管人对基金管理人流动性风险处置的监督职责限于：</w:t>
      </w:r>
    </w:p>
    <w:p>
      <w:pPr>
        <w:framePr w:w="9560"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基金托管人对基金投资中期票据是否符合比例限制进行事后监督，如发现异常情况，</w:t>
      </w:r>
    </w:p>
    <w:p>
      <w:pPr>
        <w:framePr w:w="9560"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应及时以电话或书面形式通知基金管理人。基金管理人应积极配合和协助基金托管人的监</w:t>
      </w:r>
    </w:p>
    <w:p>
      <w:pPr>
        <w:framePr w:w="9560" w:wrap="around" w:vAnchor="margin" w:hAnchor="text" w:x="1800" w:y="1330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督和核查。基金管理人接到通知后应及时核对并向基金托管人说明原因和解决措施。基金</w:t>
      </w:r>
    </w:p>
    <w:p>
      <w:pPr>
        <w:framePr w:w="9560"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托管人有权随时对所通知事项进行复查</w:t>
      </w:r>
      <w:r>
        <w:rPr>
          <w:rFonts w:ascii="GGHCMB+å®ä½"/>
          <w:color w:val="222222"/>
          <w:spacing w:val="0"/>
          <w:sz w:val="21"/>
        </w:rPr>
        <w:t>,</w:t>
      </w:r>
      <w:r>
        <w:rPr>
          <w:rFonts w:ascii="SKJVQB+å®ä½" w:hAnsi="SKJVQB+å®ä½" w:cs="SKJVQB+å®ä½"/>
          <w:color w:val="222222"/>
          <w:spacing w:val="0"/>
          <w:sz w:val="21"/>
        </w:rPr>
        <w:t>督促基金管理人改正。基金管理人违规事项未能</w:t>
      </w:r>
    </w:p>
    <w:p>
      <w:pPr>
        <w:framePr w:w="9560"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在限期内纠正的，基金托管人应报告中国证监会。</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179</w:t>
      </w:r>
    </w:p>
    <w:p>
      <w:pPr>
        <w:spacing w:before="0" w:after="0" w:line="0" w:lineRule="exact"/>
        <w:ind w:left="0" w:right="0"/>
        <w:jc w:val="left"/>
        <w:rPr>
          <w:rFonts w:ascii="Arial"/>
          <w:color w:val="FF0000"/>
          <w:spacing w:val="0"/>
          <w:sz w:val="2"/>
        </w:rPr>
      </w:pPr>
      <w:r>
        <w:pict>
          <v:shape id="_x0000384" o:spid="_x0000_s141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85" o:spid="_x0000_s1411"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60"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）如因证券市场波动、证券发行人合并、基金规模变动等基金管理人之外的因素，基</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金管理人投资的中期票据超过投资比例的，基金托管人有权要求基金管理人在 </w:t>
      </w:r>
      <w:r>
        <w:rPr>
          <w:rFonts w:ascii="GGHCMB+å®ä½"/>
          <w:color w:val="222222"/>
          <w:spacing w:val="0"/>
          <w:sz w:val="21"/>
        </w:rPr>
        <w:t>10</w:t>
      </w:r>
      <w:r>
        <w:rPr>
          <w:rFonts w:ascii="SKJVQB+å®ä½" w:hAnsi="SKJVQB+å®ä½" w:cs="SKJVQB+å®ä½"/>
          <w:color w:val="222222"/>
          <w:spacing w:val="0"/>
          <w:sz w:val="21"/>
        </w:rPr>
        <w:t>个交易日</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内将中期票据调整至规定的比例要求，但中国证监会规定的特殊情形除外。</w:t>
      </w:r>
    </w:p>
    <w:p>
      <w:pPr>
        <w:framePr w:w="9560" w:wrap="around" w:vAnchor="margin" w:hAnchor="text" w:x="1800" w:y="145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7</w:t>
      </w:r>
      <w:r>
        <w:rPr>
          <w:rFonts w:ascii="SKJVQB+å®ä½" w:hAnsi="SKJVQB+å®ä½" w:cs="SKJVQB+å®ä½"/>
          <w:color w:val="222222"/>
          <w:spacing w:val="0"/>
          <w:sz w:val="21"/>
        </w:rPr>
        <w:t>）基金托管人对基金投资流通受限证券的监督</w:t>
      </w:r>
    </w:p>
    <w:p>
      <w:pPr>
        <w:framePr w:w="9800" w:wrap="around" w:vAnchor="margin" w:hAnchor="text" w:x="1800" w:y="308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基金投资流通受限证券</w:t>
      </w:r>
      <w:r>
        <w:rPr>
          <w:rFonts w:ascii="GGHCMB+å®ä½"/>
          <w:color w:val="222222"/>
          <w:spacing w:val="0"/>
          <w:sz w:val="21"/>
        </w:rPr>
        <w:t>,</w:t>
      </w:r>
      <w:r>
        <w:rPr>
          <w:rFonts w:ascii="SKJVQB+å®ä½" w:hAnsi="SKJVQB+å®ä½" w:cs="SKJVQB+å®ä½"/>
          <w:color w:val="222222"/>
          <w:spacing w:val="0"/>
          <w:sz w:val="21"/>
        </w:rPr>
        <w:t>应遵守《关于规范基金投资非公开发行证券行为的紧急通知》、</w:t>
      </w:r>
    </w:p>
    <w:p>
      <w:pPr>
        <w:framePr w:w="9800"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《关于基金投资非公开发行股票等流通受限证券有关问题的通知》等有关法律法规规定。</w:t>
      </w:r>
    </w:p>
    <w:p>
      <w:pPr>
        <w:framePr w:w="9800" w:wrap="around" w:vAnchor="margin" w:hAnchor="text" w:x="1800" w:y="308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流通受限证券</w:t>
      </w:r>
      <w:r>
        <w:rPr>
          <w:rFonts w:ascii="GGHCMB+å®ä½"/>
          <w:color w:val="222222"/>
          <w:spacing w:val="0"/>
          <w:sz w:val="21"/>
        </w:rPr>
        <w:t>,</w:t>
      </w:r>
      <w:r>
        <w:rPr>
          <w:rFonts w:ascii="SKJVQB+å®ä½" w:hAnsi="SKJVQB+å®ä½" w:cs="SKJVQB+å®ä½"/>
          <w:color w:val="222222"/>
          <w:spacing w:val="0"/>
          <w:sz w:val="21"/>
        </w:rPr>
        <w:t>包括由《上市公司证券发行管理办法》规范的非公开发行股票、公开</w:t>
      </w:r>
    </w:p>
    <w:p>
      <w:pPr>
        <w:framePr w:w="9800" w:wrap="around" w:vAnchor="margin" w:hAnchor="text" w:x="1800" w:y="3086"/>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发行股票网下配售部分等在发行时明确一定期限锁定期的可交易证券</w:t>
      </w:r>
      <w:r>
        <w:rPr>
          <w:rFonts w:ascii="GGHCMB+å®ä½"/>
          <w:color w:val="222222"/>
          <w:spacing w:val="0"/>
          <w:sz w:val="21"/>
        </w:rPr>
        <w:t>,</w:t>
      </w:r>
      <w:r>
        <w:rPr>
          <w:rFonts w:ascii="SKJVQB+å®ä½" w:hAnsi="SKJVQB+å®ä½" w:cs="SKJVQB+å®ä½"/>
          <w:color w:val="222222"/>
          <w:spacing w:val="0"/>
          <w:sz w:val="21"/>
        </w:rPr>
        <w:t>不包括由于发布重大</w:t>
      </w:r>
    </w:p>
    <w:p>
      <w:pPr>
        <w:framePr w:w="9800" w:wrap="around" w:vAnchor="margin" w:hAnchor="text" w:x="1800" w:y="3086"/>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消息或其他原因而临时停牌的证券、已发行未上市证券、回购交易中的质押券等流通受限</w:t>
      </w:r>
    </w:p>
    <w:p>
      <w:pPr>
        <w:framePr w:w="9800" w:wrap="around" w:vAnchor="margin" w:hAnchor="text" w:x="1800" w:y="308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w:t>
      </w:r>
    </w:p>
    <w:p>
      <w:pPr>
        <w:framePr w:w="9562"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基金管理人应在基金首次投资流通受限证券前</w:t>
      </w:r>
      <w:r>
        <w:rPr>
          <w:rFonts w:ascii="GGHCMB+å®ä½"/>
          <w:color w:val="222222"/>
          <w:spacing w:val="0"/>
          <w:sz w:val="21"/>
        </w:rPr>
        <w:t>,</w:t>
      </w:r>
      <w:r>
        <w:rPr>
          <w:rFonts w:ascii="SKJVQB+å®ä½" w:hAnsi="SKJVQB+å®ä½" w:cs="SKJVQB+å®ä½"/>
          <w:color w:val="222222"/>
          <w:spacing w:val="0"/>
          <w:sz w:val="21"/>
        </w:rPr>
        <w:t>向基金托管人提供经基金管理人董事</w:t>
      </w:r>
    </w:p>
    <w:p>
      <w:pPr>
        <w:framePr w:w="9562"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会批准的有关基金投资流通受限证券的投资决策流程、风险控制制度。基金投资非公开发</w:t>
      </w:r>
    </w:p>
    <w:p>
      <w:pPr>
        <w:framePr w:w="9562" w:wrap="around" w:vAnchor="margin" w:hAnchor="text" w:x="1800" w:y="553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行股票</w:t>
      </w:r>
      <w:r>
        <w:rPr>
          <w:rFonts w:ascii="GGHCMB+å®ä½"/>
          <w:color w:val="222222"/>
          <w:spacing w:val="0"/>
          <w:sz w:val="21"/>
        </w:rPr>
        <w:t>,</w:t>
      </w:r>
      <w:r>
        <w:rPr>
          <w:rFonts w:ascii="SKJVQB+å®ä½" w:hAnsi="SKJVQB+å®ä½" w:cs="SKJVQB+å®ä½"/>
          <w:color w:val="222222"/>
          <w:spacing w:val="0"/>
          <w:sz w:val="21"/>
        </w:rPr>
        <w:t>基金管理人还应提供基金管理人董事会批准的流动性风险处置预案。上述资料应包</w:t>
      </w:r>
    </w:p>
    <w:p>
      <w:pPr>
        <w:framePr w:w="9562"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括但不限于基金投资流通受限证券的投资额度和投资比例控制情况。基金管理人应至少于</w:t>
      </w:r>
    </w:p>
    <w:p>
      <w:pPr>
        <w:framePr w:w="9562"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首次执行投资指令之前两个工作日将上述资料书面发至基金托管人</w:t>
      </w:r>
      <w:r>
        <w:rPr>
          <w:rFonts w:ascii="GGHCMB+å®ä½"/>
          <w:color w:val="222222"/>
          <w:spacing w:val="0"/>
          <w:sz w:val="21"/>
        </w:rPr>
        <w:t>,</w:t>
      </w:r>
      <w:r>
        <w:rPr>
          <w:rFonts w:ascii="SKJVQB+å®ä½" w:hAnsi="SKJVQB+å®ä½" w:cs="SKJVQB+å®ä½"/>
          <w:color w:val="222222"/>
          <w:spacing w:val="0"/>
          <w:sz w:val="21"/>
        </w:rPr>
        <w:t>保证基金托管人有足够</w:t>
      </w:r>
    </w:p>
    <w:p>
      <w:pPr>
        <w:framePr w:w="9562"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的时间进行审核。基金托管人应在收到上述资料后两个工作日内</w:t>
      </w:r>
      <w:r>
        <w:rPr>
          <w:rFonts w:ascii="GGHCMB+å®ä½"/>
          <w:color w:val="222222"/>
          <w:spacing w:val="0"/>
          <w:sz w:val="21"/>
        </w:rPr>
        <w:t>,</w:t>
      </w:r>
      <w:r>
        <w:rPr>
          <w:rFonts w:ascii="SKJVQB+å®ä½" w:hAnsi="SKJVQB+å®ä½" w:cs="SKJVQB+å®ä½"/>
          <w:color w:val="222222"/>
          <w:spacing w:val="0"/>
          <w:sz w:val="21"/>
        </w:rPr>
        <w:t>以书面或其他双方认可的</w:t>
      </w:r>
    </w:p>
    <w:p>
      <w:pPr>
        <w:framePr w:w="9562"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方式确认收到上述资料。</w:t>
      </w:r>
    </w:p>
    <w:p>
      <w:pPr>
        <w:framePr w:w="9800" w:wrap="around" w:vAnchor="margin" w:hAnchor="text" w:x="1800" w:y="839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基金投资流通受限证券前</w:t>
      </w:r>
      <w:r>
        <w:rPr>
          <w:rFonts w:ascii="GGHCMB+å®ä½"/>
          <w:color w:val="222222"/>
          <w:spacing w:val="0"/>
          <w:sz w:val="21"/>
        </w:rPr>
        <w:t>,</w:t>
      </w:r>
      <w:r>
        <w:rPr>
          <w:rFonts w:ascii="SKJVQB+å®ä½" w:hAnsi="SKJVQB+å®ä½" w:cs="SKJVQB+å®ä½"/>
          <w:color w:val="222222"/>
          <w:spacing w:val="0"/>
          <w:sz w:val="21"/>
        </w:rPr>
        <w:t>基金管理人应向基金托管人提供符合法律法规要求的有关</w:t>
      </w:r>
    </w:p>
    <w:p>
      <w:pPr>
        <w:framePr w:w="9800"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书面信息</w:t>
      </w:r>
      <w:r>
        <w:rPr>
          <w:rFonts w:ascii="GGHCMB+å®ä½"/>
          <w:color w:val="222222"/>
          <w:spacing w:val="0"/>
          <w:sz w:val="21"/>
        </w:rPr>
        <w:t>,</w:t>
      </w:r>
      <w:r>
        <w:rPr>
          <w:rFonts w:ascii="SKJVQB+å®ä½" w:hAnsi="SKJVQB+å®ä½" w:cs="SKJVQB+å®ä½"/>
          <w:color w:val="222222"/>
          <w:spacing w:val="0"/>
          <w:sz w:val="21"/>
        </w:rPr>
        <w:t>包括但不限于拟发行证券主体的中国证监会批准文件、发行证券数量、发行价格、</w:t>
      </w:r>
    </w:p>
    <w:p>
      <w:pPr>
        <w:framePr w:w="9800"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锁定期</w:t>
      </w:r>
      <w:r>
        <w:rPr>
          <w:rFonts w:ascii="GGHCMB+å®ä½"/>
          <w:color w:val="222222"/>
          <w:spacing w:val="0"/>
          <w:sz w:val="21"/>
        </w:rPr>
        <w:t>,</w:t>
      </w:r>
      <w:r>
        <w:rPr>
          <w:rFonts w:ascii="SKJVQB+å®ä½" w:hAnsi="SKJVQB+å®ä½" w:cs="SKJVQB+å®ä½"/>
          <w:color w:val="222222"/>
          <w:spacing w:val="0"/>
          <w:sz w:val="21"/>
        </w:rPr>
        <w:t>基金拟认购的数量、价格、总成本、总成本占基金资产净值的比例、已持有流通受</w:t>
      </w:r>
    </w:p>
    <w:p>
      <w:pPr>
        <w:framePr w:w="9800"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限证券市值占资产净值的比例、资金划付时间等。基金管理人应保证上述信息的真实、完</w:t>
      </w:r>
    </w:p>
    <w:p>
      <w:pPr>
        <w:framePr w:w="9800" w:wrap="around" w:vAnchor="margin" w:hAnchor="text" w:x="1800" w:y="839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整</w:t>
      </w:r>
      <w:r>
        <w:rPr>
          <w:rFonts w:ascii="GGHCMB+å®ä½"/>
          <w:color w:val="222222"/>
          <w:spacing w:val="0"/>
          <w:sz w:val="21"/>
        </w:rPr>
        <w:t>,</w:t>
      </w:r>
      <w:r>
        <w:rPr>
          <w:rFonts w:ascii="SKJVQB+å®ä½" w:hAnsi="SKJVQB+å®ä½" w:cs="SKJVQB+å®ä½"/>
          <w:color w:val="222222"/>
          <w:spacing w:val="0"/>
          <w:sz w:val="21"/>
        </w:rPr>
        <w:t xml:space="preserve">并应至少于拟执行投资指令前两个工作日将上述信息书面发至基金托管人 </w:t>
      </w:r>
      <w:r>
        <w:rPr>
          <w:rFonts w:ascii="GGHCMB+å®ä½"/>
          <w:color w:val="222222"/>
          <w:spacing w:val="0"/>
          <w:sz w:val="21"/>
        </w:rPr>
        <w:t>,</w:t>
      </w:r>
      <w:r>
        <w:rPr>
          <w:rFonts w:ascii="SKJVQB+å®ä½" w:hAnsi="SKJVQB+å®ä½" w:cs="SKJVQB+å®ä½"/>
          <w:color w:val="222222"/>
          <w:spacing w:val="0"/>
          <w:sz w:val="21"/>
        </w:rPr>
        <w:t>保证基金托</w:t>
      </w:r>
    </w:p>
    <w:p>
      <w:pPr>
        <w:framePr w:w="9800" w:wrap="around" w:vAnchor="margin" w:hAnchor="text" w:x="1800" w:y="839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管人有足够的时间进行审核。</w:t>
      </w:r>
    </w:p>
    <w:p>
      <w:pPr>
        <w:framePr w:w="9562" w:wrap="around" w:vAnchor="margin" w:hAnchor="text" w:x="1800" w:y="1084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基金托管人应对基金管理人提供的有关书面信息进行审核，基金托管人认为上述资</w:t>
      </w:r>
    </w:p>
    <w:p>
      <w:pPr>
        <w:framePr w:w="9562"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料可能导致基金投资出现风险的</w:t>
      </w:r>
      <w:r>
        <w:rPr>
          <w:rFonts w:ascii="GGHCMB+å®ä½"/>
          <w:color w:val="222222"/>
          <w:spacing w:val="0"/>
          <w:sz w:val="21"/>
        </w:rPr>
        <w:t>,</w:t>
      </w:r>
      <w:r>
        <w:rPr>
          <w:rFonts w:ascii="SKJVQB+å®ä½" w:hAnsi="SKJVQB+å®ä½" w:cs="SKJVQB+å®ä½"/>
          <w:color w:val="222222"/>
          <w:spacing w:val="0"/>
          <w:sz w:val="21"/>
        </w:rPr>
        <w:t>有权要求基金管理人在投资流通受限证券前就该风险的消</w:t>
      </w:r>
    </w:p>
    <w:p>
      <w:pPr>
        <w:framePr w:w="9562"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除或防范措施进行补充书面说明</w:t>
      </w:r>
      <w:r>
        <w:rPr>
          <w:rFonts w:ascii="GGHCMB+å®ä½"/>
          <w:color w:val="222222"/>
          <w:spacing w:val="0"/>
          <w:sz w:val="21"/>
        </w:rPr>
        <w:t>,</w:t>
      </w:r>
      <w:r>
        <w:rPr>
          <w:rFonts w:ascii="SKJVQB+å®ä½" w:hAnsi="SKJVQB+å®ä½" w:cs="SKJVQB+å®ä½"/>
          <w:color w:val="222222"/>
          <w:spacing w:val="0"/>
          <w:sz w:val="21"/>
        </w:rPr>
        <w:t>并保留查看基金管理人风险管理部门就基金投资流通受限</w:t>
      </w:r>
    </w:p>
    <w:p>
      <w:pPr>
        <w:framePr w:w="9562" w:wrap="around" w:vAnchor="margin" w:hAnchor="text" w:x="1800" w:y="1084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证券出具的风险评估报告等备查资料的权利。否则</w:t>
      </w:r>
      <w:r>
        <w:rPr>
          <w:rFonts w:ascii="GGHCMB+å®ä½"/>
          <w:color w:val="222222"/>
          <w:spacing w:val="0"/>
          <w:sz w:val="21"/>
        </w:rPr>
        <w:t>,</w:t>
      </w:r>
      <w:r>
        <w:rPr>
          <w:rFonts w:ascii="SKJVQB+å®ä½" w:hAnsi="SKJVQB+å®ä½" w:cs="SKJVQB+å®ä½"/>
          <w:color w:val="222222"/>
          <w:spacing w:val="0"/>
          <w:sz w:val="21"/>
        </w:rPr>
        <w:t>基金托管人有权拒绝执行有关指令。因</w:t>
      </w:r>
    </w:p>
    <w:p>
      <w:pPr>
        <w:framePr w:w="9562"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拒绝执行该指令造成基金财产损失的 </w:t>
      </w:r>
      <w:r>
        <w:rPr>
          <w:rFonts w:ascii="GGHCMB+å®ä½"/>
          <w:color w:val="222222"/>
          <w:spacing w:val="0"/>
          <w:sz w:val="21"/>
        </w:rPr>
        <w:t>,</w:t>
      </w:r>
      <w:r>
        <w:rPr>
          <w:rFonts w:ascii="SKJVQB+å®ä½" w:hAnsi="SKJVQB+å®ä½" w:cs="SKJVQB+å®ä½"/>
          <w:color w:val="222222"/>
          <w:spacing w:val="0"/>
          <w:sz w:val="21"/>
        </w:rPr>
        <w:t xml:space="preserve">基金托管人不承担任何责任 </w:t>
      </w:r>
      <w:r>
        <w:rPr>
          <w:rFonts w:ascii="GGHCMB+å®ä½"/>
          <w:color w:val="222222"/>
          <w:spacing w:val="0"/>
          <w:sz w:val="21"/>
        </w:rPr>
        <w:t>,</w:t>
      </w:r>
      <w:r>
        <w:rPr>
          <w:rFonts w:ascii="SKJVQB+å®ä½" w:hAnsi="SKJVQB+å®ä½" w:cs="SKJVQB+å®ä½"/>
          <w:color w:val="222222"/>
          <w:spacing w:val="0"/>
          <w:sz w:val="21"/>
        </w:rPr>
        <w:t>并有权报告中国证监</w:t>
      </w:r>
    </w:p>
    <w:p>
      <w:pPr>
        <w:framePr w:w="9562"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会。</w:t>
      </w:r>
    </w:p>
    <w:p>
      <w:pPr>
        <w:framePr w:w="9557"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如基金管理人和基金托管人无法达成一致</w:t>
      </w:r>
      <w:r>
        <w:rPr>
          <w:rFonts w:ascii="GGHCMB+å®ä½"/>
          <w:color w:val="222222"/>
          <w:spacing w:val="0"/>
          <w:sz w:val="21"/>
        </w:rPr>
        <w:t>,</w:t>
      </w:r>
      <w:r>
        <w:rPr>
          <w:rFonts w:ascii="SKJVQB+å®ä½" w:hAnsi="SKJVQB+å®ä½" w:cs="SKJVQB+å®ä½"/>
          <w:color w:val="222222"/>
          <w:spacing w:val="0"/>
          <w:sz w:val="21"/>
        </w:rPr>
        <w:t>应及时上报中国证监会请求解决。如果基金</w:t>
      </w:r>
    </w:p>
    <w:p>
      <w:pPr>
        <w:framePr w:w="9557"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托管人切实履行监督职责</w:t>
      </w:r>
      <w:r>
        <w:rPr>
          <w:rFonts w:ascii="GGHCMB+å®ä½"/>
          <w:color w:val="222222"/>
          <w:spacing w:val="0"/>
          <w:sz w:val="21"/>
        </w:rPr>
        <w:t>,</w:t>
      </w:r>
      <w:r>
        <w:rPr>
          <w:rFonts w:ascii="SKJVQB+å®ä½" w:hAnsi="SKJVQB+å®ä½" w:cs="SKJVQB+å®ä½"/>
          <w:color w:val="222222"/>
          <w:spacing w:val="0"/>
          <w:sz w:val="21"/>
        </w:rPr>
        <w:t>则不承担任何责任。</w:t>
      </w:r>
    </w:p>
    <w:p>
      <w:pPr>
        <w:framePr w:w="9556" w:wrap="around" w:vAnchor="margin" w:hAnchor="text" w:x="1800" w:y="1411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8</w:t>
      </w:r>
      <w:r>
        <w:rPr>
          <w:rFonts w:ascii="SKJVQB+å®ä½" w:hAnsi="SKJVQB+å®ä½" w:cs="SKJVQB+å®ä½"/>
          <w:color w:val="222222"/>
          <w:spacing w:val="0"/>
          <w:sz w:val="21"/>
        </w:rPr>
        <w:t>）基金托管人根据法律法规的规定及《基金合同》和本协议的约定，对基金投资其</w:t>
      </w:r>
    </w:p>
    <w:p>
      <w:pPr>
        <w:framePr w:w="9556"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他方面进行监督。</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180</w:t>
      </w:r>
    </w:p>
    <w:p>
      <w:pPr>
        <w:spacing w:before="0" w:after="0" w:line="0" w:lineRule="exact"/>
        <w:ind w:left="0" w:right="0"/>
        <w:jc w:val="left"/>
        <w:rPr>
          <w:rFonts w:ascii="Arial"/>
          <w:color w:val="FF0000"/>
          <w:spacing w:val="0"/>
          <w:sz w:val="2"/>
        </w:rPr>
      </w:pPr>
      <w:r>
        <w:pict>
          <v:shape id="_x0000386" o:spid="_x0000_s141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87" o:spid="_x0000_s1413"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800"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（二）基金托管人应根据有关法律法规的规定及基金合同的约定，对基金资产净值计算、</w:t>
      </w:r>
    </w:p>
    <w:p>
      <w:pPr>
        <w:framePr w:w="980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基金份额净值计算、应收资金到账、基金费用开支及收入确认、基金收益分配、相关信息</w:t>
      </w:r>
    </w:p>
    <w:p>
      <w:pPr>
        <w:framePr w:w="980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披露、基金宣传推介材料中登载基金业绩表现数据等进行监督和核查。如果基金管理人未</w:t>
      </w:r>
    </w:p>
    <w:p>
      <w:pPr>
        <w:framePr w:w="9800"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经基金托管人的审核擅自将不实的业绩表现数据印制在宣传推介材料上，则基金托管人对</w:t>
      </w:r>
    </w:p>
    <w:p>
      <w:pPr>
        <w:framePr w:w="980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此不承担任何责任，并有权在发现后报告中国证监会。</w:t>
      </w:r>
    </w:p>
    <w:p>
      <w:pPr>
        <w:framePr w:w="9800"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（三）基金管理人应积极配合和协助基金托管人的监督和核查，在规定时间内答复并改</w:t>
      </w:r>
    </w:p>
    <w:p>
      <w:pPr>
        <w:framePr w:w="980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正，就基金托管人的疑义进行解释或举证。对基金托管人按照法规要求需向中国证监会报</w:t>
      </w:r>
    </w:p>
    <w:p>
      <w:pPr>
        <w:framePr w:w="9800"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送基金监督报告的，基金管理人应积极配合提供相关数据资料和制度等。</w:t>
      </w:r>
    </w:p>
    <w:p>
      <w:pPr>
        <w:framePr w:w="9800" w:wrap="around" w:vAnchor="margin" w:hAnchor="text" w:x="1800" w:y="3494"/>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基金托管人发现基金管理人的投资指令或实际投资运作违反《基金法》及其他有关法规、</w:t>
      </w:r>
    </w:p>
    <w:p>
      <w:pPr>
        <w:framePr w:w="980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《基金合同》和本协议规定的行为，应及时以书面形式通知基金管理人限期纠正，基金管理</w:t>
      </w:r>
    </w:p>
    <w:p>
      <w:pPr>
        <w:framePr w:w="980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人收到通知后应及时核对，并以电话或书面形式向基金托管人反馈，说明违规原因及纠正</w:t>
      </w:r>
    </w:p>
    <w:p>
      <w:pPr>
        <w:framePr w:w="980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期限，并保证在规定期限内及时改正。在限期内，基金托管人有权随时对通知事项进行复</w:t>
      </w:r>
    </w:p>
    <w:p>
      <w:pPr>
        <w:framePr w:w="9800"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查，督促基金管理人改正。基金管理人对基金托管人通知的违规事项未能在限期内纠正的，</w:t>
      </w:r>
    </w:p>
    <w:p>
      <w:pPr>
        <w:framePr w:w="980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基金托管人有权报告中国证监会。</w:t>
      </w:r>
    </w:p>
    <w:p>
      <w:pPr>
        <w:framePr w:w="9546"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基金托管人发现基金管理人有重大违规行为，应立即报告中国证监会，同时通知基金</w:t>
      </w:r>
    </w:p>
    <w:p>
      <w:pPr>
        <w:framePr w:w="9546"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管理人在限期内纠正。</w:t>
      </w:r>
    </w:p>
    <w:p>
      <w:pPr>
        <w:framePr w:w="9559"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基金托管人发现基金管理人的指令违反法律、行政法规和其他有关规定，或者违反《基</w:t>
      </w:r>
    </w:p>
    <w:p>
      <w:pPr>
        <w:framePr w:w="9559"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金合同》约定的，应当拒绝执行，立即通知基金管理人，并及时向中国证监会报告。</w:t>
      </w:r>
    </w:p>
    <w:p>
      <w:pPr>
        <w:framePr w:w="9559" w:wrap="around" w:vAnchor="margin" w:hAnchor="text" w:x="1800" w:y="798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基金托管人发现基金管理人依据交易程序已经生效的指令违反法律、行政法规和其他</w:t>
      </w:r>
    </w:p>
    <w:p>
      <w:pPr>
        <w:framePr w:w="9559"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有关规定，或者违反《基金合同》约定的，应当立即通知基金管理人，并及时向中国证监会</w:t>
      </w:r>
    </w:p>
    <w:p>
      <w:pPr>
        <w:framePr w:w="9559"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报告。</w:t>
      </w:r>
    </w:p>
    <w:p>
      <w:pPr>
        <w:framePr w:w="4353"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三、基金管理人对基金托管人的业务核查</w:t>
      </w:r>
    </w:p>
    <w:p>
      <w:pPr>
        <w:framePr w:w="9559" w:wrap="around" w:vAnchor="margin" w:hAnchor="text" w:x="1800" w:y="1084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根据《基金法》及其他有关法规、《基金合同》和本协议规定，基金管理人对基金托管</w:t>
      </w:r>
    </w:p>
    <w:p>
      <w:pPr>
        <w:framePr w:w="9559"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人履行托管职责的情况进行核查，核查事项包括但不限于基金托管人是否安全保管基金财</w:t>
      </w:r>
    </w:p>
    <w:p>
      <w:pPr>
        <w:framePr w:w="9559"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产、开立基金财产的资金账户和证券账户及债券托管账户，是否及时、准确复核基金管理</w:t>
      </w:r>
    </w:p>
    <w:p>
      <w:pPr>
        <w:framePr w:w="9559" w:wrap="around" w:vAnchor="margin" w:hAnchor="text" w:x="1800" w:y="1084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人计算的基金资产净值和基金份额净值，是否根据基金管理人指令办理清算交收，是否按</w:t>
      </w:r>
    </w:p>
    <w:p>
      <w:pPr>
        <w:framePr w:w="9559"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照法规规定和《基金合同》规定进行相关信息披露和监督基金投资运作等行为。</w:t>
      </w:r>
    </w:p>
    <w:p>
      <w:pPr>
        <w:framePr w:w="9559" w:wrap="around" w:vAnchor="margin" w:hAnchor="text" w:x="1800" w:y="1084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基金管理人定期和不定期地对基金托管人保管的基金资产进行核查。基金托管人应积</w:t>
      </w:r>
    </w:p>
    <w:p>
      <w:pPr>
        <w:framePr w:w="9559"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极配合基金管理人的核查行为，包括但不限于：提交相关资料以供基金管理人核查托管财</w:t>
      </w:r>
    </w:p>
    <w:p>
      <w:pPr>
        <w:framePr w:w="9559"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产的完整性和真实性，在规定时间内答复并改正。</w:t>
      </w:r>
    </w:p>
    <w:p>
      <w:pPr>
        <w:framePr w:w="9559" w:wrap="around" w:vAnchor="margin" w:hAnchor="text" w:x="1800" w:y="1411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基金管理人发现基金托管人未对基金资产实行分账管理、擅自挪用基金资产、未执行</w:t>
      </w:r>
    </w:p>
    <w:p>
      <w:pPr>
        <w:framePr w:w="9559"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或无故延迟执行基金管理人资金划拨指令、泄露基金投资信息等违反《基金法》、《基金合</w:t>
      </w:r>
    </w:p>
    <w:p>
      <w:pPr>
        <w:framePr w:w="9559"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同》、本协议及其他有关规定的，应及时以书面形式通知基金托管人在限期内纠正，基金托</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181</w:t>
      </w:r>
    </w:p>
    <w:p>
      <w:pPr>
        <w:spacing w:before="0" w:after="0" w:line="0" w:lineRule="exact"/>
        <w:ind w:left="0" w:right="0"/>
        <w:jc w:val="left"/>
        <w:rPr>
          <w:rFonts w:ascii="Arial"/>
          <w:color w:val="FF0000"/>
          <w:spacing w:val="0"/>
          <w:sz w:val="2"/>
        </w:rPr>
      </w:pPr>
      <w:r>
        <w:pict>
          <v:shape id="_x0000388" o:spid="_x0000_s141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89" o:spid="_x0000_s1415"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4" w:wrap="around" w:vAnchor="margin" w:hAnchor="text" w:x="180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管人收到通知后应及时核对并以书面形式对基金管理人发出回函。在限期内，基金管理人</w:t>
      </w:r>
    </w:p>
    <w:p>
      <w:pPr>
        <w:framePr w:w="9554"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有权随时对通知事项进行复查，督促基金托管人改正。基金托管人对基金管理人通知的违</w:t>
      </w:r>
    </w:p>
    <w:p>
      <w:pPr>
        <w:framePr w:w="9554"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规事项未能在限期内纠正的，基金管理人应报告中国证监会。对基金管理人按照法规要求</w:t>
      </w:r>
    </w:p>
    <w:p>
      <w:pPr>
        <w:framePr w:w="9554"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需向中国证监会报送基金监督报告的，基金托管人应积极配合提供相关数据资料和制度</w:t>
      </w:r>
    </w:p>
    <w:p>
      <w:pPr>
        <w:framePr w:w="9554"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等。</w:t>
      </w:r>
    </w:p>
    <w:p>
      <w:pPr>
        <w:framePr w:w="9553"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基金管理人发现基金托管人有重大违规行为，应立即报告中国证监会，同时通知基金</w:t>
      </w:r>
    </w:p>
    <w:p>
      <w:pPr>
        <w:framePr w:w="9553"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托管人在限期内纠正。</w:t>
      </w:r>
    </w:p>
    <w:p>
      <w:pPr>
        <w:framePr w:w="2209" w:wrap="around" w:vAnchor="margin" w:hAnchor="text" w:x="2220" w:y="47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四、基金财产的保管</w:t>
      </w:r>
    </w:p>
    <w:p>
      <w:pPr>
        <w:framePr w:w="2901"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（一）基金财产保管的原则</w:t>
      </w:r>
    </w:p>
    <w:p>
      <w:pPr>
        <w:framePr w:w="9559"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）基金托管人应安全保管基金财产，未经基金管理人依据合法程序作出的合法合规</w:t>
      </w:r>
    </w:p>
    <w:p>
      <w:pPr>
        <w:framePr w:w="9559"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的指令，不得自行运用、处分、分配基金的任何资产。</w:t>
      </w:r>
    </w:p>
    <w:p>
      <w:pPr>
        <w:framePr w:w="9546"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 xml:space="preserve"> ）基金财产应独立于基金管理人、基金托管人的固有财产。</w:t>
      </w:r>
    </w:p>
    <w:p>
      <w:pPr>
        <w:framePr w:w="9546" w:wrap="around" w:vAnchor="margin" w:hAnchor="text" w:x="1800" w:y="635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 xml:space="preserve"> ）基金托管人按照规定开立基金财产的资金账户、证券账户和债券托管账户。</w:t>
      </w:r>
    </w:p>
    <w:p>
      <w:pPr>
        <w:framePr w:w="9546" w:wrap="around" w:vAnchor="margin" w:hAnchor="text" w:x="1800" w:y="635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 xml:space="preserve"> ）基金托管人对所托管的不同基金财产分别设置账户，确保基金财产的完整和独</w:t>
      </w:r>
    </w:p>
    <w:p>
      <w:pPr>
        <w:framePr w:w="9546"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立。</w:t>
      </w:r>
    </w:p>
    <w:p>
      <w:pPr>
        <w:framePr w:w="9556"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）对于因为基金投资产生的应收资产和基金申购过程中产生的应收资产，应由基金</w:t>
      </w:r>
    </w:p>
    <w:p>
      <w:pPr>
        <w:framePr w:w="9556"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管理人负责与有关当事人确定到账日期并通知基金托管人，到账日基金资产没有到达基金</w:t>
      </w:r>
    </w:p>
    <w:p>
      <w:pPr>
        <w:framePr w:w="9556"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银行存款账户的，基金托管人应及时通知基金管理人采取措施进行催收。由此给基金造成</w:t>
      </w:r>
    </w:p>
    <w:p>
      <w:pPr>
        <w:framePr w:w="9556"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损失的，基金管理人应负责向有关当事人追偿基金的损失。基金托管人对此不承担任何责</w:t>
      </w:r>
    </w:p>
    <w:p>
      <w:pPr>
        <w:framePr w:w="9556"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任。</w:t>
      </w:r>
    </w:p>
    <w:p>
      <w:pPr>
        <w:framePr w:w="2901"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（二）基金募集资产的验证</w:t>
      </w:r>
    </w:p>
    <w:p>
      <w:pPr>
        <w:framePr w:w="9560" w:wrap="around" w:vAnchor="margin" w:hAnchor="text" w:x="1800" w:y="1044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基金募集期满或基金提前结束募集之日起</w:t>
      </w:r>
      <w:r>
        <w:rPr>
          <w:rFonts w:ascii="GGHCMB+å®ä½"/>
          <w:color w:val="222222"/>
          <w:spacing w:val="0"/>
          <w:sz w:val="21"/>
        </w:rPr>
        <w:t>10</w:t>
      </w:r>
      <w:r>
        <w:rPr>
          <w:rFonts w:ascii="SKJVQB+å®ä½" w:hAnsi="SKJVQB+å®ä½" w:cs="SKJVQB+å®ä½"/>
          <w:color w:val="222222"/>
          <w:spacing w:val="0"/>
          <w:sz w:val="21"/>
        </w:rPr>
        <w:t>日内，募集的基金份额总额、基金募集金</w:t>
      </w:r>
    </w:p>
    <w:p>
      <w:pPr>
        <w:framePr w:w="9560" w:wrap="around" w:vAnchor="margin" w:hAnchor="text" w:x="1800" w:y="1044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额、基金认购人数符合《基金法》、《运作办法》等有关规定后，由基金管理人聘请具有从</w:t>
      </w:r>
    </w:p>
    <w:p>
      <w:pPr>
        <w:framePr w:w="9560"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事证券相关业务资格的会计师事务所进行验资，出具验资报告，出具的验资报告应由参加</w:t>
      </w:r>
    </w:p>
    <w:p>
      <w:pPr>
        <w:framePr w:w="9560"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验资的</w:t>
      </w:r>
      <w:r>
        <w:rPr>
          <w:rFonts w:ascii="GGHCMB+å®ä½"/>
          <w:color w:val="222222"/>
          <w:spacing w:val="0"/>
          <w:sz w:val="21"/>
        </w:rPr>
        <w:t>2</w:t>
      </w:r>
      <w:r>
        <w:rPr>
          <w:rFonts w:ascii="SKJVQB+å®ä½" w:hAnsi="SKJVQB+å®ä½" w:cs="SKJVQB+å®ä½"/>
          <w:color w:val="222222"/>
          <w:spacing w:val="0"/>
          <w:sz w:val="21"/>
        </w:rPr>
        <w:t>名以上（含</w:t>
      </w:r>
      <w:r>
        <w:rPr>
          <w:rFonts w:ascii="GGHCMB+å®ä½"/>
          <w:color w:val="222222"/>
          <w:spacing w:val="0"/>
          <w:sz w:val="21"/>
        </w:rPr>
        <w:t>2</w:t>
      </w:r>
      <w:r>
        <w:rPr>
          <w:rFonts w:ascii="SKJVQB+å®ä½" w:hAnsi="SKJVQB+å®ä½" w:cs="SKJVQB+å®ä½"/>
          <w:color w:val="222222"/>
          <w:spacing w:val="0"/>
          <w:sz w:val="21"/>
        </w:rPr>
        <w:t>名）中国注册会计师签字有效。验资完成，基金管理人应将募集到的</w:t>
      </w:r>
    </w:p>
    <w:p>
      <w:pPr>
        <w:framePr w:w="9560" w:wrap="around" w:vAnchor="margin" w:hAnchor="text" w:x="1800" w:y="1044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全部资金存入基金托管人为基金开立的基金银行存款账户中，基金托管人在收到资金当日</w:t>
      </w:r>
    </w:p>
    <w:p>
      <w:pPr>
        <w:framePr w:w="9560" w:wrap="around" w:vAnchor="margin" w:hAnchor="text" w:x="1800" w:y="1044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出具相关证明文件。</w:t>
      </w:r>
    </w:p>
    <w:p>
      <w:pPr>
        <w:framePr w:w="4353" w:wrap="around" w:vAnchor="margin" w:hAnchor="text" w:x="2220" w:y="1289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（三）基金的银行存款账户的开立和管理</w:t>
      </w:r>
    </w:p>
    <w:p>
      <w:pPr>
        <w:framePr w:w="9559"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）基金托管人应负责本基金银行存款账户的开立和管理。</w:t>
      </w:r>
    </w:p>
    <w:p>
      <w:pPr>
        <w:framePr w:w="9559" w:wrap="around" w:vAnchor="margin" w:hAnchor="text" w:x="1800" w:y="13300"/>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）基金托管人以本基金的名义在其营业机构开立基金的银行存款账户，并根据中国</w:t>
      </w:r>
    </w:p>
    <w:p>
      <w:pPr>
        <w:framePr w:w="9559" w:wrap="around" w:vAnchor="margin" w:hAnchor="text" w:x="1800" w:y="1330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人民银行规定计息。本基金的银行预留印鉴由基金托管人制作、保管和使用。本基金的一</w:t>
      </w:r>
    </w:p>
    <w:p>
      <w:pPr>
        <w:framePr w:w="9559"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切货币收支活动，包括但不限于投资、支付赎回金额、支付基金收益，均需通过本基金的</w:t>
      </w:r>
    </w:p>
    <w:p>
      <w:pPr>
        <w:framePr w:w="9559"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银行存款账户进行。</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182</w:t>
      </w:r>
    </w:p>
    <w:p>
      <w:pPr>
        <w:spacing w:before="0" w:after="0" w:line="0" w:lineRule="exact"/>
        <w:ind w:left="0" w:right="0"/>
        <w:jc w:val="left"/>
        <w:rPr>
          <w:rFonts w:ascii="Arial"/>
          <w:color w:val="FF0000"/>
          <w:spacing w:val="0"/>
          <w:sz w:val="2"/>
        </w:rPr>
      </w:pPr>
      <w:r>
        <w:pict>
          <v:shape id="_x0000390" o:spid="_x0000_s141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91" o:spid="_x0000_s1417"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6"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）本基金银行存款账户的开立和使用，限于满足开展本基金业务的需要。基金托管</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人和基金管理人不得假借本基金的名义开立其他任何银行存款账户；亦不得使用基金的任</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何银行存款账户进行本基金业务以外的活动。</w:t>
      </w:r>
    </w:p>
    <w:p>
      <w:pPr>
        <w:framePr w:w="9559"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）基金托管人可以通过申请开通本基金银行存款账户的企业网上银行业务进行资金</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支付，并使用交通银行企业网上银行（简称“交通银行网银”）办理托管资产的资金结算汇</w:t>
      </w:r>
    </w:p>
    <w:p>
      <w:pPr>
        <w:framePr w:w="9559"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划业务。</w:t>
      </w:r>
    </w:p>
    <w:p>
      <w:pPr>
        <w:framePr w:w="9556"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5</w:t>
      </w:r>
      <w:r>
        <w:rPr>
          <w:rFonts w:ascii="SKJVQB+å®ä½" w:hAnsi="SKJVQB+å®ä½" w:cs="SKJVQB+å®ä½"/>
          <w:color w:val="222222"/>
          <w:spacing w:val="0"/>
          <w:sz w:val="21"/>
        </w:rPr>
        <w:t>）基金银行存款账户的管理应符合《中华人民共和国票据法》、《人民币银行账户</w:t>
      </w:r>
    </w:p>
    <w:p>
      <w:pPr>
        <w:framePr w:w="9556"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结算管理办法》、《现金管理暂行条例实施细则》、《人民币利率管理规定》、《支付结算</w:t>
      </w:r>
    </w:p>
    <w:p>
      <w:pPr>
        <w:framePr w:w="9556" w:wrap="around" w:vAnchor="margin" w:hAnchor="text" w:x="1800" w:y="390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办法》以及银行业监督管理机构的其他规定。</w:t>
      </w:r>
    </w:p>
    <w:p>
      <w:pPr>
        <w:framePr w:w="5802"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（四）基金证券交收账户、资金交收账户的开立和管理</w:t>
      </w:r>
    </w:p>
    <w:p>
      <w:pPr>
        <w:framePr w:w="9553"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基金托管人以基金托管人和本基金联名的方式在中国证券登记结算有限责任公司开立</w:t>
      </w:r>
    </w:p>
    <w:p>
      <w:pPr>
        <w:framePr w:w="9553"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证券账户。</w:t>
      </w:r>
    </w:p>
    <w:p>
      <w:pPr>
        <w:framePr w:w="9553"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基金证券账户的开立和使用，限于满足开展本基金业务的需要。基金托管人和基金管</w:t>
      </w:r>
    </w:p>
    <w:p>
      <w:pPr>
        <w:framePr w:w="9553"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理人不得出借和未经对方同意擅自转让基金的任何证券账户；亦不得使用基金的任何账户</w:t>
      </w:r>
    </w:p>
    <w:p>
      <w:pPr>
        <w:framePr w:w="9553"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进行本基金业务以外的活动。</w:t>
      </w:r>
    </w:p>
    <w:p>
      <w:pPr>
        <w:framePr w:w="9553" w:wrap="around" w:vAnchor="margin" w:hAnchor="text" w:x="1800" w:y="75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基金管理人不得对基金证券交收账户、资金交收账户进行证券的超卖或超买。</w:t>
      </w:r>
    </w:p>
    <w:p>
      <w:pPr>
        <w:framePr w:w="9553" w:wrap="around" w:vAnchor="margin" w:hAnchor="text" w:x="1800" w:y="7580"/>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基金托管人以基金托管人的名义在中国证券登记结算有限责任公司开立结算备付金账</w:t>
      </w:r>
    </w:p>
    <w:p>
      <w:pPr>
        <w:framePr w:w="9553" w:wrap="around" w:vAnchor="margin" w:hAnchor="text" w:x="1800" w:y="758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户即资金交收账户，用于证券交易资金的结算。基金托管人以本基金的名义在托管人处开</w:t>
      </w:r>
    </w:p>
    <w:p>
      <w:pPr>
        <w:framePr w:w="9553"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立基金的证券交易资金结算的二级结算备付金账户。</w:t>
      </w:r>
    </w:p>
    <w:p>
      <w:pPr>
        <w:framePr w:w="3627" w:wrap="around" w:vAnchor="margin" w:hAnchor="text" w:x="2220" w:y="921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（五）债券托管账户的开立和管理</w:t>
      </w:r>
    </w:p>
    <w:p>
      <w:pPr>
        <w:framePr w:w="9557" w:wrap="around" w:vAnchor="margin" w:hAnchor="text" w:x="1800" w:y="962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）基金合同生效后，基金托管人负责向人民银行进行报备，并在备案通过后在中央</w:t>
      </w:r>
    </w:p>
    <w:p>
      <w:pPr>
        <w:framePr w:w="9557" w:wrap="around" w:vAnchor="margin" w:hAnchor="text" w:x="180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国债登记结算有限责任公司和银行间市场清算所股份有限公司以本基金的名义开立债券托</w:t>
      </w:r>
    </w:p>
    <w:p>
      <w:pPr>
        <w:framePr w:w="9557"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管账户，并由基金托管人负责基金的债券及资金的清算。基金管理人负责申请基金进入全</w:t>
      </w:r>
    </w:p>
    <w:p>
      <w:pPr>
        <w:framePr w:w="9557" w:wrap="around" w:vAnchor="margin" w:hAnchor="text" w:x="1800" w:y="9622"/>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国银行间同业拆借市场进行交易，由基金管理人在中国外汇交易中心开设同业拆借市场交</w:t>
      </w:r>
    </w:p>
    <w:p>
      <w:pPr>
        <w:framePr w:w="9557"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易账户。</w:t>
      </w:r>
    </w:p>
    <w:p>
      <w:pPr>
        <w:framePr w:w="9556" w:wrap="around" w:vAnchor="margin" w:hAnchor="text" w:x="1800" w:y="1166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）基金管理人代表基金签订全国银行间债券市场债券回购主协议，协议正本由基金</w:t>
      </w:r>
    </w:p>
    <w:p>
      <w:pPr>
        <w:framePr w:w="9556" w:wrap="around" w:vAnchor="margin" w:hAnchor="text" w:x="1800" w:y="11665"/>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管理人保存。</w:t>
      </w:r>
    </w:p>
    <w:p>
      <w:pPr>
        <w:framePr w:w="3144" w:wrap="around" w:vAnchor="margin" w:hAnchor="text" w:x="2220" w:y="1248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（六）其他账户的开立和管理</w:t>
      </w:r>
    </w:p>
    <w:p>
      <w:pPr>
        <w:framePr w:w="9553" w:wrap="around" w:vAnchor="margin" w:hAnchor="text" w:x="1800" w:y="1289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若中国证监会或其他监管机构在本托管协议订立日之后允许基金从事其他投资品种的</w:t>
      </w:r>
    </w:p>
    <w:p>
      <w:pPr>
        <w:framePr w:w="9553"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投资业务，涉及相关账户的开立、使用的，由基金管理人协助基金托管人根据有关法律法</w:t>
      </w:r>
    </w:p>
    <w:p>
      <w:pPr>
        <w:framePr w:w="9553" w:wrap="around" w:vAnchor="margin" w:hAnchor="text" w:x="1800" w:y="1289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规的规定和《基金合同》的约定，开立有关账户。该账户按有关规则使用并管理。</w:t>
      </w:r>
    </w:p>
    <w:p>
      <w:pPr>
        <w:framePr w:w="9553" w:wrap="around" w:vAnchor="margin" w:hAnchor="text" w:x="1800" w:y="12892"/>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（七）基金财产投资的有关实物证券、银行存款定期存单等有价凭证的保管</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183</w:t>
      </w:r>
    </w:p>
    <w:p>
      <w:pPr>
        <w:spacing w:before="0" w:after="0" w:line="0" w:lineRule="exact"/>
        <w:ind w:left="0" w:right="0"/>
        <w:jc w:val="left"/>
        <w:rPr>
          <w:rFonts w:ascii="Arial"/>
          <w:color w:val="FF0000"/>
          <w:spacing w:val="0"/>
          <w:sz w:val="2"/>
        </w:rPr>
      </w:pPr>
      <w:r>
        <w:pict>
          <v:shape id="_x0000392" o:spid="_x0000_s141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35" o:title=""/>
            <o:lock v:ext="edit" aspectratio="t"/>
          </v:shape>
        </w:pict>
      </w:r>
      <w:r>
        <w:pict>
          <v:shape id="_x0000393" o:spid="_x0000_s1419" o:spt="75" type="#_x0000_t75" style="position:absolute;left:0pt;margin-left:88.6pt;margin-top:71.1pt;height:653.75pt;width:418.3pt;mso-position-horizontal-relative:page;mso-position-vertical-relative:page;z-index:-2048;mso-width-relative:page;mso-height-relative:page;" filled="f" coordsize="21600,21600">
            <v:path/>
            <v:fill on="f" focussize="0,0"/>
            <v:stroke/>
            <v:imagedata r:id="rId36"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实物证券由基金托管人存放于基金托管人的保管库。实物证券的购买和转让，由基金</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托管人根据基金管理人的指令办理。基金托管人对由基金托管人以外机构实际有效控制的</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本基金资产不承担保管责任。</w:t>
      </w:r>
    </w:p>
    <w:p>
      <w:pPr>
        <w:framePr w:w="5802" w:wrap="around" w:vAnchor="margin" w:hAnchor="text" w:x="2220" w:y="267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银行存款定期存单等有价凭证由基金托管人负责保管。</w:t>
      </w:r>
    </w:p>
    <w:p>
      <w:pPr>
        <w:framePr w:w="4353" w:wrap="around" w:vAnchor="margin" w:hAnchor="text" w:x="2220" w:y="308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（八）与基金财产有关的重大合同的保管</w:t>
      </w:r>
    </w:p>
    <w:p>
      <w:pPr>
        <w:framePr w:w="9552"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由基金管理人代表基金签署的与基金有关的重大合同的原件分别由基金托管人、基金</w:t>
      </w:r>
    </w:p>
    <w:p>
      <w:pPr>
        <w:framePr w:w="9552"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管理人保管，相关业务程序另有限制除外。除本协议另有规定外，基金管理人在代基金签</w:t>
      </w:r>
    </w:p>
    <w:p>
      <w:pPr>
        <w:framePr w:w="9552"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署与基金有关的重大合同时应尽可能保证持有二份以上的正本，以便基金管理人和基金托</w:t>
      </w:r>
    </w:p>
    <w:p>
      <w:pPr>
        <w:framePr w:w="9552" w:wrap="around" w:vAnchor="margin" w:hAnchor="text" w:x="1800" w:y="349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管人至少各持有一份正本的原件，基金管理人应及时将正本送达基金托管人处。合同的保</w:t>
      </w:r>
    </w:p>
    <w:p>
      <w:pPr>
        <w:framePr w:w="9552"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管期限按照国家有关规定执行。</w:t>
      </w:r>
    </w:p>
    <w:p>
      <w:pPr>
        <w:framePr w:w="9553"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对于无法取得二份以上的正本的，基金管理人应向基金托管人提供加盖授权业务章的</w:t>
      </w:r>
    </w:p>
    <w:p>
      <w:pPr>
        <w:framePr w:w="9553"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合同传真件，未经双方协商或未在合同约定范围内，合同原件不得转移。</w:t>
      </w:r>
    </w:p>
    <w:p>
      <w:pPr>
        <w:framePr w:w="3627" w:wrap="around" w:vAnchor="margin" w:hAnchor="text" w:x="2220" w:y="676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五、基金资产净值计算和会计核算</w:t>
      </w:r>
    </w:p>
    <w:p>
      <w:pPr>
        <w:framePr w:w="5319" w:wrap="around" w:vAnchor="margin" w:hAnchor="text" w:x="2220" w:y="717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（一）基金资产净值及基金份额净值的计算与复核</w:t>
      </w:r>
    </w:p>
    <w:p>
      <w:pPr>
        <w:framePr w:w="5559" w:wrap="around" w:vAnchor="margin" w:hAnchor="text" w:x="2220" w:y="7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基金资产净值是指基金资产总值减去负债后的价值。</w:t>
      </w:r>
    </w:p>
    <w:p>
      <w:pPr>
        <w:framePr w:w="9562"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基金管理人应每工作日对基金资产估值。估值原则应符合《基金合同》、《关于证券投</w:t>
      </w:r>
    </w:p>
    <w:p>
      <w:pPr>
        <w:framePr w:w="9562"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资基金执行</w:t>
      </w:r>
      <w:r>
        <w:rPr>
          <w:rFonts w:ascii="GGHCMB+å®ä½"/>
          <w:color w:val="222222"/>
          <w:spacing w:val="0"/>
          <w:sz w:val="21"/>
        </w:rPr>
        <w:t>&lt;</w:t>
      </w:r>
      <w:r>
        <w:rPr>
          <w:rFonts w:ascii="SKJVQB+å®ä½" w:hAnsi="SKJVQB+å®ä½" w:cs="SKJVQB+å®ä½"/>
          <w:color w:val="222222"/>
          <w:spacing w:val="0"/>
          <w:sz w:val="21"/>
        </w:rPr>
        <w:t>企业会计准则</w:t>
      </w:r>
      <w:r>
        <w:rPr>
          <w:rFonts w:ascii="GGHCMB+å®ä½"/>
          <w:color w:val="222222"/>
          <w:spacing w:val="0"/>
          <w:sz w:val="21"/>
        </w:rPr>
        <w:t>&gt;</w:t>
      </w:r>
      <w:r>
        <w:rPr>
          <w:rFonts w:ascii="SKJVQB+å®ä½" w:hAnsi="SKJVQB+å®ä½" w:cs="SKJVQB+å®ä½"/>
          <w:color w:val="222222"/>
          <w:spacing w:val="0"/>
          <w:sz w:val="21"/>
        </w:rPr>
        <w:t>估值业务及份额净值计价有关事项的通知》及其他法律、法规的</w:t>
      </w:r>
    </w:p>
    <w:p>
      <w:pPr>
        <w:framePr w:w="9562"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规定。用于基金信息披露的基金资产净值和基金份额净值由基金管理人负责计算，基金托</w:t>
      </w:r>
    </w:p>
    <w:p>
      <w:pPr>
        <w:framePr w:w="9562"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管人复核。基金管理人应于每个工作日交易结束后计算当日的基金资产净值，以约定方式</w:t>
      </w:r>
    </w:p>
    <w:p>
      <w:pPr>
        <w:framePr w:w="9562" w:wrap="around" w:vAnchor="margin" w:hAnchor="text" w:x="1800" w:y="798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发送给基金托管人。基金托管人对净值计算结果复核后，将复核结果反馈给基金管理人，</w:t>
      </w:r>
    </w:p>
    <w:p>
      <w:pPr>
        <w:framePr w:w="9562"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由基金管理人对基金份额净值予以公布。</w:t>
      </w:r>
    </w:p>
    <w:p>
      <w:pPr>
        <w:framePr w:w="2661"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本基金按以下方法估值：</w:t>
      </w:r>
    </w:p>
    <w:p>
      <w:pPr>
        <w:framePr w:w="3989"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、证券交易所上市的有价证券的估值</w:t>
      </w:r>
    </w:p>
    <w:p>
      <w:pPr>
        <w:framePr w:w="9560"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）交易所上市的有价证券（包括股票、权证等），以其估值日在证券交易所挂牌的</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市价（收盘价）估值；估值日无交易的，且最近交易日后经济环境未发生重大变化或证券发</w:t>
      </w:r>
    </w:p>
    <w:p>
      <w:pPr>
        <w:framePr w:w="9560"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行机构未发生影响证券价格的重大事件的，以最近交易日的市价（收盘价）估值；如最近交</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易日后经济环境发生了重大变化或证券发行机构发生影响证券价格的重大事件的，可参考</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类似投资品种的现行市价及重大变化因素，调整最近交易市价，确定公允价格；</w:t>
      </w:r>
    </w:p>
    <w:p>
      <w:pPr>
        <w:framePr w:w="9560" w:wrap="around" w:vAnchor="margin" w:hAnchor="text" w:x="1800" w:y="1125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）交易所上市实行净价交易的债券按估值日收盘价估值，估值日没有交易的，且最</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近交易日后经济环境未发生重大变化，按最近交易日的收盘价估值。如最近交易日后经济</w:t>
      </w:r>
    </w:p>
    <w:p>
      <w:pPr>
        <w:framePr w:w="9560"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环境发生了重大变化的，可参考类似投资品种的现行市价及重大变化因素，调整最近交易</w:t>
      </w:r>
    </w:p>
    <w:p>
      <w:pPr>
        <w:framePr w:w="9560"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市价，确定公允价格；</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184</w:t>
      </w:r>
    </w:p>
    <w:p>
      <w:pPr>
        <w:spacing w:before="0" w:after="0" w:line="0" w:lineRule="exact"/>
        <w:ind w:left="0" w:right="0"/>
        <w:jc w:val="left"/>
        <w:rPr>
          <w:rFonts w:ascii="Arial"/>
          <w:color w:val="FF0000"/>
          <w:spacing w:val="0"/>
          <w:sz w:val="2"/>
        </w:rPr>
      </w:pPr>
      <w:r>
        <w:pict>
          <v:shape id="_x0000394" o:spid="_x0000_s142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95" o:spid="_x0000_s1421"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6"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）交易所上市未实行净价交易的债券按估值日收盘价减去债券收盘价中所含的债券</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应收利息得到的净价进行估值；估值日没有交易的，且最近交易日后经济环境未发生重大</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变化，按最近交易日债券收盘价减去债券收盘价中所含的债券应收利息得到的净价进行估</w:t>
      </w:r>
    </w:p>
    <w:p>
      <w:pPr>
        <w:framePr w:w="9556" w:wrap="around" w:vAnchor="margin" w:hAnchor="text" w:x="1800" w:y="145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值。如最近交易日后经济环境发生了重大变化的，可参考类似投资品种的现行市价及重大</w:t>
      </w:r>
    </w:p>
    <w:p>
      <w:pPr>
        <w:framePr w:w="9556"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变化因素，调整最近交易市价，确定公允价格；</w:t>
      </w:r>
    </w:p>
    <w:p>
      <w:pPr>
        <w:framePr w:w="9557"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4</w:t>
      </w:r>
      <w:r>
        <w:rPr>
          <w:rFonts w:ascii="SKJVQB+å®ä½" w:hAnsi="SKJVQB+å®ä½" w:cs="SKJVQB+å®ä½"/>
          <w:color w:val="222222"/>
          <w:spacing w:val="0"/>
          <w:sz w:val="21"/>
        </w:rPr>
        <w:t>）交易所上市不存在活跃市场的有价证券，采用估值技术确定公允价值。交易所上</w:t>
      </w:r>
    </w:p>
    <w:p>
      <w:pPr>
        <w:framePr w:w="9557"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市的资产支持证券，采用估值技术确定公允价值，在估值技术难以可靠计量公允价值的情</w:t>
      </w:r>
    </w:p>
    <w:p>
      <w:pPr>
        <w:framePr w:w="9557"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况下，按成本估值。</w:t>
      </w:r>
    </w:p>
    <w:p>
      <w:pPr>
        <w:framePr w:w="5678" w:wrap="around" w:vAnchor="margin" w:hAnchor="text" w:x="2220" w:y="472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、处于未上市期间的有价证券应区分如下情况处理：</w:t>
      </w:r>
    </w:p>
    <w:p>
      <w:pPr>
        <w:framePr w:w="9556" w:wrap="around" w:vAnchor="margin" w:hAnchor="text" w:x="1800" w:y="512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）送股、转增股、配股和公开增发的股票，按估值日在证券交易所挂牌的同一股票</w:t>
      </w:r>
    </w:p>
    <w:p>
      <w:pPr>
        <w:framePr w:w="9556" w:wrap="around" w:vAnchor="margin" w:hAnchor="text" w:x="1800" w:y="512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的估值方法估值；该日无交易的，以最近一日的市价（收盘价）估值；</w:t>
      </w:r>
    </w:p>
    <w:p>
      <w:pPr>
        <w:framePr w:w="9556" w:wrap="around" w:vAnchor="margin" w:hAnchor="text" w:x="1800" w:y="512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）首次公开发行未上市的股票、债券和权证，采用估值技术确定公允价值，在估值</w:t>
      </w:r>
    </w:p>
    <w:p>
      <w:pPr>
        <w:framePr w:w="9556" w:wrap="around" w:vAnchor="margin" w:hAnchor="text" w:x="1800" w:y="512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技术难以可靠计量公允价值的情况下，按成本估值；</w:t>
      </w:r>
    </w:p>
    <w:p>
      <w:pPr>
        <w:framePr w:w="9556" w:wrap="around" w:vAnchor="margin" w:hAnchor="text" w:x="1800" w:y="676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）首次公开发行有明确锁定期的股票，同一股票在交易所上市后，按交易所上市的</w:t>
      </w:r>
    </w:p>
    <w:p>
      <w:pPr>
        <w:framePr w:w="9556"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同一股票的估值方法估值；非公开发行有明确锁定期的股票，按监管机构或行业协会有关</w:t>
      </w:r>
    </w:p>
    <w:p>
      <w:pPr>
        <w:framePr w:w="9556" w:wrap="around" w:vAnchor="margin" w:hAnchor="text" w:x="1800" w:y="676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规定确定公允价值。</w:t>
      </w:r>
    </w:p>
    <w:p>
      <w:pPr>
        <w:framePr w:w="9556" w:wrap="around" w:vAnchor="margin" w:hAnchor="text" w:x="1800" w:y="798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、全国银行间债券市场交易的债券、资产支持证券等固定收益品种，采用估值技术确</w:t>
      </w:r>
    </w:p>
    <w:p>
      <w:pPr>
        <w:framePr w:w="9556" w:wrap="around" w:vAnchor="margin" w:hAnchor="text" w:x="1800" w:y="798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定公允价值。</w:t>
      </w:r>
    </w:p>
    <w:p>
      <w:pPr>
        <w:framePr w:w="9557"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、同一债券同时在两个或两个以上市场交易的，按债券所处的市场分别估值。</w:t>
      </w:r>
    </w:p>
    <w:p>
      <w:pPr>
        <w:framePr w:w="9557" w:wrap="around" w:vAnchor="margin" w:hAnchor="text" w:x="1800" w:y="880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、本基金投资期货合约，按估值当日结算价进行估值，估值当日无结算价的，且最近</w:t>
      </w:r>
    </w:p>
    <w:p>
      <w:pPr>
        <w:framePr w:w="9557"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交易日后经济环境未发生重大变化的，采用最近交易日结算价估值。</w:t>
      </w:r>
    </w:p>
    <w:p>
      <w:pPr>
        <w:framePr w:w="9557" w:wrap="around" w:vAnchor="margin" w:hAnchor="text" w:x="1800" w:y="8806"/>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、中小企业私募债，采用估值技术确定公允价值，在估值技术难以可靠计量公允价值</w:t>
      </w:r>
    </w:p>
    <w:p>
      <w:pPr>
        <w:framePr w:w="9557"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的情况下，按成本估值。</w:t>
      </w:r>
    </w:p>
    <w:p>
      <w:pPr>
        <w:framePr w:w="9556" w:wrap="around" w:vAnchor="margin" w:hAnchor="text" w:x="1800" w:y="1084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、如有确凿证据表明按上述方法进行估值不能客观反映其公允价值的，基金管理人可</w:t>
      </w:r>
    </w:p>
    <w:p>
      <w:pPr>
        <w:framePr w:w="9556"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根据具体情况与基金托管人商定后，按最能反映公允价值的价格估值。</w:t>
      </w:r>
    </w:p>
    <w:p>
      <w:pPr>
        <w:framePr w:w="9556" w:wrap="around" w:vAnchor="margin" w:hAnchor="text" w:x="1800" w:y="10849"/>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、相关法律法规以及监管部门有强制规定的，从其规定。如有新增事项，按国家最新</w:t>
      </w:r>
    </w:p>
    <w:p>
      <w:pPr>
        <w:framePr w:w="9556" w:wrap="around" w:vAnchor="margin" w:hAnchor="text" w:x="1800" w:y="10849"/>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规定估值。</w:t>
      </w:r>
    </w:p>
    <w:p>
      <w:pPr>
        <w:framePr w:w="9553" w:wrap="around" w:vAnchor="margin" w:hAnchor="text" w:x="1800" w:y="124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如基金管理人或基金托管人发现基金估值违反基金合同订明的估值方法、程序及相关</w:t>
      </w:r>
    </w:p>
    <w:p>
      <w:pPr>
        <w:framePr w:w="9553"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法律法规的规定或者未能充分维护基金份额持有人利益时，应立即通知对方，共同查明原</w:t>
      </w:r>
    </w:p>
    <w:p>
      <w:pPr>
        <w:framePr w:w="9553"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因，双方协商解决。</w:t>
      </w:r>
    </w:p>
    <w:p>
      <w:pPr>
        <w:framePr w:w="9550" w:wrap="around" w:vAnchor="margin" w:hAnchor="text" w:x="1800" w:y="137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根据有关法律法规，基金资产净值计算和基金会计核算的义务由基金管理人承担。本</w:t>
      </w:r>
    </w:p>
    <w:p>
      <w:pPr>
        <w:framePr w:w="9550" w:wrap="around" w:vAnchor="margin" w:hAnchor="text" w:x="1800" w:y="1370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基金的基金会计责任方由基金管理人担任，因此，就与本基金有关的会计问题，如经相关</w:t>
      </w:r>
    </w:p>
    <w:p>
      <w:pPr>
        <w:framePr w:w="9550" w:wrap="around" w:vAnchor="margin" w:hAnchor="text" w:x="1800" w:y="137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各方在平等基础上充分讨论后，仍无法达成一致的意见，按照基金管理人对基金资产净值</w:t>
      </w:r>
    </w:p>
    <w:p>
      <w:pPr>
        <w:framePr w:w="9550" w:wrap="around" w:vAnchor="margin" w:hAnchor="text" w:x="1800" w:y="137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的计算结果对外予以公布。</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185</w:t>
      </w:r>
    </w:p>
    <w:p>
      <w:pPr>
        <w:spacing w:before="0" w:after="0" w:line="0" w:lineRule="exact"/>
        <w:ind w:left="0" w:right="0"/>
        <w:jc w:val="left"/>
        <w:rPr>
          <w:rFonts w:ascii="Arial"/>
          <w:color w:val="FF0000"/>
          <w:spacing w:val="0"/>
          <w:sz w:val="2"/>
        </w:rPr>
      </w:pPr>
      <w:r>
        <w:pict>
          <v:shape id="_x0000396" o:spid="_x0000_s142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3" o:title=""/>
            <o:lock v:ext="edit" aspectratio="t"/>
          </v:shape>
        </w:pict>
      </w:r>
      <w:r>
        <w:pict>
          <v:shape id="_x0000397" o:spid="_x0000_s1423" o:spt="75" type="#_x0000_t75" style="position:absolute;left:0pt;margin-left:88.6pt;margin-top:71.1pt;height:694.55pt;width:418.3pt;mso-position-horizontal-relative:page;mso-position-vertical-relative:page;z-index:-2048;mso-width-relative:page;mso-height-relative:page;" filled="f" coordsize="21600,21600">
            <v:path/>
            <v:fill on="f" focussize="0,0"/>
            <v:stroke/>
            <v:imagedata r:id="rId14"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09" w:wrap="around" w:vAnchor="margin" w:hAnchor="text" w:x="2220" w:y="145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（二）净值差错处理</w:t>
      </w:r>
    </w:p>
    <w:p>
      <w:pPr>
        <w:framePr w:w="9558" w:wrap="around" w:vAnchor="margin" w:hAnchor="text" w:x="1800" w:y="186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当发生净值计算错误时，由基金管理人负责处理，由此给基金份额持有人和基金造成</w:t>
      </w:r>
    </w:p>
    <w:p>
      <w:pPr>
        <w:framePr w:w="9558"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损失的，由基金管理人对基金份额持有人或者基金先行支付赔偿金。基金管理人和基金托</w:t>
      </w:r>
    </w:p>
    <w:p>
      <w:pPr>
        <w:framePr w:w="9558" w:wrap="around" w:vAnchor="margin" w:hAnchor="text" w:x="1800" w:y="186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管人应根据实际情况界定双方承担的责任，经确认后按以下条款进行赔偿。</w:t>
      </w:r>
    </w:p>
    <w:p>
      <w:pPr>
        <w:framePr w:w="9558" w:wrap="around" w:vAnchor="margin" w:hAnchor="text" w:x="1800" w:y="1860"/>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1</w:t>
      </w:r>
      <w:r>
        <w:rPr>
          <w:rFonts w:ascii="SKJVQB+å®ä½" w:hAnsi="SKJVQB+å®ä½" w:cs="SKJVQB+å®ä½"/>
          <w:color w:val="222222"/>
          <w:spacing w:val="0"/>
          <w:sz w:val="21"/>
        </w:rPr>
        <w:t>）如采用《基金合同》约定的估值方法进行处理时，若基金管理人净值计算出错，</w:t>
      </w:r>
    </w:p>
    <w:p>
      <w:pPr>
        <w:framePr w:w="9558"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基金托管人在复核过程中没有发现，且造成基金份额持有人损失的，应根据法律法规的规</w:t>
      </w:r>
    </w:p>
    <w:p>
      <w:pPr>
        <w:framePr w:w="9558"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定对投资人或基金支付赔偿金，就实际向投资人或基金支付的赔偿金额，由基金管理人与</w:t>
      </w:r>
    </w:p>
    <w:p>
      <w:pPr>
        <w:framePr w:w="9558" w:wrap="around" w:vAnchor="margin" w:hAnchor="text" w:x="1800" w:y="186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基金托管人按照管理费率和托管费率的比例各自承担相应的责任；</w:t>
      </w:r>
    </w:p>
    <w:p>
      <w:pPr>
        <w:framePr w:w="9558" w:wrap="around" w:vAnchor="margin" w:hAnchor="text" w:x="1800" w:y="1860"/>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2</w:t>
      </w:r>
      <w:r>
        <w:rPr>
          <w:rFonts w:ascii="SKJVQB+å®ä½" w:hAnsi="SKJVQB+å®ä½" w:cs="SKJVQB+å®ä½"/>
          <w:color w:val="222222"/>
          <w:spacing w:val="0"/>
          <w:sz w:val="21"/>
        </w:rPr>
        <w:t>）如基金管理人和基金托管人对基金份额净值的计算结果，虽然多次重新计算和核</w:t>
      </w:r>
    </w:p>
    <w:p>
      <w:pPr>
        <w:framePr w:w="9558"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对，尚不能达成一致时，为避免不能按时公布基金份额净值的情形，以基金管理人的计算</w:t>
      </w:r>
    </w:p>
    <w:p>
      <w:pPr>
        <w:framePr w:w="9558"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结果对外公布，由此给基金份额持有人和基金造成的损失以及因该交易日基金资产净值计</w:t>
      </w:r>
    </w:p>
    <w:p>
      <w:pPr>
        <w:framePr w:w="9558"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算顺延错误而引起的损失，由基金管理人负责赔付，基金托管人不负赔偿责任；</w:t>
      </w:r>
    </w:p>
    <w:p>
      <w:pPr>
        <w:framePr w:w="9558" w:wrap="around" w:vAnchor="margin" w:hAnchor="text" w:x="1800" w:y="1860"/>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3</w:t>
      </w:r>
      <w:r>
        <w:rPr>
          <w:rFonts w:ascii="SKJVQB+å®ä½" w:hAnsi="SKJVQB+å®ä½" w:cs="SKJVQB+å®ä½"/>
          <w:color w:val="222222"/>
          <w:spacing w:val="0"/>
          <w:sz w:val="21"/>
        </w:rPr>
        <w:t>）基金管理人、基金托管人按估值方法的第</w:t>
      </w:r>
      <w:r>
        <w:rPr>
          <w:rFonts w:ascii="GGHCMB+å®ä½"/>
          <w:color w:val="222222"/>
          <w:spacing w:val="0"/>
          <w:sz w:val="21"/>
        </w:rPr>
        <w:t>7</w:t>
      </w:r>
      <w:r>
        <w:rPr>
          <w:rFonts w:ascii="SKJVQB+å®ä½" w:hAnsi="SKJVQB+å®ä½" w:cs="SKJVQB+å®ä½"/>
          <w:color w:val="222222"/>
          <w:spacing w:val="0"/>
          <w:sz w:val="21"/>
        </w:rPr>
        <w:t>项进行估值时，所造成的误差不作为</w:t>
      </w:r>
    </w:p>
    <w:p>
      <w:pPr>
        <w:framePr w:w="9558" w:wrap="around" w:vAnchor="margin" w:hAnchor="text" w:x="1800" w:y="186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基金份额净值错误处理。</w:t>
      </w:r>
    </w:p>
    <w:p>
      <w:pPr>
        <w:framePr w:w="9553" w:wrap="around" w:vAnchor="margin" w:hAnchor="text" w:x="1800" w:y="717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由于交易所及登记结算公司发送的数据错误，有关会计制度变化或由于其他不可抗力</w:t>
      </w:r>
    </w:p>
    <w:p>
      <w:pPr>
        <w:framePr w:w="9553"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原因，基金管理人和基金托管人虽然已经采取必要、适当、合理的措施进行检查，但是未</w:t>
      </w:r>
    </w:p>
    <w:p>
      <w:pPr>
        <w:framePr w:w="9553"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能发现该错误的，由此造成的基金资产估值错误，基金管理人和基金托管人可以免除赔偿</w:t>
      </w:r>
    </w:p>
    <w:p>
      <w:pPr>
        <w:framePr w:w="9553" w:wrap="around" w:vAnchor="margin" w:hAnchor="text" w:x="1800" w:y="717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责任。但基金管理人和基金托管人应当积极采取必要的措施消除或降低由此造成的影响。</w:t>
      </w:r>
    </w:p>
    <w:p>
      <w:pPr>
        <w:framePr w:w="9553" w:wrap="around" w:vAnchor="margin" w:hAnchor="text" w:x="1800" w:y="7171"/>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针对净值差错处理，如果法律法规或证监会有新的规定，则按新的规定执行；如果行</w:t>
      </w:r>
    </w:p>
    <w:p>
      <w:pPr>
        <w:framePr w:w="9553"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业有通行做法，在不违背法律法规且不损害投资人利益的前提下，双方应本着平等和保护</w:t>
      </w:r>
    </w:p>
    <w:p>
      <w:pPr>
        <w:framePr w:w="9553" w:wrap="around" w:vAnchor="margin" w:hAnchor="text" w:x="1800" w:y="717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基金份额持有人利益的原则重新协商确定处理原则。</w:t>
      </w:r>
    </w:p>
    <w:p>
      <w:pPr>
        <w:framePr w:w="2209"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（三）基金会计制度</w:t>
      </w:r>
    </w:p>
    <w:p>
      <w:pPr>
        <w:framePr w:w="4110"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按国家有关部门制定的会计制度执行。</w:t>
      </w:r>
    </w:p>
    <w:p>
      <w:pPr>
        <w:framePr w:w="2418" w:wrap="around" w:vAnchor="margin" w:hAnchor="text" w:x="2220" w:y="1084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（四）基金账册的建立</w:t>
      </w:r>
    </w:p>
    <w:p>
      <w:pPr>
        <w:framePr w:w="9559" w:wrap="around" w:vAnchor="margin" w:hAnchor="text" w:x="1800" w:y="112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基金管理人和基金托管人在《基金合同》生效后，应按照双方约定的同一记账方法和会</w:t>
      </w:r>
    </w:p>
    <w:p>
      <w:pPr>
        <w:framePr w:w="9559"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计处理原则，分别独立地设置、登录和保管本基金的全套账册，对双方各自的账册定期进</w:t>
      </w:r>
    </w:p>
    <w:p>
      <w:pPr>
        <w:framePr w:w="9559" w:wrap="around" w:vAnchor="margin" w:hAnchor="text" w:x="1800" w:y="112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行核对，互相监督，以保证基金财产的安全。若双方对会计处理方法存在分歧，应以基金</w:t>
      </w:r>
    </w:p>
    <w:p>
      <w:pPr>
        <w:framePr w:w="9559" w:wrap="around" w:vAnchor="margin" w:hAnchor="text" w:x="1800" w:y="112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管理人的处理方法为准。</w:t>
      </w:r>
    </w:p>
    <w:p>
      <w:pPr>
        <w:framePr w:w="3627" w:wrap="around" w:vAnchor="margin" w:hAnchor="text" w:x="2220" w:y="1289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（五）会计数据和财务指标的核对</w:t>
      </w:r>
    </w:p>
    <w:p>
      <w:pPr>
        <w:framePr w:w="9553"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双方应每个交易日核对账目，如发现双方的账目存在不符的，基金管理人和基金托管</w:t>
      </w:r>
    </w:p>
    <w:p>
      <w:pPr>
        <w:framePr w:w="9553"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人必须及时查明原因并纠正，确保核对一致。若当日核对不符，暂时无法查找到错账的原</w:t>
      </w:r>
    </w:p>
    <w:p>
      <w:pPr>
        <w:framePr w:w="9553" w:wrap="around" w:vAnchor="margin" w:hAnchor="text" w:x="1800" w:y="13300"/>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因而影响到基金资产净值的计算和公告的，以基金管理人的账册为准。</w:t>
      </w:r>
    </w:p>
    <w:p>
      <w:pPr>
        <w:framePr w:w="9553" w:wrap="around" w:vAnchor="margin" w:hAnchor="text" w:x="1800" w:y="13300"/>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（六）基金定期报告的编制和复核</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186</w:t>
      </w:r>
    </w:p>
    <w:p>
      <w:pPr>
        <w:spacing w:before="0" w:after="0" w:line="0" w:lineRule="exact"/>
        <w:ind w:left="0" w:right="0"/>
        <w:jc w:val="left"/>
        <w:rPr>
          <w:rFonts w:ascii="Arial"/>
          <w:color w:val="FF0000"/>
          <w:spacing w:val="0"/>
          <w:sz w:val="2"/>
        </w:rPr>
      </w:pPr>
      <w:r>
        <w:pict>
          <v:shape id="_x0000398" o:spid="_x0000_s142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399" o:spid="_x0000_s1425"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60"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基金财务报表由基金管理人和基金托管人每月分别独立编制。月度报表的编制，应于</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每月终了后 </w:t>
      </w:r>
      <w:r>
        <w:rPr>
          <w:rFonts w:ascii="GGHCMB+å®ä½"/>
          <w:color w:val="222222"/>
          <w:spacing w:val="0"/>
          <w:sz w:val="21"/>
        </w:rPr>
        <w:t>5</w:t>
      </w:r>
      <w:r>
        <w:rPr>
          <w:rFonts w:ascii="SKJVQB+å®ä½" w:hAnsi="SKJVQB+å®ä½" w:cs="SKJVQB+å®ä½"/>
          <w:color w:val="222222"/>
          <w:spacing w:val="0"/>
          <w:sz w:val="21"/>
        </w:rPr>
        <w:t>个工作日内完成。定期报告文件应按中国证监会的要求公告。季度报表的编</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制，应于每季度终了后</w:t>
      </w:r>
      <w:r>
        <w:rPr>
          <w:rFonts w:ascii="GGHCMB+å®ä½"/>
          <w:color w:val="222222"/>
          <w:spacing w:val="0"/>
          <w:sz w:val="21"/>
        </w:rPr>
        <w:t>15</w:t>
      </w:r>
      <w:r>
        <w:rPr>
          <w:rFonts w:ascii="SKJVQB+å®ä½" w:hAnsi="SKJVQB+å®ä½" w:cs="SKJVQB+å®ä½"/>
          <w:color w:val="222222"/>
          <w:spacing w:val="0"/>
          <w:sz w:val="21"/>
        </w:rPr>
        <w:t>个工作日内完成；更新的招募说明书在本基金合同生效后每</w:t>
      </w:r>
      <w:r>
        <w:rPr>
          <w:rFonts w:ascii="GGHCMB+å®ä½"/>
          <w:color w:val="222222"/>
          <w:spacing w:val="0"/>
          <w:sz w:val="21"/>
        </w:rPr>
        <w:t>6</w:t>
      </w:r>
      <w:r>
        <w:rPr>
          <w:rFonts w:ascii="SKJVQB+å®ä½" w:hAnsi="SKJVQB+å®ä½" w:cs="SKJVQB+å®ä½"/>
          <w:color w:val="222222"/>
          <w:spacing w:val="0"/>
          <w:sz w:val="21"/>
        </w:rPr>
        <w:t>个</w:t>
      </w:r>
    </w:p>
    <w:p>
      <w:pPr>
        <w:framePr w:w="9560" w:wrap="around" w:vAnchor="margin" w:hAnchor="text" w:x="1800" w:y="1452"/>
        <w:widowControl w:val="0"/>
        <w:autoSpaceDE w:val="0"/>
        <w:autoSpaceDN w:val="0"/>
        <w:spacing w:before="0" w:after="0" w:line="410" w:lineRule="exact"/>
        <w:ind w:left="0" w:right="0"/>
        <w:jc w:val="left"/>
        <w:rPr>
          <w:rFonts w:ascii="GGHCMB+å®ä½"/>
          <w:color w:val="222222"/>
          <w:spacing w:val="0"/>
          <w:sz w:val="21"/>
        </w:rPr>
      </w:pPr>
      <w:r>
        <w:rPr>
          <w:rFonts w:ascii="SKJVQB+å®ä½" w:hAnsi="SKJVQB+å®ä½" w:cs="SKJVQB+å®ä½"/>
          <w:color w:val="222222"/>
          <w:spacing w:val="0"/>
          <w:sz w:val="21"/>
        </w:rPr>
        <w:t>月公告一次，于截止日后的</w:t>
      </w:r>
      <w:r>
        <w:rPr>
          <w:rFonts w:ascii="GGHCMB+å®ä½"/>
          <w:color w:val="222222"/>
          <w:spacing w:val="0"/>
          <w:sz w:val="21"/>
        </w:rPr>
        <w:t>45</w:t>
      </w:r>
      <w:r>
        <w:rPr>
          <w:rFonts w:ascii="SKJVQB+å®ä½" w:hAnsi="SKJVQB+å®ä½" w:cs="SKJVQB+å®ä½"/>
          <w:color w:val="222222"/>
          <w:spacing w:val="0"/>
          <w:sz w:val="21"/>
        </w:rPr>
        <w:t>日内公告。半年度报告在基金会计年度前</w:t>
      </w:r>
      <w:r>
        <w:rPr>
          <w:rFonts w:ascii="GGHCMB+å®ä½"/>
          <w:color w:val="222222"/>
          <w:spacing w:val="0"/>
          <w:sz w:val="21"/>
        </w:rPr>
        <w:t>6</w:t>
      </w:r>
      <w:r>
        <w:rPr>
          <w:rFonts w:ascii="SKJVQB+å®ä½" w:hAnsi="SKJVQB+å®ä½" w:cs="SKJVQB+å®ä½"/>
          <w:color w:val="222222"/>
          <w:spacing w:val="0"/>
          <w:sz w:val="21"/>
        </w:rPr>
        <w:t>个月结束后的</w:t>
      </w:r>
      <w:r>
        <w:rPr>
          <w:rFonts w:ascii="GGHCMB+å®ä½"/>
          <w:color w:val="222222"/>
          <w:spacing w:val="0"/>
          <w:sz w:val="21"/>
        </w:rPr>
        <w:t>60</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日内公告；年度报告在会计年度结束后</w:t>
      </w:r>
      <w:r>
        <w:rPr>
          <w:rFonts w:ascii="GGHCMB+å®ä½"/>
          <w:color w:val="222222"/>
          <w:spacing w:val="0"/>
          <w:sz w:val="21"/>
        </w:rPr>
        <w:t>90</w:t>
      </w:r>
      <w:r>
        <w:rPr>
          <w:rFonts w:ascii="SKJVQB+å®ä½" w:hAnsi="SKJVQB+å®ä½" w:cs="SKJVQB+å®ä½"/>
          <w:color w:val="222222"/>
          <w:spacing w:val="0"/>
          <w:sz w:val="21"/>
        </w:rPr>
        <w:t>日内公告。</w:t>
      </w:r>
    </w:p>
    <w:p>
      <w:pPr>
        <w:framePr w:w="9560" w:wrap="around" w:vAnchor="margin" w:hAnchor="text" w:x="1800" w:y="349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基金管理人在月度报表完成当日，对报表盖章后，以传真方式将有关报表提供基金托</w:t>
      </w:r>
    </w:p>
    <w:p>
      <w:pPr>
        <w:framePr w:w="956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管人；基金托管人在 </w:t>
      </w:r>
      <w:r>
        <w:rPr>
          <w:rFonts w:ascii="GGHCMB+å®ä½"/>
          <w:color w:val="222222"/>
          <w:spacing w:val="0"/>
          <w:sz w:val="21"/>
        </w:rPr>
        <w:t>2</w:t>
      </w:r>
      <w:r>
        <w:rPr>
          <w:rFonts w:ascii="SKJVQB+å®ä½" w:hAnsi="SKJVQB+å®ä½" w:cs="SKJVQB+å®ä½"/>
          <w:color w:val="222222"/>
          <w:spacing w:val="0"/>
          <w:sz w:val="21"/>
        </w:rPr>
        <w:t>个工作日内进行复核，并将复核结果及时书面通知基金管理人。基</w:t>
      </w:r>
    </w:p>
    <w:p>
      <w:pPr>
        <w:framePr w:w="9560" w:wrap="around" w:vAnchor="margin" w:hAnchor="text" w:x="1800" w:y="3494"/>
        <w:widowControl w:val="0"/>
        <w:autoSpaceDE w:val="0"/>
        <w:autoSpaceDN w:val="0"/>
        <w:spacing w:before="0" w:after="0" w:line="410" w:lineRule="exact"/>
        <w:ind w:left="0" w:right="0"/>
        <w:jc w:val="left"/>
        <w:rPr>
          <w:rFonts w:ascii="GGHCMB+å®ä½"/>
          <w:color w:val="222222"/>
          <w:spacing w:val="0"/>
          <w:sz w:val="21"/>
        </w:rPr>
      </w:pPr>
      <w:r>
        <w:rPr>
          <w:rFonts w:ascii="SKJVQB+å®ä½" w:hAnsi="SKJVQB+å®ä½" w:cs="SKJVQB+å®ä½"/>
          <w:color w:val="222222"/>
          <w:spacing w:val="0"/>
          <w:sz w:val="21"/>
        </w:rPr>
        <w:t xml:space="preserve">金管理人在季度报表完成当日，以约定方式将有关报表提供基金托管人；基金托管人在  </w:t>
      </w:r>
      <w:r>
        <w:rPr>
          <w:rFonts w:ascii="GGHCMB+å®ä½"/>
          <w:color w:val="222222"/>
          <w:spacing w:val="0"/>
          <w:sz w:val="21"/>
        </w:rPr>
        <w:t xml:space="preserve"> 5</w:t>
      </w:r>
    </w:p>
    <w:p>
      <w:pPr>
        <w:framePr w:w="9560" w:wrap="around" w:vAnchor="margin" w:hAnchor="text" w:x="1800" w:y="3494"/>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个工作日内进行复核，并将复核结果反馈给基金管理人。基金管理人在更新招募说明书完</w:t>
      </w:r>
    </w:p>
    <w:p>
      <w:pPr>
        <w:framePr w:w="956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成当日，将有关报告提供基金托管人，基金托管人在收到</w:t>
      </w:r>
      <w:r>
        <w:rPr>
          <w:rFonts w:ascii="GGHCMB+å®ä½"/>
          <w:color w:val="222222"/>
          <w:spacing w:val="0"/>
          <w:sz w:val="21"/>
        </w:rPr>
        <w:t>15</w:t>
      </w:r>
      <w:r>
        <w:rPr>
          <w:rFonts w:ascii="SKJVQB+å®ä½" w:hAnsi="SKJVQB+å®ä½" w:cs="SKJVQB+å®ä½"/>
          <w:color w:val="222222"/>
          <w:spacing w:val="0"/>
          <w:sz w:val="21"/>
        </w:rPr>
        <w:t>日内进行复核，并将复核结果</w:t>
      </w:r>
    </w:p>
    <w:p>
      <w:pPr>
        <w:framePr w:w="956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反馈给基金管理人。基金管理人在半年度报告完成当日，将有关报告提供基金托管人，基</w:t>
      </w:r>
    </w:p>
    <w:p>
      <w:pPr>
        <w:framePr w:w="956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金托管人在收到后</w:t>
      </w:r>
      <w:r>
        <w:rPr>
          <w:rFonts w:ascii="GGHCMB+å®ä½"/>
          <w:color w:val="222222"/>
          <w:spacing w:val="0"/>
          <w:sz w:val="21"/>
        </w:rPr>
        <w:t>20</w:t>
      </w:r>
      <w:r>
        <w:rPr>
          <w:rFonts w:ascii="SKJVQB+å®ä½" w:hAnsi="SKJVQB+å®ä½" w:cs="SKJVQB+å®ä½"/>
          <w:color w:val="222222"/>
          <w:spacing w:val="0"/>
          <w:sz w:val="21"/>
        </w:rPr>
        <w:t>日内进行复核，并将复核结果反馈给基金管理人。基金管理人在年度</w:t>
      </w:r>
    </w:p>
    <w:p>
      <w:pPr>
        <w:framePr w:w="9560" w:wrap="around" w:vAnchor="margin" w:hAnchor="text" w:x="1800" w:y="349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报告完成当日，将有关报告提供基金托管人，基金托管人在收到后</w:t>
      </w:r>
      <w:r>
        <w:rPr>
          <w:rFonts w:ascii="GGHCMB+å®ä½"/>
          <w:color w:val="222222"/>
          <w:spacing w:val="0"/>
          <w:sz w:val="21"/>
        </w:rPr>
        <w:t>30</w:t>
      </w:r>
      <w:r>
        <w:rPr>
          <w:rFonts w:ascii="SKJVQB+å®ä½" w:hAnsi="SKJVQB+å®ä½" w:cs="SKJVQB+å®ä½"/>
          <w:color w:val="222222"/>
          <w:spacing w:val="0"/>
          <w:sz w:val="21"/>
        </w:rPr>
        <w:t>日内复核，并将复核</w:t>
      </w:r>
    </w:p>
    <w:p>
      <w:pPr>
        <w:framePr w:w="956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结果反馈给基金管理人。基金托管人在复核过程中，发现双方的报表存在不符时，基金管</w:t>
      </w:r>
    </w:p>
    <w:p>
      <w:pPr>
        <w:framePr w:w="956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理人和基金托管人应共同查明原因，进行调整，调整以双方认可的账务处理方式为准。如</w:t>
      </w:r>
    </w:p>
    <w:p>
      <w:pPr>
        <w:framePr w:w="956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果基金管理人与基金托管人不能于应当发布公告之日前就相关报表达成一致，基金管理人</w:t>
      </w:r>
    </w:p>
    <w:p>
      <w:pPr>
        <w:framePr w:w="956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有权按照其编制的报表对外发布公告，基金托管人有权就相关情况报证监会备案。</w:t>
      </w:r>
    </w:p>
    <w:p>
      <w:pPr>
        <w:framePr w:w="9560" w:wrap="around" w:vAnchor="margin" w:hAnchor="text" w:x="1800" w:y="3494"/>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基金托管人在对财务报表、季度报告、半年度报告或年度报告复核完毕后，可以出具</w:t>
      </w:r>
    </w:p>
    <w:p>
      <w:pPr>
        <w:framePr w:w="9560" w:wrap="around" w:vAnchor="margin" w:hAnchor="text" w:x="1800" w:y="349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复核确认书（盖章）或以其他双方约定的方式确认，以备有权机构对相关文件审核检查。</w:t>
      </w:r>
    </w:p>
    <w:p>
      <w:pPr>
        <w:framePr w:w="4110" w:wrap="around" w:vAnchor="margin" w:hAnchor="text" w:x="2220" w:y="96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六、基金份额持有人名册的登记与保管</w:t>
      </w:r>
    </w:p>
    <w:p>
      <w:pPr>
        <w:framePr w:w="9553" w:wrap="around" w:vAnchor="margin" w:hAnchor="text" w:x="1800" w:y="10033"/>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基金管理人可委托基金登记机构登记和保管基金份额持有人名册。基金份额持有人名</w:t>
      </w:r>
    </w:p>
    <w:p>
      <w:pPr>
        <w:framePr w:w="9553"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册的内容包括但不限于基金份额持有人的名称和持有的基金份额。</w:t>
      </w:r>
    </w:p>
    <w:p>
      <w:pPr>
        <w:framePr w:w="9553" w:wrap="around" w:vAnchor="margin" w:hAnchor="text" w:x="1800" w:y="10033"/>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基金份额持有人名册，包括基金募集期结束时的基金份额持有人名册、基金权益登记</w:t>
      </w:r>
    </w:p>
    <w:p>
      <w:pPr>
        <w:framePr w:w="9553"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日的基金份额持有人名册、基金份额持有人大会登记日的基金份额持有人名册、每年最后</w:t>
      </w:r>
    </w:p>
    <w:p>
      <w:pPr>
        <w:framePr w:w="9553" w:wrap="around" w:vAnchor="margin" w:hAnchor="text" w:x="1800" w:y="10033"/>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一个交易日的基金份额持有人名册，由基金登记机构负责编制和保管，并对基金份额持有</w:t>
      </w:r>
    </w:p>
    <w:p>
      <w:pPr>
        <w:framePr w:w="9553" w:wrap="around" w:vAnchor="margin" w:hAnchor="text" w:x="1800" w:y="10033"/>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人名册的真实性、完整性和准确性负责。</w:t>
      </w:r>
    </w:p>
    <w:p>
      <w:pPr>
        <w:framePr w:w="9553" w:wrap="around" w:vAnchor="margin" w:hAnchor="text" w:x="1800" w:y="124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基金管理人应根据基金托管人的要求定期和不定期向基金托管人提供基金份额持有人</w:t>
      </w:r>
    </w:p>
    <w:p>
      <w:pPr>
        <w:framePr w:w="9553"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名册。</w:t>
      </w:r>
    </w:p>
    <w:p>
      <w:pPr>
        <w:framePr w:w="9560" w:wrap="around" w:vAnchor="margin" w:hAnchor="text" w:x="1800" w:y="1330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（一）基金管理人于《基金合同》生效日及《基金合同》终止日后</w:t>
      </w:r>
      <w:r>
        <w:rPr>
          <w:rFonts w:ascii="GGHCMB+å®ä½"/>
          <w:color w:val="222222"/>
          <w:spacing w:val="0"/>
          <w:sz w:val="21"/>
        </w:rPr>
        <w:t>10</w:t>
      </w:r>
      <w:r>
        <w:rPr>
          <w:rFonts w:ascii="SKJVQB+å®ä½" w:hAnsi="SKJVQB+å®ä½" w:cs="SKJVQB+å®ä½"/>
          <w:color w:val="222222"/>
          <w:spacing w:val="0"/>
          <w:sz w:val="21"/>
        </w:rPr>
        <w:t>个工作日内向基</w:t>
      </w:r>
    </w:p>
    <w:p>
      <w:pPr>
        <w:framePr w:w="9560" w:wrap="around" w:vAnchor="margin" w:hAnchor="text" w:x="1800" w:y="1330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金托管人提供由登记机构编制的基金份额持有人名册；</w:t>
      </w:r>
    </w:p>
    <w:p>
      <w:pPr>
        <w:framePr w:w="9559" w:wrap="around" w:vAnchor="margin" w:hAnchor="text" w:x="1800" w:y="1411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（二）基金管理人于基金份额持有人大会权益登记日后</w:t>
      </w:r>
      <w:r>
        <w:rPr>
          <w:rFonts w:ascii="GGHCMB+å®ä½"/>
          <w:color w:val="222222"/>
          <w:spacing w:val="0"/>
          <w:sz w:val="21"/>
        </w:rPr>
        <w:t>5</w:t>
      </w:r>
      <w:r>
        <w:rPr>
          <w:rFonts w:ascii="SKJVQB+å®ä½" w:hAnsi="SKJVQB+å®ä½" w:cs="SKJVQB+å®ä½"/>
          <w:color w:val="222222"/>
          <w:spacing w:val="0"/>
          <w:sz w:val="21"/>
        </w:rPr>
        <w:t>个工作日内向基金托管人提供</w:t>
      </w:r>
    </w:p>
    <w:p>
      <w:pPr>
        <w:framePr w:w="9559" w:wrap="around" w:vAnchor="margin" w:hAnchor="text" w:x="1800" w:y="1411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由登记机构编制的基金份额持有人名册；</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187</w:t>
      </w:r>
    </w:p>
    <w:p>
      <w:pPr>
        <w:spacing w:before="0" w:after="0" w:line="0" w:lineRule="exact"/>
        <w:ind w:left="0" w:right="0"/>
        <w:jc w:val="left"/>
        <w:rPr>
          <w:rFonts w:ascii="Arial"/>
          <w:color w:val="FF0000"/>
          <w:spacing w:val="0"/>
          <w:sz w:val="2"/>
        </w:rPr>
      </w:pPr>
      <w:r>
        <w:pict>
          <v:shape id="_x0000400" o:spid="_x0000_s1426"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26" o:title=""/>
            <o:lock v:ext="edit" aspectratio="t"/>
          </v:shape>
        </w:pict>
      </w:r>
      <w:r>
        <w:pict>
          <v:shape id="_x0000401" o:spid="_x0000_s1427" o:spt="75" type="#_x0000_t75" style="position:absolute;left:0pt;margin-left:88.6pt;margin-top:71.1pt;height:674.15pt;width:418.3pt;mso-position-horizontal-relative:page;mso-position-vertical-relative:page;z-index:-2048;mso-width-relative:page;mso-height-relative:page;" filled="f" coordsize="21600,21600">
            <v:path/>
            <v:fill on="f" focussize="0,0"/>
            <v:stroke/>
            <v:imagedata r:id="rId228"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60"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（三）基金管理人于每年最后一个交易日后</w:t>
      </w:r>
      <w:r>
        <w:rPr>
          <w:rFonts w:ascii="GGHCMB+å®ä½"/>
          <w:color w:val="222222"/>
          <w:spacing w:val="0"/>
          <w:sz w:val="21"/>
        </w:rPr>
        <w:t>10</w:t>
      </w:r>
      <w:r>
        <w:rPr>
          <w:rFonts w:ascii="SKJVQB+å®ä½" w:hAnsi="SKJVQB+å®ä½" w:cs="SKJVQB+å®ä½"/>
          <w:color w:val="222222"/>
          <w:spacing w:val="0"/>
          <w:sz w:val="21"/>
        </w:rPr>
        <w:t>个工作日内向基金托管人提供由登记机</w:t>
      </w:r>
    </w:p>
    <w:p>
      <w:pPr>
        <w:framePr w:w="9560"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构编制的基金份额持有人名册；</w:t>
      </w:r>
    </w:p>
    <w:p>
      <w:pPr>
        <w:framePr w:w="9559" w:wrap="around" w:vAnchor="margin" w:hAnchor="text" w:x="1800" w:y="226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（四）除上述约定时间外，如果确因业务需要，基金托管人与基金管理人商议一致后，</w:t>
      </w:r>
    </w:p>
    <w:p>
      <w:pPr>
        <w:framePr w:w="9559"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由基金管理人向基金托管人提供由登记机构编制的基金份额持有人名册。</w:t>
      </w:r>
    </w:p>
    <w:p>
      <w:pPr>
        <w:framePr w:w="9559" w:wrap="around" w:vAnchor="margin" w:hAnchor="text" w:x="1800" w:y="2268"/>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基金托管人以电子版形式妥善保管基金份额持有人名册，并定期刻成光盘备份，保存</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期限为</w:t>
      </w:r>
      <w:r>
        <w:rPr>
          <w:rFonts w:ascii="GGHCMB+å®ä½"/>
          <w:color w:val="222222"/>
          <w:spacing w:val="0"/>
          <w:sz w:val="21"/>
        </w:rPr>
        <w:t>15</w:t>
      </w:r>
      <w:r>
        <w:rPr>
          <w:rFonts w:ascii="SKJVQB+å®ä½" w:hAnsi="SKJVQB+å®ä½" w:cs="SKJVQB+å®ä½"/>
          <w:color w:val="222222"/>
          <w:spacing w:val="0"/>
          <w:sz w:val="21"/>
        </w:rPr>
        <w:t>年。基金托管人不得将所保管的基金份额持有人名册用于基金托管业务以外的其</w:t>
      </w:r>
    </w:p>
    <w:p>
      <w:pPr>
        <w:framePr w:w="9559" w:wrap="around" w:vAnchor="margin" w:hAnchor="text" w:x="1800" w:y="226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他用途，并应遵守保密义务。若基金管理人或基金托管人由于自身原因无法妥善保管基金</w:t>
      </w:r>
    </w:p>
    <w:p>
      <w:pPr>
        <w:framePr w:w="9559" w:wrap="around" w:vAnchor="margin" w:hAnchor="text" w:x="1800" w:y="226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份额持有人名册，应按有关法规规定各自承担相应的责任。</w:t>
      </w:r>
    </w:p>
    <w:p>
      <w:pPr>
        <w:framePr w:w="1998"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七、争议解决方式</w:t>
      </w:r>
    </w:p>
    <w:p>
      <w:pPr>
        <w:framePr w:w="9786"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相关各方当事人同意，因本协议而产生的或与本协议有关的一切争议，应通过友好协</w:t>
      </w:r>
    </w:p>
    <w:p>
      <w:pPr>
        <w:framePr w:w="9786"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商或者调解解决。托管协议当事人不愿通过协商、调解解决或者协商、调解不成的，任何</w:t>
      </w:r>
    </w:p>
    <w:p>
      <w:pPr>
        <w:framePr w:w="9786" w:wrap="around" w:vAnchor="margin" w:hAnchor="text" w:x="1800" w:y="553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一方当事人均有权将争议提交中国国际经济贸易仲裁委员会，根据该会当时有效的仲裁规</w:t>
      </w:r>
    </w:p>
    <w:p>
      <w:pPr>
        <w:framePr w:w="9786"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则进行仲裁，仲裁的地点在北京市，仲裁裁决是终局的，并对相关各方当事人均有约束力。</w:t>
      </w:r>
    </w:p>
    <w:p>
      <w:pPr>
        <w:framePr w:w="9786"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仲裁费用由败诉方承担。</w:t>
      </w:r>
    </w:p>
    <w:p>
      <w:pPr>
        <w:framePr w:w="9552" w:wrap="around" w:vAnchor="margin" w:hAnchor="text" w:x="1800" w:y="758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争议处理期间，相关各方当事人应恪守基金管理人和基金托管人职责，继续忠实、勤</w:t>
      </w:r>
    </w:p>
    <w:p>
      <w:pPr>
        <w:framePr w:w="9552" w:wrap="around" w:vAnchor="margin" w:hAnchor="text" w:x="1800" w:y="758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勉、尽责地履行《基金合同》和本协议规定的义务，维护基金份额持有人的合法权益。</w:t>
      </w:r>
    </w:p>
    <w:p>
      <w:pPr>
        <w:framePr w:w="9552" w:wrap="around" w:vAnchor="margin" w:hAnchor="text" w:x="1800" w:y="7580"/>
        <w:widowControl w:val="0"/>
        <w:autoSpaceDE w:val="0"/>
        <w:autoSpaceDN w:val="0"/>
        <w:spacing w:before="0" w:after="0" w:line="410"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本协议受中华人民共和国法律管辖。</w:t>
      </w:r>
    </w:p>
    <w:p>
      <w:pPr>
        <w:framePr w:w="4836" w:wrap="around" w:vAnchor="margin" w:hAnchor="text" w:x="2220" w:y="921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八、托管协议的变更、终止与基金财产的清算</w:t>
      </w:r>
    </w:p>
    <w:p>
      <w:pPr>
        <w:framePr w:w="9559" w:wrap="around" w:vAnchor="margin" w:hAnchor="text" w:x="1800" w:y="962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（一）基金管理人在向中国证监会申请发售基金份额时提交的基金托管协议草案，应经</w:t>
      </w:r>
    </w:p>
    <w:p>
      <w:pPr>
        <w:framePr w:w="9559" w:wrap="around" w:vAnchor="margin" w:hAnchor="text" w:x="1800" w:y="962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托管协议当事人双方盖章以及双方法定代表人或授权代表签字，协议当事人双方根据中国</w:t>
      </w:r>
    </w:p>
    <w:p>
      <w:pPr>
        <w:framePr w:w="9559"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证监会的意见修改托管协议草案。托管协议以报中国证监会注册的文本为正式文本。</w:t>
      </w:r>
    </w:p>
    <w:p>
      <w:pPr>
        <w:framePr w:w="9559" w:wrap="around" w:vAnchor="margin" w:hAnchor="text" w:x="1800" w:y="9622"/>
        <w:widowControl w:val="0"/>
        <w:autoSpaceDE w:val="0"/>
        <w:autoSpaceDN w:val="0"/>
        <w:spacing w:before="0" w:after="0" w:line="409"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（二）基金托管协议自《基金合同》成立之日起成立，自《基金合同》生效之日起生效。</w:t>
      </w:r>
    </w:p>
    <w:p>
      <w:pPr>
        <w:framePr w:w="9559"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基金托管协议的有效期自其生效之日起至基金财产清算结果报中国证监会备案并公告之日</w:t>
      </w:r>
    </w:p>
    <w:p>
      <w:pPr>
        <w:framePr w:w="9559" w:wrap="around" w:vAnchor="margin" w:hAnchor="text" w:x="1800" w:y="962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止。</w:t>
      </w:r>
    </w:p>
    <w:p>
      <w:pPr>
        <w:framePr w:w="9560" w:wrap="around" w:vAnchor="margin" w:hAnchor="text" w:x="1800" w:y="1207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（三）基金托管协议自生效之日起对托管协议当事人具有同等的法律约束力。</w:t>
      </w:r>
    </w:p>
    <w:p>
      <w:pPr>
        <w:framePr w:w="9560" w:wrap="around" w:vAnchor="margin" w:hAnchor="text" w:x="1800" w:y="12076"/>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（四）基金托管协议一式</w:t>
      </w:r>
      <w:r>
        <w:rPr>
          <w:rFonts w:ascii="GGHCMB+å®ä½"/>
          <w:color w:val="222222"/>
          <w:spacing w:val="0"/>
          <w:sz w:val="21"/>
        </w:rPr>
        <w:t>6</w:t>
      </w:r>
      <w:r>
        <w:rPr>
          <w:rFonts w:ascii="SKJVQB+å®ä½" w:hAnsi="SKJVQB+å®ä½" w:cs="SKJVQB+å®ä½"/>
          <w:color w:val="222222"/>
          <w:spacing w:val="0"/>
          <w:sz w:val="21"/>
        </w:rPr>
        <w:t>份，除上报中国证监会和中国银监会各</w:t>
      </w:r>
      <w:r>
        <w:rPr>
          <w:rFonts w:ascii="GGHCMB+å®ä½"/>
          <w:color w:val="222222"/>
          <w:spacing w:val="0"/>
          <w:sz w:val="21"/>
        </w:rPr>
        <w:t>1</w:t>
      </w:r>
      <w:r>
        <w:rPr>
          <w:rFonts w:ascii="SKJVQB+å®ä½" w:hAnsi="SKJVQB+å®ä½" w:cs="SKJVQB+å®ä½"/>
          <w:color w:val="222222"/>
          <w:spacing w:val="0"/>
          <w:sz w:val="21"/>
        </w:rPr>
        <w:t>份外，基金管理人</w:t>
      </w:r>
    </w:p>
    <w:p>
      <w:pPr>
        <w:framePr w:w="9560" w:wrap="around" w:vAnchor="margin" w:hAnchor="text" w:x="1800" w:y="1207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和基金托管人分别持有</w:t>
      </w:r>
      <w:r>
        <w:rPr>
          <w:rFonts w:ascii="GGHCMB+å®ä½"/>
          <w:color w:val="222222"/>
          <w:spacing w:val="0"/>
          <w:sz w:val="21"/>
        </w:rPr>
        <w:t>2</w:t>
      </w:r>
      <w:r>
        <w:rPr>
          <w:rFonts w:ascii="SKJVQB+å®ä½" w:hAnsi="SKJVQB+å®ä½" w:cs="SKJVQB+å®ä½"/>
          <w:color w:val="222222"/>
          <w:spacing w:val="0"/>
          <w:sz w:val="21"/>
        </w:rPr>
        <w:t>份，每份具有同等的法律效力。</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188</w:t>
      </w:r>
    </w:p>
    <w:p>
      <w:pPr>
        <w:spacing w:before="0" w:after="0" w:line="0" w:lineRule="exact"/>
        <w:ind w:left="0" w:right="0"/>
        <w:jc w:val="left"/>
        <w:rPr>
          <w:rFonts w:ascii="Arial"/>
          <w:color w:val="FF0000"/>
          <w:spacing w:val="0"/>
          <w:sz w:val="2"/>
        </w:rPr>
      </w:pPr>
      <w:r>
        <w:pict>
          <v:shape id="_x0000402" o:spid="_x0000_s1428"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69" o:title=""/>
            <o:lock v:ext="edit" aspectratio="t"/>
          </v:shape>
        </w:pict>
      </w:r>
      <w:r>
        <w:pict>
          <v:shape id="_x0000403" o:spid="_x0000_s1429" o:spt="75" type="#_x0000_t75" style="position:absolute;left:0pt;margin-left:88.6pt;margin-top:71.1pt;height:592.4pt;width:418.3pt;mso-position-horizontal-relative:page;mso-position-vertical-relative:page;z-index:-2048;mso-width-relative:page;mso-height-relative:page;" filled="f" coordsize="21600,21600">
            <v:path/>
            <v:fill on="f" focussize="0,0"/>
            <v:stroke/>
            <v:imagedata r:id="rId270"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718" w:wrap="around" w:vAnchor="margin" w:hAnchor="text" w:x="4338"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20</w:t>
      </w:r>
      <w:r>
        <w:rPr>
          <w:rFonts w:ascii="SKJVQB+å®ä½" w:hAnsi="SKJVQB+å®ä½" w:cs="SKJVQB+å®ä½"/>
          <w:color w:val="222222"/>
          <w:spacing w:val="0"/>
          <w:sz w:val="28"/>
        </w:rPr>
        <w:t>基金份额持有人服务</w:t>
      </w:r>
    </w:p>
    <w:p>
      <w:pPr>
        <w:framePr w:w="9557" w:wrap="around" w:vAnchor="margin" w:hAnchor="text" w:x="1800" w:y="23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如本招募说明书存在任何您</w:t>
      </w:r>
      <w:r>
        <w:rPr>
          <w:rFonts w:ascii="GGHCMB+å®ä½"/>
          <w:color w:val="222222"/>
          <w:spacing w:val="0"/>
          <w:sz w:val="21"/>
        </w:rPr>
        <w:t>/</w:t>
      </w:r>
      <w:r>
        <w:rPr>
          <w:rFonts w:ascii="SKJVQB+å®ä½" w:hAnsi="SKJVQB+å®ä½" w:cs="SKJVQB+å®ä½"/>
          <w:color w:val="222222"/>
          <w:spacing w:val="0"/>
          <w:sz w:val="21"/>
        </w:rPr>
        <w:t>贵机构无法理解的内容，请及时通过下述方式联系基金管</w:t>
      </w:r>
    </w:p>
    <w:p>
      <w:pPr>
        <w:framePr w:w="9557"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理人。请确保投资前，您</w:t>
      </w:r>
      <w:r>
        <w:rPr>
          <w:rFonts w:ascii="GGHCMB+å®ä½"/>
          <w:color w:val="222222"/>
          <w:spacing w:val="0"/>
          <w:sz w:val="21"/>
        </w:rPr>
        <w:t>/</w:t>
      </w:r>
      <w:r>
        <w:rPr>
          <w:rFonts w:ascii="SKJVQB+å®ä½" w:hAnsi="SKJVQB+å®ä½" w:cs="SKJVQB+å®ä½"/>
          <w:color w:val="222222"/>
          <w:spacing w:val="0"/>
          <w:sz w:val="21"/>
        </w:rPr>
        <w:t>贵机构已经全面理解本招募说明书，并同意全部内容。</w:t>
      </w:r>
    </w:p>
    <w:p>
      <w:pPr>
        <w:framePr w:w="9557" w:wrap="around" w:vAnchor="margin" w:hAnchor="text" w:x="1800" w:y="235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对基金份额持有人的服务主要由基金管理人、发售机构及销售机构提供，以下是基金</w:t>
      </w:r>
    </w:p>
    <w:p>
      <w:pPr>
        <w:framePr w:w="9557"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管理人提供的主要服务内容。基金管理人根据基金份额持有人的需要和市场的变化，有权</w:t>
      </w:r>
    </w:p>
    <w:p>
      <w:pPr>
        <w:framePr w:w="9557" w:wrap="around" w:vAnchor="margin" w:hAnchor="text" w:x="1800" w:y="2357"/>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在符合法律法规的前提下，增加和修改相关服务项目。如因系统、第三方或不可抗力等原</w:t>
      </w:r>
    </w:p>
    <w:p>
      <w:pPr>
        <w:framePr w:w="9557" w:wrap="around" w:vAnchor="margin" w:hAnchor="text" w:x="1800" w:y="2357"/>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因，导致下述服务无法提供，基金管理人不承担任何责任。</w:t>
      </w:r>
    </w:p>
    <w:p>
      <w:pPr>
        <w:framePr w:w="9560" w:wrap="around" w:vAnchor="margin" w:hAnchor="text" w:x="1800" w:y="480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若本基金包含在中国香港特别行政区销售的</w:t>
      </w:r>
      <w:r>
        <w:rPr>
          <w:rFonts w:ascii="GGHCMB+å®ä½"/>
          <w:color w:val="222222"/>
          <w:spacing w:val="0"/>
          <w:sz w:val="21"/>
        </w:rPr>
        <w:t>H</w:t>
      </w:r>
      <w:r>
        <w:rPr>
          <w:rFonts w:ascii="SKJVQB+å®ä½" w:hAnsi="SKJVQB+å®ä½" w:cs="SKJVQB+å®ä½"/>
          <w:color w:val="222222"/>
          <w:spacing w:val="0"/>
          <w:sz w:val="21"/>
        </w:rPr>
        <w:t>类份额，则该</w:t>
      </w:r>
      <w:r>
        <w:rPr>
          <w:rFonts w:ascii="GGHCMB+å®ä½"/>
          <w:color w:val="222222"/>
          <w:spacing w:val="0"/>
          <w:sz w:val="21"/>
        </w:rPr>
        <w:t>H</w:t>
      </w:r>
      <w:r>
        <w:rPr>
          <w:rFonts w:ascii="SKJVQB+å®ä½" w:hAnsi="SKJVQB+å®ä½" w:cs="SKJVQB+å®ä½"/>
          <w:color w:val="222222"/>
          <w:spacing w:val="0"/>
          <w:sz w:val="21"/>
        </w:rPr>
        <w:t>类份额持有人享有的服务</w:t>
      </w:r>
    </w:p>
    <w:p>
      <w:pPr>
        <w:framePr w:w="9560" w:wrap="around" w:vAnchor="margin" w:hAnchor="text" w:x="1800" w:y="48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项目一般情况下限于客户服务中心电话服务、客户投诉及建议受理服务和网站资讯等服</w:t>
      </w:r>
    </w:p>
    <w:p>
      <w:pPr>
        <w:framePr w:w="9560" w:wrap="around" w:vAnchor="margin" w:hAnchor="text" w:x="1800" w:y="480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务。</w:t>
      </w:r>
    </w:p>
    <w:p>
      <w:pPr>
        <w:framePr w:w="4353" w:wrap="around" w:vAnchor="margin" w:hAnchor="text" w:x="2220" w:y="644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一、基金份额持有人交易资料的发送服务</w:t>
      </w:r>
    </w:p>
    <w:p>
      <w:pPr>
        <w:framePr w:w="1683" w:wrap="around" w:vAnchor="margin" w:hAnchor="text" w:x="2220" w:y="685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、电子对账单</w:t>
      </w:r>
    </w:p>
    <w:p>
      <w:pPr>
        <w:framePr w:w="9559" w:wrap="around" w:vAnchor="margin" w:hAnchor="text" w:x="1800" w:y="725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基金管理人提供场外交易电子邮件对账单、场外交易微信对账单服务，基金管理人将</w:t>
      </w:r>
    </w:p>
    <w:p>
      <w:pPr>
        <w:framePr w:w="9559" w:wrap="around" w:vAnchor="margin" w:hAnchor="text" w:x="1800" w:y="725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以电子邮件或微信服务通知形式向定制上述服务的个人投资者（本基金是否向个人投资者销</w:t>
      </w:r>
    </w:p>
    <w:p>
      <w:pPr>
        <w:framePr w:w="9559" w:wrap="around" w:vAnchor="margin" w:hAnchor="text" w:x="1800" w:y="7258"/>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售，请以本基金基金合同和招募说明书相关条款为准）定期发送对账单等相关信息，电子邮</w:t>
      </w:r>
    </w:p>
    <w:p>
      <w:pPr>
        <w:framePr w:w="9559" w:wrap="around" w:vAnchor="margin" w:hAnchor="text" w:x="1800" w:y="725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件地址不详的、微信未绑定或取消关注的除外。</w:t>
      </w:r>
    </w:p>
    <w:p>
      <w:pPr>
        <w:framePr w:w="2312" w:wrap="around" w:vAnchor="margin" w:hAnchor="text" w:x="2220" w:y="889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、其他渠道对账查询</w:t>
      </w:r>
    </w:p>
    <w:p>
      <w:pPr>
        <w:framePr w:w="9560" w:wrap="around" w:vAnchor="margin" w:hAnchor="text" w:x="1800" w:y="9301"/>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注册登记机构和基金管理人不提供投资人的场内交易（本基金是否支持场内交易，请以</w:t>
      </w:r>
    </w:p>
    <w:p>
      <w:pPr>
        <w:framePr w:w="9560" w:wrap="around" w:vAnchor="margin" w:hAnchor="text" w:x="1800" w:y="9301"/>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本基金基金合同和招募说明书相关条款为准）对账单服务，投资人可到交易网点打印或通过</w:t>
      </w:r>
    </w:p>
    <w:p>
      <w:pPr>
        <w:framePr w:w="9560" w:wrap="around" w:vAnchor="margin" w:hAnchor="text" w:x="1800" w:y="930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交易网点提供的自助、电话、网上服务等渠道查询。</w:t>
      </w:r>
    </w:p>
    <w:p>
      <w:pPr>
        <w:framePr w:w="1577" w:wrap="around" w:vAnchor="margin" w:hAnchor="text" w:x="2220" w:y="1093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二、线上服务</w:t>
      </w:r>
    </w:p>
    <w:p>
      <w:pPr>
        <w:framePr w:w="9556" w:wrap="around" w:vAnchor="margin" w:hAnchor="text" w:x="1800" w:y="1134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通过基金管理人网站（  </w:t>
      </w:r>
      <w:r>
        <w:rPr>
          <w:rFonts w:ascii="GGHCMB+å®ä½"/>
          <w:color w:val="222222"/>
          <w:spacing w:val="0"/>
          <w:sz w:val="21"/>
        </w:rPr>
        <w:t>www.nffund.com</w:t>
      </w:r>
      <w:r>
        <w:rPr>
          <w:rFonts w:ascii="SKJVQB+å®ä½" w:hAnsi="SKJVQB+å®ä½" w:cs="SKJVQB+å®ä½"/>
          <w:color w:val="222222"/>
          <w:spacing w:val="0"/>
          <w:sz w:val="21"/>
        </w:rPr>
        <w:t>）、微信公众号（可搜索“南方基金”或</w:t>
      </w:r>
    </w:p>
    <w:p>
      <w:pPr>
        <w:framePr w:w="9556" w:wrap="around" w:vAnchor="margin" w:hAnchor="text" w:x="1800" w:y="11344"/>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w:t>
      </w:r>
      <w:r>
        <w:rPr>
          <w:rFonts w:ascii="GGHCMB+å®ä½"/>
          <w:color w:val="222222"/>
          <w:spacing w:val="0"/>
          <w:sz w:val="21"/>
        </w:rPr>
        <w:t>NF4008898899</w:t>
      </w:r>
      <w:r>
        <w:rPr>
          <w:rFonts w:ascii="SKJVQB+å®ä½" w:hAnsi="SKJVQB+å®ä½" w:cs="SKJVQB+å®ä½"/>
          <w:color w:val="222222"/>
          <w:spacing w:val="0"/>
          <w:sz w:val="21"/>
        </w:rPr>
        <w:t>”）或</w:t>
      </w:r>
      <w:r>
        <w:rPr>
          <w:rFonts w:ascii="GGHCMB+å®ä½"/>
          <w:color w:val="222222"/>
          <w:spacing w:val="0"/>
          <w:sz w:val="21"/>
        </w:rPr>
        <w:t>APP</w:t>
      </w:r>
      <w:r>
        <w:rPr>
          <w:rFonts w:ascii="SKJVQB+å®ä½" w:hAnsi="SKJVQB+å®ä½" w:cs="SKJVQB+å®ä½"/>
          <w:color w:val="222222"/>
          <w:spacing w:val="0"/>
          <w:sz w:val="21"/>
        </w:rPr>
        <w:t>客户端，投资人可获得如下服务：</w:t>
      </w:r>
    </w:p>
    <w:p>
      <w:pPr>
        <w:framePr w:w="9556" w:wrap="around" w:vAnchor="margin" w:hAnchor="text" w:x="1800" w:y="11344"/>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、账户查询服务</w:t>
      </w:r>
    </w:p>
    <w:p>
      <w:pPr>
        <w:framePr w:w="9542" w:wrap="around" w:vAnchor="margin" w:hAnchor="text" w:x="1800" w:y="12570"/>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机构投资者通过基金管理人网站，个人投资者通过基金管理人网站、微信公众号或</w:t>
      </w:r>
    </w:p>
    <w:p>
      <w:pPr>
        <w:framePr w:w="9542" w:wrap="around" w:vAnchor="margin" w:hAnchor="text" w:x="1800" w:y="12570"/>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APP</w:t>
      </w:r>
      <w:r>
        <w:rPr>
          <w:rFonts w:ascii="SKJVQB+å®ä½" w:hAnsi="SKJVQB+å®ä½" w:cs="SKJVQB+å®ä½"/>
          <w:color w:val="222222"/>
          <w:spacing w:val="0"/>
          <w:sz w:val="21"/>
        </w:rPr>
        <w:t>客户端，可享有场外基金交易查询、账户查询和相关基金信息查询等服务。</w:t>
      </w:r>
    </w:p>
    <w:p>
      <w:pPr>
        <w:framePr w:w="9542" w:wrap="around" w:vAnchor="margin" w:hAnchor="text" w:x="1800" w:y="12570"/>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、网上交易服务</w:t>
      </w:r>
    </w:p>
    <w:p>
      <w:pPr>
        <w:framePr w:w="9557" w:wrap="around" w:vAnchor="margin" w:hAnchor="text" w:x="1800" w:y="1379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机构投资者可通过基金管理人网站，个人投资者可通过基金管理人网站、微信公众号</w:t>
      </w:r>
    </w:p>
    <w:p>
      <w:pPr>
        <w:framePr w:w="9557" w:wrap="around" w:vAnchor="margin" w:hAnchor="text" w:x="1800" w:y="1379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或</w:t>
      </w:r>
      <w:r>
        <w:rPr>
          <w:rFonts w:ascii="GGHCMB+å®ä½"/>
          <w:color w:val="222222"/>
          <w:spacing w:val="0"/>
          <w:sz w:val="21"/>
        </w:rPr>
        <w:t>APP</w:t>
      </w:r>
      <w:r>
        <w:rPr>
          <w:rFonts w:ascii="SKJVQB+å®ä½" w:hAnsi="SKJVQB+å®ä½" w:cs="SKJVQB+å®ä½"/>
          <w:color w:val="222222"/>
          <w:spacing w:val="0"/>
          <w:sz w:val="21"/>
        </w:rPr>
        <w:t>客户端办理开户、认购</w:t>
      </w:r>
      <w:r>
        <w:rPr>
          <w:rFonts w:ascii="GGHCMB+å®ä½"/>
          <w:color w:val="222222"/>
          <w:spacing w:val="0"/>
          <w:sz w:val="21"/>
        </w:rPr>
        <w:t>/</w:t>
      </w:r>
      <w:r>
        <w:rPr>
          <w:rFonts w:ascii="SKJVQB+å®ä½" w:hAnsi="SKJVQB+å®ä½" w:cs="SKJVQB+å®ä½"/>
          <w:color w:val="222222"/>
          <w:spacing w:val="0"/>
          <w:sz w:val="21"/>
        </w:rPr>
        <w:t>申购、赎回及信息查询等业务。有关基金管理人电子直销具</w:t>
      </w:r>
    </w:p>
    <w:p>
      <w:pPr>
        <w:framePr w:w="9557" w:wrap="around" w:vAnchor="margin" w:hAnchor="text" w:x="1800" w:y="1379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体规则请参见基金管理人网站相关公告和业务规则。</w:t>
      </w:r>
    </w:p>
    <w:p>
      <w:pPr>
        <w:framePr w:w="9557" w:wrap="around" w:vAnchor="margin" w:hAnchor="text" w:x="1800" w:y="13797"/>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、信息查询服务</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189</w:t>
      </w:r>
    </w:p>
    <w:p>
      <w:pPr>
        <w:spacing w:before="0" w:after="0" w:line="0" w:lineRule="exact"/>
        <w:ind w:left="0" w:right="0"/>
        <w:jc w:val="left"/>
        <w:rPr>
          <w:rFonts w:ascii="Arial"/>
          <w:color w:val="FF0000"/>
          <w:spacing w:val="0"/>
          <w:sz w:val="2"/>
        </w:rPr>
      </w:pPr>
      <w:r>
        <w:pict>
          <v:shape id="_x0000404" o:spid="_x0000_s1430"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11" o:title=""/>
            <o:lock v:ext="edit" aspectratio="t"/>
          </v:shape>
        </w:pict>
      </w:r>
      <w:r>
        <w:pict>
          <v:shape id="_x0000405" o:spid="_x0000_s1431" o:spt="75" type="#_x0000_t75" style="position:absolute;left:0pt;margin-left:88.6pt;margin-top:71.1pt;height:699pt;width:418.3pt;mso-position-horizontal-relative:page;mso-position-vertical-relative:page;z-index:-2048;mso-width-relative:page;mso-height-relative:page;" filled="f" coordsize="21600,21600">
            <v:path/>
            <v:fill on="f" focussize="0,0"/>
            <v:stroke/>
            <v:imagedata r:id="rId1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9553" w:wrap="around" w:vAnchor="margin" w:hAnchor="text" w:x="1800" w:y="145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投资人可以利用基金管理人网站等获取基金和基金管理人依法披露的各类信息，包括</w:t>
      </w:r>
    </w:p>
    <w:p>
      <w:pPr>
        <w:framePr w:w="9553" w:wrap="around" w:vAnchor="margin" w:hAnchor="text" w:x="1800" w:y="1452"/>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基金的法律文件、基金公告、定期报告和基金管理人最新动态等各类资料。</w:t>
      </w:r>
    </w:p>
    <w:p>
      <w:pPr>
        <w:framePr w:w="9553" w:wrap="around" w:vAnchor="margin" w:hAnchor="text" w:x="1800" w:y="1452"/>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、智能客服服务（</w:t>
      </w:r>
      <w:r>
        <w:rPr>
          <w:rFonts w:ascii="GGHCMB+å®ä½"/>
          <w:color w:val="222222"/>
          <w:spacing w:val="0"/>
          <w:sz w:val="21"/>
        </w:rPr>
        <w:t>7</w:t>
      </w:r>
      <w:r>
        <w:rPr>
          <w:rFonts w:ascii="SKJVQB+å®ä½" w:hAnsi="SKJVQB+å®ä½" w:cs="SKJVQB+å®ä½"/>
          <w:color w:val="222222"/>
          <w:spacing w:val="0"/>
          <w:sz w:val="21"/>
        </w:rPr>
        <w:t>×</w:t>
      </w:r>
      <w:r>
        <w:rPr>
          <w:rFonts w:ascii="GGHCMB+å®ä½"/>
          <w:color w:val="222222"/>
          <w:spacing w:val="0"/>
          <w:sz w:val="21"/>
        </w:rPr>
        <w:t>24</w:t>
      </w:r>
      <w:r>
        <w:rPr>
          <w:rFonts w:ascii="SKJVQB+å®ä½" w:hAnsi="SKJVQB+å®ä½" w:cs="SKJVQB+å®ä½"/>
          <w:color w:val="222222"/>
          <w:spacing w:val="0"/>
          <w:sz w:val="21"/>
        </w:rPr>
        <w:t>小时）</w:t>
      </w:r>
    </w:p>
    <w:p>
      <w:pPr>
        <w:framePr w:w="9557" w:wrap="around" w:vAnchor="margin" w:hAnchor="text" w:x="1800" w:y="2678"/>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投资人可通过基金管理人网站、微信公众号或 </w:t>
      </w:r>
      <w:r>
        <w:rPr>
          <w:rFonts w:ascii="GGHCMB+å®ä½"/>
          <w:color w:val="222222"/>
          <w:spacing w:val="0"/>
          <w:sz w:val="21"/>
        </w:rPr>
        <w:t>APP</w:t>
      </w:r>
      <w:r>
        <w:rPr>
          <w:rFonts w:ascii="SKJVQB+å®ä½" w:hAnsi="SKJVQB+å®ä½" w:cs="SKJVQB+å®ä½"/>
          <w:color w:val="222222"/>
          <w:spacing w:val="0"/>
          <w:sz w:val="21"/>
        </w:rPr>
        <w:t>客户端，获得业务规则、净值信息</w:t>
      </w:r>
    </w:p>
    <w:p>
      <w:pPr>
        <w:framePr w:w="9557" w:wrap="around" w:vAnchor="margin" w:hAnchor="text" w:x="1800" w:y="2678"/>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等自助咨询服务。</w:t>
      </w:r>
    </w:p>
    <w:p>
      <w:pPr>
        <w:framePr w:w="1892" w:wrap="around" w:vAnchor="margin" w:hAnchor="text" w:x="2220" w:y="349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、网上人工服务</w:t>
      </w:r>
    </w:p>
    <w:p>
      <w:pPr>
        <w:framePr w:w="9557" w:wrap="around" w:vAnchor="margin" w:hAnchor="text" w:x="1800" w:y="3902"/>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投资人可通过基金管理人网站、微信公众号或 </w:t>
      </w:r>
      <w:r>
        <w:rPr>
          <w:rFonts w:ascii="GGHCMB+å®ä½"/>
          <w:color w:val="222222"/>
          <w:spacing w:val="0"/>
          <w:sz w:val="21"/>
        </w:rPr>
        <w:t>APP</w:t>
      </w:r>
      <w:r>
        <w:rPr>
          <w:rFonts w:ascii="SKJVQB+å®ä½" w:hAnsi="SKJVQB+å®ä½" w:cs="SKJVQB+å®ä½"/>
          <w:color w:val="222222"/>
          <w:spacing w:val="0"/>
          <w:sz w:val="21"/>
        </w:rPr>
        <w:t>客户端获得投资咨询、业务咨询、</w:t>
      </w:r>
    </w:p>
    <w:p>
      <w:pPr>
        <w:framePr w:w="9557" w:wrap="around" w:vAnchor="margin" w:hAnchor="text" w:x="1800" w:y="3902"/>
        <w:widowControl w:val="0"/>
        <w:autoSpaceDE w:val="0"/>
        <w:autoSpaceDN w:val="0"/>
        <w:spacing w:before="0" w:after="0" w:line="410"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信息查询、服务投诉及建议、信息定制等专项服务。</w:t>
      </w:r>
    </w:p>
    <w:p>
      <w:pPr>
        <w:framePr w:w="2901" w:wrap="around" w:vAnchor="margin" w:hAnchor="text" w:x="2220" w:y="5129"/>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三、客户服务中心电话服务</w:t>
      </w:r>
    </w:p>
    <w:p>
      <w:pPr>
        <w:framePr w:w="9554" w:wrap="around" w:vAnchor="margin" w:hAnchor="text" w:x="1800" w:y="553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 xml:space="preserve">投资人拨打基金管理人客户服务中心热线 </w:t>
      </w:r>
      <w:r>
        <w:rPr>
          <w:rFonts w:ascii="GGHCMB+å®ä½"/>
          <w:color w:val="222222"/>
          <w:spacing w:val="0"/>
          <w:sz w:val="21"/>
        </w:rPr>
        <w:t>400-889-8899</w:t>
      </w:r>
      <w:r>
        <w:rPr>
          <w:rFonts w:ascii="SKJVQB+å®ä½" w:hAnsi="SKJVQB+å®ä½" w:cs="SKJVQB+å®ä½"/>
          <w:color w:val="222222"/>
          <w:spacing w:val="0"/>
          <w:sz w:val="21"/>
        </w:rPr>
        <w:t>（国内免长途话费）可享有如</w:t>
      </w:r>
    </w:p>
    <w:p>
      <w:pPr>
        <w:framePr w:w="9554" w:wrap="around" w:vAnchor="margin" w:hAnchor="text" w:x="1800" w:y="553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下服务：</w:t>
      </w:r>
    </w:p>
    <w:p>
      <w:pPr>
        <w:framePr w:w="9560" w:wrap="around" w:vAnchor="margin" w:hAnchor="text" w:x="1800" w:y="6355"/>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、自助语音服务（</w:t>
      </w:r>
      <w:r>
        <w:rPr>
          <w:rFonts w:ascii="GGHCMB+å®ä½"/>
          <w:color w:val="222222"/>
          <w:spacing w:val="0"/>
          <w:sz w:val="21"/>
        </w:rPr>
        <w:t>7</w:t>
      </w:r>
      <w:r>
        <w:rPr>
          <w:rFonts w:ascii="SKJVQB+å®ä½" w:hAnsi="SKJVQB+å®ä½" w:cs="SKJVQB+å®ä½"/>
          <w:color w:val="222222"/>
          <w:spacing w:val="0"/>
          <w:sz w:val="21"/>
        </w:rPr>
        <w:t>×</w:t>
      </w:r>
      <w:r>
        <w:rPr>
          <w:rFonts w:ascii="GGHCMB+å®ä½"/>
          <w:color w:val="222222"/>
          <w:spacing w:val="0"/>
          <w:sz w:val="21"/>
        </w:rPr>
        <w:t>24</w:t>
      </w:r>
      <w:r>
        <w:rPr>
          <w:rFonts w:ascii="SKJVQB+å®ä½" w:hAnsi="SKJVQB+å®ä½" w:cs="SKJVQB+å®ä½"/>
          <w:color w:val="222222"/>
          <w:spacing w:val="0"/>
          <w:sz w:val="21"/>
        </w:rPr>
        <w:t>小时）：提供基金净值信息、账户信息等自助查询服务。</w:t>
      </w:r>
    </w:p>
    <w:p>
      <w:pPr>
        <w:framePr w:w="9560" w:wrap="around" w:vAnchor="margin" w:hAnchor="text" w:x="1800" w:y="6355"/>
        <w:widowControl w:val="0"/>
        <w:autoSpaceDE w:val="0"/>
        <w:autoSpaceDN w:val="0"/>
        <w:spacing w:before="0" w:after="0" w:line="408" w:lineRule="exact"/>
        <w:ind w:left="42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、人工服务：提供每周</w:t>
      </w:r>
      <w:r>
        <w:rPr>
          <w:rFonts w:ascii="GGHCMB+å®ä½"/>
          <w:color w:val="222222"/>
          <w:spacing w:val="0"/>
          <w:sz w:val="21"/>
        </w:rPr>
        <w:t>7</w:t>
      </w:r>
      <w:r>
        <w:rPr>
          <w:rFonts w:ascii="SKJVQB+å®ä½" w:hAnsi="SKJVQB+å®ä½" w:cs="SKJVQB+å®ä½"/>
          <w:color w:val="222222"/>
          <w:spacing w:val="0"/>
          <w:sz w:val="21"/>
        </w:rPr>
        <w:t>天，每日不少于</w:t>
      </w:r>
      <w:r>
        <w:rPr>
          <w:rFonts w:ascii="GGHCMB+å®ä½"/>
          <w:color w:val="222222"/>
          <w:spacing w:val="0"/>
          <w:sz w:val="21"/>
        </w:rPr>
        <w:t>8</w:t>
      </w:r>
      <w:r>
        <w:rPr>
          <w:rFonts w:ascii="SKJVQB+å®ä½" w:hAnsi="SKJVQB+å®ä½" w:cs="SKJVQB+å®ä½"/>
          <w:color w:val="222222"/>
          <w:spacing w:val="0"/>
          <w:sz w:val="21"/>
        </w:rPr>
        <w:t>小时的人工服务（法定节假日除外）。投</w:t>
      </w:r>
    </w:p>
    <w:p>
      <w:pPr>
        <w:framePr w:w="9560"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资人可以通过该热线获得投资咨询、业务咨询、信息查询、服务投诉及建议、信息定制等</w:t>
      </w:r>
    </w:p>
    <w:p>
      <w:pPr>
        <w:framePr w:w="9560" w:wrap="around" w:vAnchor="margin" w:hAnchor="text" w:x="1800" w:y="6355"/>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专项服务。</w:t>
      </w:r>
    </w:p>
    <w:p>
      <w:pPr>
        <w:framePr w:w="1578" w:wrap="around" w:vAnchor="margin" w:hAnchor="text" w:x="2220" w:y="839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四、资讯服务</w:t>
      </w:r>
    </w:p>
    <w:p>
      <w:pPr>
        <w:framePr w:w="9543" w:wrap="around" w:vAnchor="margin" w:hAnchor="text" w:x="1800" w:y="8806"/>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基金管理人通过电话、短信、邮件、微信等方式，为投资人提供相关资讯，包括但不</w:t>
      </w:r>
    </w:p>
    <w:p>
      <w:pPr>
        <w:framePr w:w="9543" w:wrap="around" w:vAnchor="margin" w:hAnchor="text" w:x="1800" w:y="8806"/>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限于以下类型：</w:t>
      </w:r>
    </w:p>
    <w:p>
      <w:pPr>
        <w:framePr w:w="3506" w:wrap="around" w:vAnchor="margin" w:hAnchor="text" w:x="2220" w:y="9622"/>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、持有产品相关的通知和资讯。</w:t>
      </w:r>
    </w:p>
    <w:p>
      <w:pPr>
        <w:framePr w:w="3506" w:wrap="around" w:vAnchor="margin" w:hAnchor="text" w:x="2220" w:y="10033"/>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、投资者教育资讯和相关活动。</w:t>
      </w:r>
    </w:p>
    <w:p>
      <w:pPr>
        <w:framePr w:w="4229" w:wrap="around" w:vAnchor="margin" w:hAnchor="text" w:x="2220" w:y="1044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、符合相关法律法规要求的其他资讯。</w:t>
      </w:r>
    </w:p>
    <w:p>
      <w:pPr>
        <w:framePr w:w="9553" w:wrap="around" w:vAnchor="margin" w:hAnchor="text" w:x="1800" w:y="10849"/>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投资人如需取消相关资讯服务，可按照资讯指引退订，或通过基金管理人客户服务中</w:t>
      </w:r>
    </w:p>
    <w:p>
      <w:pPr>
        <w:framePr w:w="9553" w:wrap="around" w:vAnchor="margin" w:hAnchor="text" w:x="1800" w:y="10849"/>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心热线</w:t>
      </w:r>
      <w:r>
        <w:rPr>
          <w:rFonts w:ascii="GGHCMB+å®ä½"/>
          <w:color w:val="222222"/>
          <w:spacing w:val="0"/>
          <w:sz w:val="21"/>
        </w:rPr>
        <w:t>400-889-8899</w:t>
      </w:r>
      <w:r>
        <w:rPr>
          <w:rFonts w:ascii="SKJVQB+å®ä½" w:hAnsi="SKJVQB+å®ä½" w:cs="SKJVQB+å®ä½"/>
          <w:color w:val="222222"/>
          <w:spacing w:val="0"/>
          <w:sz w:val="21"/>
        </w:rPr>
        <w:t>、人工客服等人工服务方式退订。</w:t>
      </w:r>
    </w:p>
    <w:p>
      <w:pPr>
        <w:framePr w:w="3144" w:wrap="around" w:vAnchor="margin" w:hAnchor="text" w:x="2220" w:y="12076"/>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五、客户投诉及建议受理服务</w:t>
      </w:r>
    </w:p>
    <w:p>
      <w:pPr>
        <w:framePr w:w="9553" w:wrap="around" w:vAnchor="margin" w:hAnchor="text" w:x="1800" w:y="12484"/>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投资人可以通过基金管理人客户服务中心人工热线、在线客服、书信、电子邮件、短</w:t>
      </w:r>
    </w:p>
    <w:p>
      <w:pPr>
        <w:framePr w:w="9553"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信及各销售机构网点柜台等不同的渠道对基金管理人和销售网点所提供的服务进行投诉或</w:t>
      </w:r>
    </w:p>
    <w:p>
      <w:pPr>
        <w:framePr w:w="9553" w:wrap="around" w:vAnchor="margin" w:hAnchor="text" w:x="1800" w:y="1248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提出建议。</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190</w:t>
      </w:r>
    </w:p>
    <w:p>
      <w:pPr>
        <w:spacing w:before="0" w:after="0" w:line="0" w:lineRule="exact"/>
        <w:ind w:left="0" w:right="0"/>
        <w:jc w:val="left"/>
        <w:rPr>
          <w:rFonts w:ascii="Arial"/>
          <w:color w:val="FF0000"/>
          <w:spacing w:val="0"/>
          <w:sz w:val="2"/>
        </w:rPr>
      </w:pPr>
      <w:r>
        <w:pict>
          <v:shape id="_x0000406" o:spid="_x0000_s1432"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71" o:title=""/>
            <o:lock v:ext="edit" aspectratio="t"/>
          </v:shape>
        </w:pict>
      </w:r>
      <w:r>
        <w:pict>
          <v:shape id="_x0000407" o:spid="_x0000_s1433" o:spt="75" type="#_x0000_t75" style="position:absolute;left:0pt;margin-left:88.6pt;margin-top:71.1pt;height:612.8pt;width:418.3pt;mso-position-horizontal-relative:page;mso-position-vertical-relative:page;z-index:-2048;mso-width-relative:page;mso-height-relative:page;" filled="f" coordsize="21600,21600">
            <v:path/>
            <v:fill on="f" focussize="0,0"/>
            <v:stroke/>
            <v:imagedata r:id="rId272"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3091" w:wrap="around" w:vAnchor="margin" w:hAnchor="text" w:x="4619"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21</w:t>
      </w:r>
      <w:r>
        <w:rPr>
          <w:rFonts w:ascii="SKJVQB+å®ä½" w:hAnsi="SKJVQB+å®ä½" w:cs="SKJVQB+å®ä½"/>
          <w:color w:val="222222"/>
          <w:spacing w:val="0"/>
          <w:sz w:val="28"/>
        </w:rPr>
        <w:t>其他应披露事项</w:t>
      </w:r>
    </w:p>
    <w:p>
      <w:pPr>
        <w:framePr w:w="737" w:wrap="around" w:vAnchor="margin" w:hAnchor="text" w:x="3608" w:y="23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标题</w:t>
      </w:r>
    </w:p>
    <w:p>
      <w:pPr>
        <w:framePr w:w="1157" w:wrap="around" w:vAnchor="margin" w:hAnchor="text" w:x="7653" w:y="2390"/>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公告日期</w:t>
      </w:r>
    </w:p>
    <w:p>
      <w:pPr>
        <w:framePr w:w="6018" w:wrap="around" w:vAnchor="margin" w:hAnchor="text" w:x="1800" w:y="2703"/>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南方双元债券型证券投资基金 </w:t>
      </w:r>
      <w:r>
        <w:rPr>
          <w:rFonts w:ascii="Times New Roman"/>
          <w:color w:val="000000"/>
          <w:spacing w:val="0"/>
          <w:sz w:val="21"/>
        </w:rPr>
        <w:t>2019</w:t>
      </w:r>
      <w:r>
        <w:rPr>
          <w:rFonts w:ascii="SKJVQB+å®ä½" w:hAnsi="SKJVQB+å®ä½" w:cs="SKJVQB+å®ä½"/>
          <w:color w:val="000000"/>
          <w:spacing w:val="0"/>
          <w:sz w:val="21"/>
        </w:rPr>
        <w:t xml:space="preserve">年第 </w:t>
      </w:r>
      <w:r>
        <w:rPr>
          <w:rFonts w:ascii="Times New Roman"/>
          <w:color w:val="000000"/>
          <w:spacing w:val="0"/>
          <w:sz w:val="21"/>
        </w:rPr>
        <w:t>4</w:t>
      </w:r>
      <w:r>
        <w:rPr>
          <w:rFonts w:ascii="SKJVQB+å®ä½" w:hAnsi="SKJVQB+å®ä½" w:cs="SKJVQB+å®ä½"/>
          <w:color w:val="000000"/>
          <w:spacing w:val="0"/>
          <w:sz w:val="21"/>
        </w:rPr>
        <w:t xml:space="preserve">季     </w:t>
      </w:r>
      <w:r>
        <w:rPr>
          <w:rFonts w:ascii="Times New Roman"/>
          <w:color w:val="000000"/>
          <w:spacing w:val="0"/>
          <w:sz w:val="21"/>
        </w:rPr>
        <w:t>2020-01-20</w:t>
      </w:r>
    </w:p>
    <w:p>
      <w:pPr>
        <w:framePr w:w="949" w:wrap="around" w:vAnchor="margin" w:hAnchor="text" w:x="1800" w:y="3024"/>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度报告</w:t>
      </w:r>
    </w:p>
    <w:p>
      <w:pPr>
        <w:framePr w:w="4593" w:wrap="around" w:vAnchor="margin" w:hAnchor="text" w:x="1800" w:y="334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南方基金管理股份有限公司旗下全部基金</w:t>
      </w:r>
    </w:p>
    <w:p>
      <w:pPr>
        <w:framePr w:w="4593" w:wrap="around" w:vAnchor="margin" w:hAnchor="text" w:x="1800" w:y="33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Times New Roman"/>
          <w:color w:val="000000"/>
          <w:spacing w:val="0"/>
          <w:sz w:val="21"/>
        </w:rPr>
        <w:t>2019</w:t>
      </w:r>
      <w:r>
        <w:rPr>
          <w:rFonts w:ascii="SKJVQB+å®ä½" w:hAnsi="SKJVQB+å®ä½" w:cs="SKJVQB+å®ä½"/>
          <w:color w:val="000000"/>
          <w:spacing w:val="0"/>
          <w:sz w:val="21"/>
        </w:rPr>
        <w:t>年第四季度报告提示性公告</w:t>
      </w:r>
    </w:p>
    <w:p>
      <w:pPr>
        <w:framePr w:w="4593" w:wrap="around" w:vAnchor="margin" w:hAnchor="text" w:x="1800" w:y="3345"/>
        <w:widowControl w:val="0"/>
        <w:autoSpaceDE w:val="0"/>
        <w:autoSpaceDN w:val="0"/>
        <w:spacing w:before="0" w:after="0" w:line="32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南方基金关于旗下部分基金参加交通银行手</w:t>
      </w:r>
    </w:p>
    <w:p>
      <w:pPr>
        <w:framePr w:w="4593" w:wrap="around" w:vAnchor="margin" w:hAnchor="text" w:x="1800" w:y="334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机银行渠道基金申购及定期定额投资手续费</w:t>
      </w:r>
    </w:p>
    <w:p>
      <w:pPr>
        <w:framePr w:w="4593" w:wrap="around" w:vAnchor="margin" w:hAnchor="text" w:x="1800" w:y="3345"/>
        <w:widowControl w:val="0"/>
        <w:autoSpaceDE w:val="0"/>
        <w:autoSpaceDN w:val="0"/>
        <w:spacing w:before="0" w:after="0" w:line="313"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率优惠活动的公告</w:t>
      </w:r>
    </w:p>
    <w:p>
      <w:pPr>
        <w:framePr w:w="1300" w:wrap="around" w:vAnchor="margin" w:hAnchor="text" w:x="6054" w:y="333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2020-01-20</w:t>
      </w:r>
    </w:p>
    <w:p>
      <w:pPr>
        <w:framePr w:w="1300" w:wrap="around" w:vAnchor="margin" w:hAnchor="text" w:x="6054" w:y="3336"/>
        <w:widowControl w:val="0"/>
        <w:autoSpaceDE w:val="0"/>
        <w:autoSpaceDN w:val="0"/>
        <w:spacing w:before="0" w:after="0" w:line="634" w:lineRule="exact"/>
        <w:ind w:left="0" w:right="0"/>
        <w:jc w:val="left"/>
        <w:rPr>
          <w:rFonts w:ascii="Times New Roman"/>
          <w:color w:val="000000"/>
          <w:spacing w:val="0"/>
          <w:sz w:val="21"/>
        </w:rPr>
      </w:pPr>
      <w:r>
        <w:rPr>
          <w:rFonts w:ascii="Times New Roman"/>
          <w:color w:val="000000"/>
          <w:spacing w:val="0"/>
          <w:sz w:val="21"/>
        </w:rPr>
        <w:t>2019-12-31</w:t>
      </w:r>
    </w:p>
    <w:p>
      <w:pPr>
        <w:framePr w:w="4593" w:wrap="around" w:vAnchor="margin" w:hAnchor="text" w:x="1800" w:y="4925"/>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南方基金关于旗下部分基金参加中国工商银</w:t>
      </w:r>
    </w:p>
    <w:p>
      <w:pPr>
        <w:framePr w:w="4593" w:wrap="around" w:vAnchor="margin" w:hAnchor="text" w:x="1800" w:y="4925"/>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行基金费率优惠活动的公告</w:t>
      </w:r>
    </w:p>
    <w:p>
      <w:pPr>
        <w:framePr w:w="1300" w:wrap="around" w:vAnchor="margin" w:hAnchor="text" w:x="6054" w:y="4916"/>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2019-12-31</w:t>
      </w:r>
    </w:p>
    <w:p>
      <w:pPr>
        <w:framePr w:w="1300" w:wrap="around" w:vAnchor="margin" w:hAnchor="text" w:x="6054" w:y="4916"/>
        <w:widowControl w:val="0"/>
        <w:autoSpaceDE w:val="0"/>
        <w:autoSpaceDN w:val="0"/>
        <w:spacing w:before="0" w:after="0" w:line="636" w:lineRule="exact"/>
        <w:ind w:left="0" w:right="0"/>
        <w:jc w:val="left"/>
        <w:rPr>
          <w:rFonts w:ascii="Times New Roman"/>
          <w:color w:val="000000"/>
          <w:spacing w:val="0"/>
          <w:sz w:val="21"/>
        </w:rPr>
      </w:pPr>
      <w:r>
        <w:rPr>
          <w:rFonts w:ascii="Times New Roman"/>
          <w:color w:val="000000"/>
          <w:spacing w:val="0"/>
          <w:sz w:val="21"/>
        </w:rPr>
        <w:t>2019-12-31</w:t>
      </w:r>
    </w:p>
    <w:p>
      <w:pPr>
        <w:framePr w:w="4593" w:wrap="around" w:vAnchor="margin" w:hAnchor="text" w:x="1800" w:y="5561"/>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南方基金关于旗下部分基金参加邮储银行个</w:t>
      </w:r>
    </w:p>
    <w:p>
      <w:pPr>
        <w:framePr w:w="4593" w:wrap="around" w:vAnchor="margin" w:hAnchor="text" w:x="1800"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人网上银行和手机银行基金申购费率优惠活</w:t>
      </w:r>
    </w:p>
    <w:p>
      <w:pPr>
        <w:framePr w:w="4593" w:wrap="around" w:vAnchor="margin" w:hAnchor="text" w:x="1800" w:y="556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动的公告</w:t>
      </w:r>
    </w:p>
    <w:p>
      <w:pPr>
        <w:framePr w:w="4593" w:wrap="around" w:vAnchor="margin" w:hAnchor="text" w:x="1800" w:y="6507"/>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南方基金关于电子直销平台相关业务费率优</w:t>
      </w:r>
    </w:p>
    <w:p>
      <w:pPr>
        <w:framePr w:w="4593" w:wrap="around" w:vAnchor="margin" w:hAnchor="text" w:x="1800" w:y="6507"/>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惠的公告</w:t>
      </w:r>
    </w:p>
    <w:p>
      <w:pPr>
        <w:framePr w:w="1300" w:wrap="around" w:vAnchor="margin" w:hAnchor="text" w:x="6054" w:y="6498"/>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2019-12-27</w:t>
      </w:r>
    </w:p>
    <w:p>
      <w:pPr>
        <w:framePr w:w="6018" w:wrap="around" w:vAnchor="margin" w:hAnchor="text" w:x="1800" w:y="7131"/>
        <w:widowControl w:val="0"/>
        <w:autoSpaceDE w:val="0"/>
        <w:autoSpaceDN w:val="0"/>
        <w:spacing w:before="0" w:after="0" w:line="234" w:lineRule="exact"/>
        <w:ind w:left="0" w:right="0"/>
        <w:jc w:val="left"/>
        <w:rPr>
          <w:rFonts w:ascii="Times New Roman"/>
          <w:color w:val="000000"/>
          <w:spacing w:val="0"/>
          <w:sz w:val="21"/>
        </w:rPr>
      </w:pPr>
      <w:r>
        <w:rPr>
          <w:rFonts w:ascii="SKJVQB+å®ä½" w:hAnsi="SKJVQB+å®ä½" w:cs="SKJVQB+å®ä½"/>
          <w:color w:val="000000"/>
          <w:spacing w:val="0"/>
          <w:sz w:val="21"/>
        </w:rPr>
        <w:t xml:space="preserve">南方双元债券型证券投资基金 </w:t>
      </w:r>
      <w:r>
        <w:rPr>
          <w:rFonts w:ascii="Times New Roman"/>
          <w:color w:val="000000"/>
          <w:spacing w:val="0"/>
          <w:sz w:val="21"/>
        </w:rPr>
        <w:t>2019</w:t>
      </w:r>
      <w:r>
        <w:rPr>
          <w:rFonts w:ascii="SKJVQB+å®ä½" w:hAnsi="SKJVQB+å®ä½" w:cs="SKJVQB+å®ä½"/>
          <w:color w:val="000000"/>
          <w:spacing w:val="0"/>
          <w:sz w:val="21"/>
        </w:rPr>
        <w:t xml:space="preserve">年第 </w:t>
      </w:r>
      <w:r>
        <w:rPr>
          <w:rFonts w:ascii="Times New Roman"/>
          <w:color w:val="000000"/>
          <w:spacing w:val="0"/>
          <w:sz w:val="21"/>
        </w:rPr>
        <w:t>3</w:t>
      </w:r>
      <w:r>
        <w:rPr>
          <w:rFonts w:ascii="SKJVQB+å®ä½" w:hAnsi="SKJVQB+å®ä½" w:cs="SKJVQB+å®ä½"/>
          <w:color w:val="000000"/>
          <w:spacing w:val="0"/>
          <w:sz w:val="21"/>
        </w:rPr>
        <w:t xml:space="preserve">季     </w:t>
      </w:r>
      <w:r>
        <w:rPr>
          <w:rFonts w:ascii="Times New Roman"/>
          <w:color w:val="000000"/>
          <w:spacing w:val="0"/>
          <w:sz w:val="21"/>
        </w:rPr>
        <w:t>2019-10-25</w:t>
      </w:r>
    </w:p>
    <w:p>
      <w:pPr>
        <w:framePr w:w="949" w:wrap="around" w:vAnchor="margin" w:hAnchor="text" w:x="1800" w:y="7453"/>
        <w:widowControl w:val="0"/>
        <w:autoSpaceDE w:val="0"/>
        <w:autoSpaceDN w:val="0"/>
        <w:spacing w:before="0" w:after="0" w:line="211"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度报告</w:t>
      </w:r>
    </w:p>
    <w:p>
      <w:pPr>
        <w:framePr w:w="4472" w:wrap="around" w:vAnchor="margin" w:hAnchor="text" w:x="1800" w:y="7768"/>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南方双元债券型证券投资基金 </w:t>
      </w:r>
      <w:r>
        <w:rPr>
          <w:rFonts w:ascii="Times New Roman"/>
          <w:color w:val="000000"/>
          <w:spacing w:val="0"/>
          <w:sz w:val="21"/>
        </w:rPr>
        <w:t>2019</w:t>
      </w:r>
      <w:r>
        <w:rPr>
          <w:rFonts w:ascii="SKJVQB+å®ä½" w:hAnsi="SKJVQB+å®ä½" w:cs="SKJVQB+å®ä½"/>
          <w:color w:val="000000"/>
          <w:spacing w:val="0"/>
          <w:sz w:val="21"/>
        </w:rPr>
        <w:t>年半年</w:t>
      </w:r>
    </w:p>
    <w:p>
      <w:pPr>
        <w:framePr w:w="4472" w:wrap="around" w:vAnchor="margin" w:hAnchor="text" w:x="1800" w:y="7768"/>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度报告</w:t>
      </w:r>
    </w:p>
    <w:p>
      <w:pPr>
        <w:framePr w:w="1300" w:wrap="around" w:vAnchor="margin" w:hAnchor="text" w:x="6054" w:y="7765"/>
        <w:widowControl w:val="0"/>
        <w:autoSpaceDE w:val="0"/>
        <w:autoSpaceDN w:val="0"/>
        <w:spacing w:before="0" w:after="0" w:line="234" w:lineRule="exact"/>
        <w:ind w:left="0" w:right="0"/>
        <w:jc w:val="left"/>
        <w:rPr>
          <w:rFonts w:ascii="Times New Roman"/>
          <w:color w:val="000000"/>
          <w:spacing w:val="0"/>
          <w:sz w:val="21"/>
        </w:rPr>
      </w:pPr>
      <w:r>
        <w:rPr>
          <w:rFonts w:ascii="Times New Roman"/>
          <w:color w:val="000000"/>
          <w:spacing w:val="0"/>
          <w:sz w:val="21"/>
        </w:rPr>
        <w:t>2019-08-23</w:t>
      </w:r>
    </w:p>
    <w:p>
      <w:pPr>
        <w:framePr w:w="1300" w:wrap="around" w:vAnchor="margin" w:hAnchor="text" w:x="6054" w:y="7765"/>
        <w:widowControl w:val="0"/>
        <w:autoSpaceDE w:val="0"/>
        <w:autoSpaceDN w:val="0"/>
        <w:spacing w:before="0" w:after="0" w:line="634" w:lineRule="exact"/>
        <w:ind w:left="0" w:right="0"/>
        <w:jc w:val="left"/>
        <w:rPr>
          <w:rFonts w:ascii="Times New Roman"/>
          <w:color w:val="000000"/>
          <w:spacing w:val="0"/>
          <w:sz w:val="21"/>
        </w:rPr>
      </w:pPr>
      <w:r>
        <w:rPr>
          <w:rFonts w:ascii="Times New Roman"/>
          <w:color w:val="000000"/>
          <w:spacing w:val="0"/>
          <w:sz w:val="21"/>
        </w:rPr>
        <w:t>2019-08-23</w:t>
      </w:r>
    </w:p>
    <w:p>
      <w:pPr>
        <w:framePr w:w="4472" w:wrap="around" w:vAnchor="margin" w:hAnchor="text" w:x="1800" w:y="8401"/>
        <w:widowControl w:val="0"/>
        <w:autoSpaceDE w:val="0"/>
        <w:autoSpaceDN w:val="0"/>
        <w:spacing w:before="0" w:after="0" w:line="234"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 xml:space="preserve">南方双元债券型证券投资基金 </w:t>
      </w:r>
      <w:r>
        <w:rPr>
          <w:rFonts w:ascii="Times New Roman"/>
          <w:color w:val="000000"/>
          <w:spacing w:val="0"/>
          <w:sz w:val="21"/>
        </w:rPr>
        <w:t>2019</w:t>
      </w:r>
      <w:r>
        <w:rPr>
          <w:rFonts w:ascii="SKJVQB+å®ä½" w:hAnsi="SKJVQB+å®ä½" w:cs="SKJVQB+å®ä½"/>
          <w:color w:val="000000"/>
          <w:spacing w:val="0"/>
          <w:sz w:val="21"/>
        </w:rPr>
        <w:t>年半年</w:t>
      </w:r>
    </w:p>
    <w:p>
      <w:pPr>
        <w:framePr w:w="4472" w:wrap="around" w:vAnchor="margin" w:hAnchor="text" w:x="1800" w:y="8401"/>
        <w:widowControl w:val="0"/>
        <w:autoSpaceDE w:val="0"/>
        <w:autoSpaceDN w:val="0"/>
        <w:spacing w:before="0" w:after="0" w:line="312" w:lineRule="exact"/>
        <w:ind w:left="0" w:right="0"/>
        <w:jc w:val="left"/>
        <w:rPr>
          <w:rFonts w:ascii="SKJVQB+å®ä½" w:hAnsi="SKJVQB+å®ä½" w:cs="SKJVQB+å®ä½"/>
          <w:color w:val="000000"/>
          <w:spacing w:val="0"/>
          <w:sz w:val="21"/>
        </w:rPr>
      </w:pPr>
      <w:r>
        <w:rPr>
          <w:rFonts w:ascii="SKJVQB+å®ä½" w:hAnsi="SKJVQB+å®ä½" w:cs="SKJVQB+å®ä½"/>
          <w:color w:val="000000"/>
          <w:spacing w:val="0"/>
          <w:sz w:val="21"/>
        </w:rPr>
        <w:t>度报告摘要</w:t>
      </w:r>
    </w:p>
    <w:p>
      <w:pPr>
        <w:framePr w:w="5319" w:wrap="around" w:vAnchor="margin" w:hAnchor="text" w:x="2220" w:y="9018"/>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注：其他披露事项详见基金管理人发布的相关公告</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191</w:t>
      </w:r>
    </w:p>
    <w:p>
      <w:pPr>
        <w:spacing w:before="0" w:after="0" w:line="0" w:lineRule="exact"/>
        <w:ind w:left="0" w:right="0"/>
        <w:jc w:val="left"/>
        <w:rPr>
          <w:rFonts w:ascii="Arial"/>
          <w:color w:val="FF0000"/>
          <w:spacing w:val="0"/>
          <w:sz w:val="2"/>
        </w:rPr>
      </w:pPr>
      <w:r>
        <w:pict>
          <v:shape id="_x0000408" o:spid="_x0000_s1434"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73" o:title=""/>
            <o:lock v:ext="edit" aspectratio="t"/>
          </v:shape>
        </w:pict>
      </w:r>
      <w:r>
        <w:pict>
          <v:shape id="_x0000409" o:spid="_x0000_s1435" o:spt="75" type="#_x0000_t75" style="position:absolute;left:0pt;margin-left:88.6pt;margin-top:71.1pt;height:31.2pt;width:418.3pt;mso-position-horizontal-relative:page;mso-position-vertical-relative:page;z-index:-2048;mso-width-relative:page;mso-height-relative:page;" filled="f" coordsize="21600,21600">
            <v:path/>
            <v:fill on="f" focussize="0,0"/>
            <v:stroke/>
            <v:imagedata r:id="rId274" o:title=""/>
            <o:lock v:ext="edit" aspectratio="t"/>
          </v:shape>
        </w:pict>
      </w:r>
      <w:r>
        <w:pict>
          <v:shape id="_x0000410" o:spid="_x0000_s1436" o:spt="75" type="#_x0000_t75" style="position:absolute;left:0pt;margin-left:84.4pt;margin-top:116.35pt;height:353.55pt;width:425.85pt;mso-position-horizontal-relative:page;mso-position-vertical-relative:page;z-index:-2048;mso-width-relative:page;mso-height-relative:page;" filled="f" coordsize="21600,21600">
            <v:path/>
            <v:fill on="f" focussize="0,0"/>
            <v:stroke/>
            <v:imagedata r:id="rId275"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5012" w:wrap="around" w:vAnchor="margin" w:hAnchor="text" w:x="3774"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22</w:t>
      </w:r>
      <w:r>
        <w:rPr>
          <w:rFonts w:ascii="SKJVQB+å®ä½" w:hAnsi="SKJVQB+å®ä½" w:cs="SKJVQB+å®ä½"/>
          <w:color w:val="222222"/>
          <w:spacing w:val="0"/>
          <w:sz w:val="28"/>
        </w:rPr>
        <w:t>招募说明书存放及其查阅方式</w:t>
      </w:r>
    </w:p>
    <w:p>
      <w:pPr>
        <w:framePr w:w="9553" w:wrap="around" w:vAnchor="margin" w:hAnchor="text" w:x="1800" w:y="2357"/>
        <w:widowControl w:val="0"/>
        <w:autoSpaceDE w:val="0"/>
        <w:autoSpaceDN w:val="0"/>
        <w:spacing w:before="0" w:after="0" w:line="211" w:lineRule="exact"/>
        <w:ind w:left="420" w:right="0"/>
        <w:jc w:val="left"/>
        <w:rPr>
          <w:rFonts w:ascii="SKJVQB+å®ä½" w:hAnsi="SKJVQB+å®ä½" w:cs="SKJVQB+å®ä½"/>
          <w:color w:val="222222"/>
          <w:spacing w:val="0"/>
          <w:sz w:val="21"/>
        </w:rPr>
      </w:pPr>
      <w:r>
        <w:rPr>
          <w:rFonts w:ascii="SKJVQB+å®ä½" w:hAnsi="SKJVQB+å®ä½" w:cs="SKJVQB+å®ä½"/>
          <w:color w:val="222222"/>
          <w:spacing w:val="0"/>
          <w:sz w:val="21"/>
        </w:rPr>
        <w:t>本招募说明书存放在本基金管理人、基金托管人、基金销售机构的办公场所，投资人</w:t>
      </w:r>
    </w:p>
    <w:p>
      <w:pPr>
        <w:framePr w:w="9553"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可在办公时间免费查阅；也可按工本费购买本招募说明书复制件或复印件，但应以招募说</w:t>
      </w:r>
    </w:p>
    <w:p>
      <w:pPr>
        <w:framePr w:w="9553" w:wrap="around" w:vAnchor="margin" w:hAnchor="text" w:x="1800" w:y="2357"/>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明书正本为准。</w:t>
      </w:r>
    </w:p>
    <w:p>
      <w:pPr>
        <w:framePr w:w="7252" w:wrap="around" w:vAnchor="margin" w:hAnchor="text" w:x="2220" w:y="3580"/>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SKJVQB+å®ä½" w:hAnsi="SKJVQB+å®ä½" w:cs="SKJVQB+å®ä½"/>
          <w:color w:val="222222"/>
          <w:spacing w:val="0"/>
          <w:sz w:val="21"/>
        </w:rPr>
        <w:t>基金管理人和基金托管人保证文本的内容与所公告的内容完全一致。</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192</w:t>
      </w:r>
    </w:p>
    <w:p>
      <w:pPr>
        <w:spacing w:before="0" w:after="0" w:line="0" w:lineRule="exact"/>
        <w:ind w:left="0" w:right="0"/>
        <w:jc w:val="left"/>
        <w:rPr>
          <w:rFonts w:ascii="Arial"/>
          <w:color w:val="FF0000"/>
          <w:spacing w:val="0"/>
          <w:sz w:val="2"/>
        </w:rPr>
      </w:pPr>
      <w:r>
        <w:pict>
          <v:shape id="_x0000411" o:spid="_x0000_s1437"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76" o:title=""/>
            <o:lock v:ext="edit" aspectratio="t"/>
          </v:shape>
        </w:pict>
      </w:r>
      <w:r>
        <w:pict>
          <v:shape id="_x0000412" o:spid="_x0000_s1438" o:spt="75" type="#_x0000_t75" style="position:absolute;left:0pt;margin-left:88.6pt;margin-top:71.1pt;height:127pt;width:418.3pt;mso-position-horizontal-relative:page;mso-position-vertical-relative:page;z-index:-2048;mso-width-relative:page;mso-height-relative:page;" filled="f" coordsize="21600,21600">
            <v:path/>
            <v:fill on="f" focussize="0,0"/>
            <v:stroke/>
            <v:imagedata r:id="rId277" o:title=""/>
            <o:lock v:ext="edit" aspectratio="t"/>
          </v:shape>
        </w:pict>
      </w:r>
      <w:r>
        <w:rPr>
          <w:rFonts w:ascii="Arial"/>
          <w:color w:val="FF0000"/>
          <w:spacing w:val="0"/>
          <w:sz w:val="2"/>
        </w:rPr>
        <w:br w:type="page"/>
      </w:r>
      <w:r>
        <w:rPr>
          <w:rFonts w:ascii="Arial"/>
          <w:color w:val="FF0000"/>
          <w:spacing w:val="0"/>
          <w:sz w:val="2"/>
        </w:rPr>
        <w:t xml:space="preserve"> </w:t>
      </w:r>
    </w:p>
    <w:p>
      <w:pPr>
        <w:framePr w:w="5739" w:wrap="around" w:vAnchor="margin" w:hAnchor="text" w:x="5118" w:y="856"/>
        <w:widowControl w:val="0"/>
        <w:autoSpaceDE w:val="0"/>
        <w:autoSpaceDN w:val="0"/>
        <w:spacing w:before="0" w:after="0" w:line="199" w:lineRule="exact"/>
        <w:ind w:left="0" w:right="0"/>
        <w:jc w:val="left"/>
        <w:rPr>
          <w:rFonts w:ascii="SKJVQB+å®ä½" w:hAnsi="SKJVQB+å®ä½" w:cs="SKJVQB+å®ä½"/>
          <w:color w:val="000000"/>
          <w:spacing w:val="0"/>
          <w:sz w:val="18"/>
        </w:rPr>
      </w:pPr>
      <w:r>
        <w:rPr>
          <w:rFonts w:ascii="SKJVQB+å®ä½" w:hAnsi="SKJVQB+å®ä½" w:cs="SKJVQB+å®ä½"/>
          <w:color w:val="000000"/>
          <w:spacing w:val="0"/>
          <w:sz w:val="18"/>
        </w:rPr>
        <w:t>南方双元债券型证券投资基金招募说明书（</w:t>
      </w:r>
      <w:r>
        <w:rPr>
          <w:rFonts w:ascii="Times New Roman"/>
          <w:color w:val="000000"/>
          <w:spacing w:val="0"/>
          <w:sz w:val="18"/>
        </w:rPr>
        <w:t>2020</w:t>
      </w:r>
      <w:r>
        <w:rPr>
          <w:rFonts w:ascii="SKJVQB+å®ä½" w:hAnsi="SKJVQB+å®ä½" w:cs="SKJVQB+å®ä½"/>
          <w:color w:val="000000"/>
          <w:spacing w:val="0"/>
          <w:sz w:val="18"/>
        </w:rPr>
        <w:t xml:space="preserve">年  </w:t>
      </w:r>
      <w:r>
        <w:rPr>
          <w:rFonts w:ascii="Times New Roman"/>
          <w:color w:val="000000"/>
          <w:spacing w:val="0"/>
          <w:sz w:val="18"/>
        </w:rPr>
        <w:t>11</w:t>
      </w:r>
      <w:r>
        <w:rPr>
          <w:rFonts w:ascii="SKJVQB+å®ä½" w:hAnsi="SKJVQB+å®ä½" w:cs="SKJVQB+å®ä½"/>
          <w:color w:val="000000"/>
          <w:spacing w:val="0"/>
          <w:sz w:val="18"/>
        </w:rPr>
        <w:t>月更新）</w:t>
      </w:r>
    </w:p>
    <w:p>
      <w:pPr>
        <w:framePr w:w="2249" w:wrap="around" w:vAnchor="margin" w:hAnchor="text" w:x="5039" w:y="1593"/>
        <w:widowControl w:val="0"/>
        <w:autoSpaceDE w:val="0"/>
        <w:autoSpaceDN w:val="0"/>
        <w:spacing w:before="0" w:after="0" w:line="281" w:lineRule="exact"/>
        <w:ind w:left="0" w:right="0"/>
        <w:jc w:val="left"/>
        <w:rPr>
          <w:rFonts w:ascii="SKJVQB+å®ä½" w:hAnsi="SKJVQB+å®ä½" w:cs="SKJVQB+å®ä½"/>
          <w:color w:val="222222"/>
          <w:spacing w:val="0"/>
          <w:sz w:val="28"/>
        </w:rPr>
      </w:pPr>
      <w:r>
        <w:rPr>
          <w:rFonts w:ascii="SKJVQB+å®ä½" w:hAnsi="SKJVQB+å®ä½" w:cs="SKJVQB+å®ä½"/>
          <w:color w:val="222222"/>
          <w:spacing w:val="0"/>
          <w:sz w:val="28"/>
        </w:rPr>
        <w:t>§</w:t>
      </w:r>
      <w:r>
        <w:rPr>
          <w:rFonts w:ascii="GGHCMB+å®ä½"/>
          <w:color w:val="222222"/>
          <w:spacing w:val="0"/>
          <w:sz w:val="28"/>
        </w:rPr>
        <w:t>23</w:t>
      </w:r>
      <w:r>
        <w:rPr>
          <w:rFonts w:ascii="SKJVQB+å®ä½" w:hAnsi="SKJVQB+å®ä½" w:cs="SKJVQB+å®ä½"/>
          <w:color w:val="222222"/>
          <w:spacing w:val="0"/>
          <w:sz w:val="28"/>
        </w:rPr>
        <w:t>备查文件</w:t>
      </w:r>
    </w:p>
    <w:p>
      <w:pPr>
        <w:framePr w:w="4229" w:wrap="around" w:vAnchor="margin" w:hAnchor="text" w:x="2220" w:y="2357"/>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1</w:t>
      </w:r>
      <w:r>
        <w:rPr>
          <w:rFonts w:ascii="SKJVQB+å®ä½" w:hAnsi="SKJVQB+å®ä½" w:cs="SKJVQB+å®ä½"/>
          <w:color w:val="222222"/>
          <w:spacing w:val="0"/>
          <w:sz w:val="21"/>
        </w:rPr>
        <w:t>、中国证监会准予本基金注册的文件；</w:t>
      </w:r>
    </w:p>
    <w:p>
      <w:pPr>
        <w:framePr w:w="5195" w:wrap="around" w:vAnchor="margin" w:hAnchor="text" w:x="2220" w:y="2764"/>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2</w:t>
      </w:r>
      <w:r>
        <w:rPr>
          <w:rFonts w:ascii="SKJVQB+å®ä½" w:hAnsi="SKJVQB+å®ä½" w:cs="SKJVQB+å®ä½"/>
          <w:color w:val="222222"/>
          <w:spacing w:val="0"/>
          <w:sz w:val="21"/>
        </w:rPr>
        <w:t>、《南方双元债券型证券投资基金基金合同》；</w:t>
      </w:r>
    </w:p>
    <w:p>
      <w:pPr>
        <w:framePr w:w="5195" w:wrap="around" w:vAnchor="margin" w:hAnchor="text" w:x="2220" w:y="276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3</w:t>
      </w:r>
      <w:r>
        <w:rPr>
          <w:rFonts w:ascii="SKJVQB+å®ä½" w:hAnsi="SKJVQB+å®ä½" w:cs="SKJVQB+å®ä½"/>
          <w:color w:val="222222"/>
          <w:spacing w:val="0"/>
          <w:sz w:val="21"/>
        </w:rPr>
        <w:t>、《南方双元债券型证券投资基金托管协议》；</w:t>
      </w:r>
    </w:p>
    <w:p>
      <w:pPr>
        <w:framePr w:w="5195" w:wrap="around" w:vAnchor="margin" w:hAnchor="text" w:x="2220" w:y="2764"/>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4</w:t>
      </w:r>
      <w:r>
        <w:rPr>
          <w:rFonts w:ascii="SKJVQB+å®ä½" w:hAnsi="SKJVQB+å®ä½" w:cs="SKJVQB+å®ä½"/>
          <w:color w:val="222222"/>
          <w:spacing w:val="0"/>
          <w:sz w:val="21"/>
        </w:rPr>
        <w:t>、法律意见书；</w:t>
      </w:r>
    </w:p>
    <w:p>
      <w:pPr>
        <w:framePr w:w="6164" w:wrap="around" w:vAnchor="margin" w:hAnchor="text" w:x="2220" w:y="3991"/>
        <w:widowControl w:val="0"/>
        <w:autoSpaceDE w:val="0"/>
        <w:autoSpaceDN w:val="0"/>
        <w:spacing w:before="0" w:after="0" w:line="211" w:lineRule="exact"/>
        <w:ind w:left="0" w:right="0"/>
        <w:jc w:val="left"/>
        <w:rPr>
          <w:rFonts w:ascii="SKJVQB+å®ä½" w:hAnsi="SKJVQB+å®ä½" w:cs="SKJVQB+å®ä½"/>
          <w:color w:val="222222"/>
          <w:spacing w:val="0"/>
          <w:sz w:val="21"/>
        </w:rPr>
      </w:pPr>
      <w:r>
        <w:rPr>
          <w:rFonts w:ascii="GGHCMB+å®ä½"/>
          <w:color w:val="222222"/>
          <w:spacing w:val="0"/>
          <w:sz w:val="21"/>
        </w:rPr>
        <w:t>5</w:t>
      </w:r>
      <w:r>
        <w:rPr>
          <w:rFonts w:ascii="SKJVQB+å®ä½" w:hAnsi="SKJVQB+å®ä½" w:cs="SKJVQB+å®ä½"/>
          <w:color w:val="222222"/>
          <w:spacing w:val="0"/>
          <w:sz w:val="21"/>
        </w:rPr>
        <w:t>、基金管理人业务资格批件、营业执照；</w:t>
      </w:r>
    </w:p>
    <w:p>
      <w:pPr>
        <w:framePr w:w="6164" w:wrap="around" w:vAnchor="margin" w:hAnchor="text" w:x="2220" w:y="3991"/>
        <w:widowControl w:val="0"/>
        <w:autoSpaceDE w:val="0"/>
        <w:autoSpaceDN w:val="0"/>
        <w:spacing w:before="0" w:after="0" w:line="409" w:lineRule="exact"/>
        <w:ind w:left="0" w:right="0"/>
        <w:jc w:val="left"/>
        <w:rPr>
          <w:rFonts w:ascii="SKJVQB+å®ä½" w:hAnsi="SKJVQB+å®ä½" w:cs="SKJVQB+å®ä½"/>
          <w:color w:val="222222"/>
          <w:spacing w:val="0"/>
          <w:sz w:val="21"/>
        </w:rPr>
      </w:pPr>
      <w:r>
        <w:rPr>
          <w:rFonts w:ascii="GGHCMB+å®ä½"/>
          <w:color w:val="222222"/>
          <w:spacing w:val="0"/>
          <w:sz w:val="21"/>
        </w:rPr>
        <w:t>6</w:t>
      </w:r>
      <w:r>
        <w:rPr>
          <w:rFonts w:ascii="SKJVQB+å®ä½" w:hAnsi="SKJVQB+å®ä½" w:cs="SKJVQB+å®ä½"/>
          <w:color w:val="222222"/>
          <w:spacing w:val="0"/>
          <w:sz w:val="21"/>
        </w:rPr>
        <w:t>、基金托管人业务资格批件、营业执照；</w:t>
      </w:r>
    </w:p>
    <w:p>
      <w:pPr>
        <w:framePr w:w="6164" w:wrap="around" w:vAnchor="margin" w:hAnchor="text" w:x="2220" w:y="399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7</w:t>
      </w:r>
      <w:r>
        <w:rPr>
          <w:rFonts w:ascii="SKJVQB+å®ä½" w:hAnsi="SKJVQB+å®ä½" w:cs="SKJVQB+å®ä½"/>
          <w:color w:val="222222"/>
          <w:spacing w:val="0"/>
          <w:sz w:val="21"/>
        </w:rPr>
        <w:t>、《南方基金管理股份有限公司开放式基金业务规则》；</w:t>
      </w:r>
    </w:p>
    <w:p>
      <w:pPr>
        <w:framePr w:w="6164" w:wrap="around" w:vAnchor="margin" w:hAnchor="text" w:x="2220" w:y="3991"/>
        <w:widowControl w:val="0"/>
        <w:autoSpaceDE w:val="0"/>
        <w:autoSpaceDN w:val="0"/>
        <w:spacing w:before="0" w:after="0" w:line="408" w:lineRule="exact"/>
        <w:ind w:left="0" w:right="0"/>
        <w:jc w:val="left"/>
        <w:rPr>
          <w:rFonts w:ascii="SKJVQB+å®ä½" w:hAnsi="SKJVQB+å®ä½" w:cs="SKJVQB+å®ä½"/>
          <w:color w:val="222222"/>
          <w:spacing w:val="0"/>
          <w:sz w:val="21"/>
        </w:rPr>
      </w:pPr>
      <w:r>
        <w:rPr>
          <w:rFonts w:ascii="GGHCMB+å®ä½"/>
          <w:color w:val="222222"/>
          <w:spacing w:val="0"/>
          <w:sz w:val="21"/>
        </w:rPr>
        <w:t>8</w:t>
      </w:r>
      <w:r>
        <w:rPr>
          <w:rFonts w:ascii="SKJVQB+å®ä½" w:hAnsi="SKJVQB+å®ä½" w:cs="SKJVQB+å®ä½"/>
          <w:color w:val="222222"/>
          <w:spacing w:val="0"/>
          <w:sz w:val="21"/>
        </w:rPr>
        <w:t>、中国证监会要求的其他文件。</w:t>
      </w:r>
    </w:p>
    <w:p>
      <w:pPr>
        <w:framePr w:w="542" w:wrap="around" w:vAnchor="margin" w:hAnchor="text" w:x="9837" w:y="15625"/>
        <w:widowControl w:val="0"/>
        <w:autoSpaceDE w:val="0"/>
        <w:autoSpaceDN w:val="0"/>
        <w:spacing w:before="0" w:after="0" w:line="199" w:lineRule="exact"/>
        <w:ind w:left="0" w:right="0"/>
        <w:jc w:val="left"/>
        <w:rPr>
          <w:rFonts w:ascii="Times New Roman"/>
          <w:color w:val="000000"/>
          <w:spacing w:val="0"/>
          <w:sz w:val="18"/>
        </w:rPr>
      </w:pPr>
      <w:r>
        <w:rPr>
          <w:rFonts w:ascii="Times New Roman"/>
          <w:color w:val="000000"/>
          <w:spacing w:val="0"/>
          <w:sz w:val="18"/>
        </w:rPr>
        <w:t>193</w:t>
      </w:r>
    </w:p>
    <w:p>
      <w:pPr>
        <w:spacing w:before="0" w:after="0" w:line="0" w:lineRule="exact"/>
        <w:ind w:left="0" w:right="0"/>
        <w:jc w:val="left"/>
        <w:rPr>
          <w:rFonts w:ascii="Arial"/>
          <w:color w:val="FF0000"/>
          <w:spacing w:val="0"/>
          <w:sz w:val="14"/>
        </w:rPr>
      </w:pPr>
      <w:r>
        <w:pict>
          <v:shape id="_x0000413" o:spid="_x0000_s1439" o:spt="75" type="#_x0000_t75" style="position:absolute;left:0pt;margin-left:88.6pt;margin-top:54.3pt;height:0.7pt;width:418.3pt;mso-position-horizontal-relative:page;mso-position-vertical-relative:page;z-index:-2048;mso-width-relative:page;mso-height-relative:page;" filled="f" coordsize="21600,21600">
            <v:path/>
            <v:fill on="f" focussize="0,0"/>
            <v:stroke/>
            <v:imagedata r:id="rId278" o:title=""/>
            <o:lock v:ext="edit" aspectratio="t"/>
          </v:shape>
        </w:pict>
      </w:r>
      <w:r>
        <w:pict>
          <v:shape id="_x0000414" o:spid="_x0000_s1440" o:spt="75" type="#_x0000_t75" style="position:absolute;left:0pt;margin-left:88.6pt;margin-top:71.1pt;height:229.15pt;width:418.3pt;mso-position-horizontal-relative:page;mso-position-vertical-relative:page;z-index:-2048;mso-width-relative:page;mso-height-relative:page;" filled="f" coordsize="21600,21600">
            <v:path/>
            <v:fill on="f" focussize="0,0"/>
            <v:stroke/>
            <v:imagedata r:id="rId279" o:title=""/>
            <o:lock v:ext="edit" aspectratio="t"/>
          </v:shape>
        </w:pict>
      </w:r>
    </w:p>
    <w:sectPr>
      <w:pgSz w:w="11900" w:h="16820"/>
      <w:pgMar w:top="0" w:right="0" w:bottom="0" w:left="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CBCCDC9-2233-46EB-892E-B7EE71AA2841}"/>
  </w:font>
  <w:font w:name="宋体">
    <w:panose1 w:val="02010600030101010101"/>
    <w:charset w:val="86"/>
    <w:family w:val="auto"/>
    <w:pitch w:val="default"/>
    <w:sig w:usb0="00000003" w:usb1="288F0000" w:usb2="00000006" w:usb3="00000000" w:csb0="00040001" w:csb1="00000000"/>
    <w:embedRegular r:id="rId2" w:fontKey="{FA8A4C33-1765-4843-9429-A3448BE07429}"/>
  </w:font>
  <w:font w:name="Wingdings">
    <w:panose1 w:val="05000000000000000000"/>
    <w:charset w:val="02"/>
    <w:family w:val="auto"/>
    <w:pitch w:val="default"/>
    <w:sig w:usb0="00000000" w:usb1="00000000" w:usb2="00000000" w:usb3="00000000" w:csb0="80000000" w:csb1="00000000"/>
    <w:embedRegular r:id="rId3" w:fontKey="{241CAB15-8D9E-4086-BF1D-5DE809F2EC98}"/>
  </w:font>
  <w:font w:name="Arial">
    <w:panose1 w:val="020B0604020202020204"/>
    <w:charset w:val="01"/>
    <w:family w:val="swiss"/>
    <w:pitch w:val="default"/>
    <w:sig w:usb0="E0002AFF" w:usb1="C0007843" w:usb2="00000009" w:usb3="00000000" w:csb0="400001FF" w:csb1="FFFF0000"/>
    <w:embedRegular r:id="rId4" w:fontKey="{835720F4-1F2E-43CF-A24B-A8C5801063C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598FB210-C3A4-4980-8C45-5DC4B782A236}"/>
  </w:font>
  <w:font w:name="Symbol">
    <w:panose1 w:val="05050102010706020507"/>
    <w:charset w:val="02"/>
    <w:family w:val="roman"/>
    <w:pitch w:val="default"/>
    <w:sig w:usb0="00000000" w:usb1="00000000" w:usb2="00000000" w:usb3="00000000" w:csb0="80000000" w:csb1="00000000"/>
    <w:embedRegular r:id="rId6" w:fontKey="{92539C7C-4364-4603-B997-98F5CF9A8FC2}"/>
  </w:font>
  <w:font w:name="Calibri">
    <w:panose1 w:val="020F0502020204030204"/>
    <w:charset w:val="00"/>
    <w:family w:val="swiss"/>
    <w:pitch w:val="default"/>
    <w:sig w:usb0="E00002FF" w:usb1="4000ACFF" w:usb2="00000001" w:usb3="00000000" w:csb0="2000019F" w:csb1="00000000"/>
    <w:embedRegular r:id="rId7" w:fontKey="{3BE2D65D-7700-46A6-82F6-F9B453DA4D8E}"/>
  </w:font>
  <w:font w:name="Arial">
    <w:panose1 w:val="020B0604020202020204"/>
    <w:charset w:val="00"/>
    <w:family w:val="auto"/>
    <w:pitch w:val="default"/>
    <w:sig w:usb0="E0002AFF" w:usb1="C0007843" w:usb2="00000009" w:usb3="00000000" w:csb0="400001FF" w:csb1="FFFF0000"/>
    <w:embedRegular r:id="rId8" w:fontKey="{19A4B393-7136-44D9-8D60-D0BCC216D53D}"/>
  </w:font>
  <w:font w:name="SKJVQB+å®ä½">
    <w:panose1 w:val="02010600030101010101"/>
    <w:charset w:val="00"/>
    <w:family w:val="auto"/>
    <w:pitch w:val="default"/>
    <w:sig w:usb0="00000000" w:usb1="00000000" w:usb2="00000000" w:usb3="00000000" w:csb0="00000000" w:csb1="00000000"/>
    <w:embedRegular r:id="rId9" w:fontKey="{CA1B76A6-CDF2-4562-A03C-E7D7C2C1B48E}"/>
  </w:font>
  <w:font w:name="THOMIT+é»ä½">
    <w:panose1 w:val="02010609060101010101"/>
    <w:charset w:val="00"/>
    <w:family w:val="auto"/>
    <w:pitch w:val="default"/>
    <w:sig w:usb0="00000000" w:usb1="00000000" w:usb2="00000000" w:usb3="00000000" w:csb0="00000000" w:csb1="00000000"/>
    <w:embedRegular r:id="rId10" w:fontKey="{1AC48640-F20B-4BB3-9E00-640DA66E3BD1}"/>
  </w:font>
  <w:font w:name="GGHCMB+å®ä½">
    <w:panose1 w:val="02010600030101010101"/>
    <w:charset w:val="00"/>
    <w:family w:val="auto"/>
    <w:pitch w:val="default"/>
    <w:sig w:usb0="00000000" w:usb1="00000000" w:usb2="00000000" w:usb3="00000000" w:csb0="00000000" w:csb1="00000000"/>
    <w:embedRegular r:id="rId11" w:fontKey="{E551F75B-7B6C-44CA-92A8-3656461FAC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2C1E0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ru-RU"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1" Type="http://schemas.openxmlformats.org/officeDocument/2006/relationships/fontTable" Target="fontTable.xml"/><Relationship Id="rId280" Type="http://schemas.openxmlformats.org/officeDocument/2006/relationships/customXml" Target="../customXml/item1.xml"/><Relationship Id="rId28" Type="http://schemas.openxmlformats.org/officeDocument/2006/relationships/image" Target="media/image25.jpeg"/><Relationship Id="rId279" Type="http://schemas.openxmlformats.org/officeDocument/2006/relationships/image" Target="media/image276.jpeg"/><Relationship Id="rId278" Type="http://schemas.openxmlformats.org/officeDocument/2006/relationships/image" Target="media/image275.jpeg"/><Relationship Id="rId277" Type="http://schemas.openxmlformats.org/officeDocument/2006/relationships/image" Target="media/image274.jpeg"/><Relationship Id="rId276" Type="http://schemas.openxmlformats.org/officeDocument/2006/relationships/image" Target="media/image273.jpeg"/><Relationship Id="rId275" Type="http://schemas.openxmlformats.org/officeDocument/2006/relationships/image" Target="media/image272.jpeg"/><Relationship Id="rId274" Type="http://schemas.openxmlformats.org/officeDocument/2006/relationships/image" Target="media/image271.jpeg"/><Relationship Id="rId273" Type="http://schemas.openxmlformats.org/officeDocument/2006/relationships/image" Target="media/image270.jpeg"/><Relationship Id="rId272" Type="http://schemas.openxmlformats.org/officeDocument/2006/relationships/image" Target="media/image269.jpeg"/><Relationship Id="rId271" Type="http://schemas.openxmlformats.org/officeDocument/2006/relationships/image" Target="media/image268.jpeg"/><Relationship Id="rId270" Type="http://schemas.openxmlformats.org/officeDocument/2006/relationships/image" Target="media/image267.jpeg"/><Relationship Id="rId27" Type="http://schemas.openxmlformats.org/officeDocument/2006/relationships/image" Target="media/image24.jpeg"/><Relationship Id="rId269" Type="http://schemas.openxmlformats.org/officeDocument/2006/relationships/image" Target="media/image266.jpeg"/><Relationship Id="rId268" Type="http://schemas.openxmlformats.org/officeDocument/2006/relationships/image" Target="media/image265.jpeg"/><Relationship Id="rId267" Type="http://schemas.openxmlformats.org/officeDocument/2006/relationships/image" Target="media/image264.jpeg"/><Relationship Id="rId266" Type="http://schemas.openxmlformats.org/officeDocument/2006/relationships/image" Target="media/image263.jpeg"/><Relationship Id="rId265" Type="http://schemas.openxmlformats.org/officeDocument/2006/relationships/image" Target="media/image262.jpeg"/><Relationship Id="rId264" Type="http://schemas.openxmlformats.org/officeDocument/2006/relationships/image" Target="media/image261.jpeg"/><Relationship Id="rId263" Type="http://schemas.openxmlformats.org/officeDocument/2006/relationships/image" Target="media/image260.jpeg"/><Relationship Id="rId262" Type="http://schemas.openxmlformats.org/officeDocument/2006/relationships/image" Target="media/image259.jpeg"/><Relationship Id="rId261" Type="http://schemas.openxmlformats.org/officeDocument/2006/relationships/image" Target="media/image258.jpeg"/><Relationship Id="rId260" Type="http://schemas.openxmlformats.org/officeDocument/2006/relationships/image" Target="media/image257.jpeg"/><Relationship Id="rId26" Type="http://schemas.openxmlformats.org/officeDocument/2006/relationships/image" Target="media/image23.jpeg"/><Relationship Id="rId259" Type="http://schemas.openxmlformats.org/officeDocument/2006/relationships/image" Target="media/image256.jpeg"/><Relationship Id="rId258" Type="http://schemas.openxmlformats.org/officeDocument/2006/relationships/image" Target="media/image255.jpeg"/><Relationship Id="rId257" Type="http://schemas.openxmlformats.org/officeDocument/2006/relationships/image" Target="media/image254.jpeg"/><Relationship Id="rId256" Type="http://schemas.openxmlformats.org/officeDocument/2006/relationships/image" Target="media/image253.jpeg"/><Relationship Id="rId255" Type="http://schemas.openxmlformats.org/officeDocument/2006/relationships/image" Target="media/image252.jpeg"/><Relationship Id="rId254" Type="http://schemas.openxmlformats.org/officeDocument/2006/relationships/image" Target="media/image251.jpeg"/><Relationship Id="rId253" Type="http://schemas.openxmlformats.org/officeDocument/2006/relationships/image" Target="media/image250.jpeg"/><Relationship Id="rId252" Type="http://schemas.openxmlformats.org/officeDocument/2006/relationships/image" Target="media/image249.jpeg"/><Relationship Id="rId251" Type="http://schemas.openxmlformats.org/officeDocument/2006/relationships/image" Target="media/image248.jpeg"/><Relationship Id="rId250" Type="http://schemas.openxmlformats.org/officeDocument/2006/relationships/image" Target="media/image247.jpeg"/><Relationship Id="rId25" Type="http://schemas.openxmlformats.org/officeDocument/2006/relationships/image" Target="media/image22.jpeg"/><Relationship Id="rId249" Type="http://schemas.openxmlformats.org/officeDocument/2006/relationships/image" Target="media/image246.jpeg"/><Relationship Id="rId248" Type="http://schemas.openxmlformats.org/officeDocument/2006/relationships/image" Target="media/image245.jpeg"/><Relationship Id="rId247" Type="http://schemas.openxmlformats.org/officeDocument/2006/relationships/image" Target="media/image244.jpeg"/><Relationship Id="rId246" Type="http://schemas.openxmlformats.org/officeDocument/2006/relationships/image" Target="media/image243.jpeg"/><Relationship Id="rId245" Type="http://schemas.openxmlformats.org/officeDocument/2006/relationships/image" Target="media/image242.jpeg"/><Relationship Id="rId244" Type="http://schemas.openxmlformats.org/officeDocument/2006/relationships/image" Target="media/image241.jpeg"/><Relationship Id="rId243" Type="http://schemas.openxmlformats.org/officeDocument/2006/relationships/image" Target="media/image240.jpeg"/><Relationship Id="rId242" Type="http://schemas.openxmlformats.org/officeDocument/2006/relationships/image" Target="media/image239.jpeg"/><Relationship Id="rId241" Type="http://schemas.openxmlformats.org/officeDocument/2006/relationships/image" Target="media/image238.jpeg"/><Relationship Id="rId240" Type="http://schemas.openxmlformats.org/officeDocument/2006/relationships/image" Target="media/image237.jpeg"/><Relationship Id="rId24" Type="http://schemas.openxmlformats.org/officeDocument/2006/relationships/image" Target="media/image21.jpeg"/><Relationship Id="rId239" Type="http://schemas.openxmlformats.org/officeDocument/2006/relationships/image" Target="media/image236.jpeg"/><Relationship Id="rId238" Type="http://schemas.openxmlformats.org/officeDocument/2006/relationships/image" Target="media/image235.jpeg"/><Relationship Id="rId237" Type="http://schemas.openxmlformats.org/officeDocument/2006/relationships/image" Target="media/image234.jpeg"/><Relationship Id="rId236" Type="http://schemas.openxmlformats.org/officeDocument/2006/relationships/image" Target="media/image233.jpeg"/><Relationship Id="rId235" Type="http://schemas.openxmlformats.org/officeDocument/2006/relationships/image" Target="media/image232.jpeg"/><Relationship Id="rId234" Type="http://schemas.openxmlformats.org/officeDocument/2006/relationships/image" Target="media/image231.jpeg"/><Relationship Id="rId233" Type="http://schemas.openxmlformats.org/officeDocument/2006/relationships/image" Target="media/image230.jpeg"/><Relationship Id="rId232" Type="http://schemas.openxmlformats.org/officeDocument/2006/relationships/image" Target="media/image229.jpeg"/><Relationship Id="rId231" Type="http://schemas.openxmlformats.org/officeDocument/2006/relationships/image" Target="media/image228.jpeg"/><Relationship Id="rId230" Type="http://schemas.openxmlformats.org/officeDocument/2006/relationships/image" Target="media/image227.jpeg"/><Relationship Id="rId23" Type="http://schemas.openxmlformats.org/officeDocument/2006/relationships/image" Target="media/image20.jpeg"/><Relationship Id="rId229" Type="http://schemas.openxmlformats.org/officeDocument/2006/relationships/image" Target="media/image226.jpeg"/><Relationship Id="rId228" Type="http://schemas.openxmlformats.org/officeDocument/2006/relationships/image" Target="media/image225.jpeg"/><Relationship Id="rId227" Type="http://schemas.openxmlformats.org/officeDocument/2006/relationships/image" Target="media/image224.jpeg"/><Relationship Id="rId226" Type="http://schemas.openxmlformats.org/officeDocument/2006/relationships/image" Target="media/image223.jpeg"/><Relationship Id="rId225" Type="http://schemas.openxmlformats.org/officeDocument/2006/relationships/image" Target="media/image222.jpeg"/><Relationship Id="rId224" Type="http://schemas.openxmlformats.org/officeDocument/2006/relationships/image" Target="media/image221.jpeg"/><Relationship Id="rId223" Type="http://schemas.openxmlformats.org/officeDocument/2006/relationships/image" Target="media/image220.jpeg"/><Relationship Id="rId222" Type="http://schemas.openxmlformats.org/officeDocument/2006/relationships/image" Target="media/image219.jpeg"/><Relationship Id="rId221" Type="http://schemas.openxmlformats.org/officeDocument/2006/relationships/image" Target="media/image218.jpeg"/><Relationship Id="rId220" Type="http://schemas.openxmlformats.org/officeDocument/2006/relationships/image" Target="media/image217.jpeg"/><Relationship Id="rId22" Type="http://schemas.openxmlformats.org/officeDocument/2006/relationships/image" Target="media/image19.jpeg"/><Relationship Id="rId219" Type="http://schemas.openxmlformats.org/officeDocument/2006/relationships/image" Target="media/image216.jpeg"/><Relationship Id="rId218" Type="http://schemas.openxmlformats.org/officeDocument/2006/relationships/image" Target="media/image215.jpeg"/><Relationship Id="rId217" Type="http://schemas.openxmlformats.org/officeDocument/2006/relationships/image" Target="media/image214.jpeg"/><Relationship Id="rId216" Type="http://schemas.openxmlformats.org/officeDocument/2006/relationships/image" Target="media/image213.jpeg"/><Relationship Id="rId215" Type="http://schemas.openxmlformats.org/officeDocument/2006/relationships/image" Target="media/image212.jpeg"/><Relationship Id="rId214" Type="http://schemas.openxmlformats.org/officeDocument/2006/relationships/image" Target="media/image211.jpeg"/><Relationship Id="rId213" Type="http://schemas.openxmlformats.org/officeDocument/2006/relationships/image" Target="media/image210.jpeg"/><Relationship Id="rId212" Type="http://schemas.openxmlformats.org/officeDocument/2006/relationships/image" Target="media/image209.jpeg"/><Relationship Id="rId211" Type="http://schemas.openxmlformats.org/officeDocument/2006/relationships/image" Target="media/image208.jpeg"/><Relationship Id="rId210" Type="http://schemas.openxmlformats.org/officeDocument/2006/relationships/image" Target="media/image207.jpeg"/><Relationship Id="rId21" Type="http://schemas.openxmlformats.org/officeDocument/2006/relationships/image" Target="media/image18.jpeg"/><Relationship Id="rId209" Type="http://schemas.openxmlformats.org/officeDocument/2006/relationships/image" Target="media/image206.jpeg"/><Relationship Id="rId208" Type="http://schemas.openxmlformats.org/officeDocument/2006/relationships/image" Target="media/image205.jpeg"/><Relationship Id="rId207" Type="http://schemas.openxmlformats.org/officeDocument/2006/relationships/image" Target="media/image204.jpeg"/><Relationship Id="rId206" Type="http://schemas.openxmlformats.org/officeDocument/2006/relationships/image" Target="media/image203.jpeg"/><Relationship Id="rId205" Type="http://schemas.openxmlformats.org/officeDocument/2006/relationships/image" Target="media/image202.jpeg"/><Relationship Id="rId204" Type="http://schemas.openxmlformats.org/officeDocument/2006/relationships/image" Target="media/image201.jpeg"/><Relationship Id="rId203" Type="http://schemas.openxmlformats.org/officeDocument/2006/relationships/image" Target="media/image200.jpeg"/><Relationship Id="rId202" Type="http://schemas.openxmlformats.org/officeDocument/2006/relationships/image" Target="media/image199.jpeg"/><Relationship Id="rId201" Type="http://schemas.openxmlformats.org/officeDocument/2006/relationships/image" Target="media/image198.jpeg"/><Relationship Id="rId200" Type="http://schemas.openxmlformats.org/officeDocument/2006/relationships/image" Target="media/image197.jpeg"/><Relationship Id="rId20" Type="http://schemas.openxmlformats.org/officeDocument/2006/relationships/image" Target="media/image17.jpeg"/><Relationship Id="rId2" Type="http://schemas.openxmlformats.org/officeDocument/2006/relationships/settings" Target="settings.xml"/><Relationship Id="rId199" Type="http://schemas.openxmlformats.org/officeDocument/2006/relationships/image" Target="media/image196.jpeg"/><Relationship Id="rId198" Type="http://schemas.openxmlformats.org/officeDocument/2006/relationships/image" Target="media/image195.jpeg"/><Relationship Id="rId197" Type="http://schemas.openxmlformats.org/officeDocument/2006/relationships/image" Target="media/image194.jpeg"/><Relationship Id="rId196" Type="http://schemas.openxmlformats.org/officeDocument/2006/relationships/image" Target="media/image193.jpeg"/><Relationship Id="rId195" Type="http://schemas.openxmlformats.org/officeDocument/2006/relationships/image" Target="media/image192.jpeg"/><Relationship Id="rId194" Type="http://schemas.openxmlformats.org/officeDocument/2006/relationships/image" Target="media/image191.jpeg"/><Relationship Id="rId193" Type="http://schemas.openxmlformats.org/officeDocument/2006/relationships/image" Target="media/image190.jpeg"/><Relationship Id="rId192" Type="http://schemas.openxmlformats.org/officeDocument/2006/relationships/image" Target="media/image189.jpeg"/><Relationship Id="rId191" Type="http://schemas.openxmlformats.org/officeDocument/2006/relationships/image" Target="media/image188.jpeg"/><Relationship Id="rId190" Type="http://schemas.openxmlformats.org/officeDocument/2006/relationships/image" Target="media/image187.jpeg"/><Relationship Id="rId19" Type="http://schemas.openxmlformats.org/officeDocument/2006/relationships/image" Target="media/image16.jpeg"/><Relationship Id="rId189" Type="http://schemas.openxmlformats.org/officeDocument/2006/relationships/image" Target="media/image186.jpeg"/><Relationship Id="rId188" Type="http://schemas.openxmlformats.org/officeDocument/2006/relationships/image" Target="media/image185.jpeg"/><Relationship Id="rId187" Type="http://schemas.openxmlformats.org/officeDocument/2006/relationships/image" Target="media/image184.jpeg"/><Relationship Id="rId186" Type="http://schemas.openxmlformats.org/officeDocument/2006/relationships/image" Target="media/image183.jpeg"/><Relationship Id="rId185" Type="http://schemas.openxmlformats.org/officeDocument/2006/relationships/image" Target="media/image182.jpeg"/><Relationship Id="rId184" Type="http://schemas.openxmlformats.org/officeDocument/2006/relationships/image" Target="media/image181.jpeg"/><Relationship Id="rId183" Type="http://schemas.openxmlformats.org/officeDocument/2006/relationships/image" Target="media/image180.jpeg"/><Relationship Id="rId182" Type="http://schemas.openxmlformats.org/officeDocument/2006/relationships/image" Target="media/image179.jpeg"/><Relationship Id="rId181" Type="http://schemas.openxmlformats.org/officeDocument/2006/relationships/image" Target="media/image178.jpeg"/><Relationship Id="rId180" Type="http://schemas.openxmlformats.org/officeDocument/2006/relationships/image" Target="media/image177.jpeg"/><Relationship Id="rId18" Type="http://schemas.openxmlformats.org/officeDocument/2006/relationships/image" Target="media/image15.jpeg"/><Relationship Id="rId179" Type="http://schemas.openxmlformats.org/officeDocument/2006/relationships/image" Target="media/image176.jpeg"/><Relationship Id="rId178" Type="http://schemas.openxmlformats.org/officeDocument/2006/relationships/image" Target="media/image175.jpeg"/><Relationship Id="rId177" Type="http://schemas.openxmlformats.org/officeDocument/2006/relationships/image" Target="media/image174.jpeg"/><Relationship Id="rId176" Type="http://schemas.openxmlformats.org/officeDocument/2006/relationships/image" Target="media/image173.jpeg"/><Relationship Id="rId175" Type="http://schemas.openxmlformats.org/officeDocument/2006/relationships/image" Target="media/image172.jpeg"/><Relationship Id="rId174" Type="http://schemas.openxmlformats.org/officeDocument/2006/relationships/image" Target="media/image171.jpeg"/><Relationship Id="rId173" Type="http://schemas.openxmlformats.org/officeDocument/2006/relationships/image" Target="media/image170.jpeg"/><Relationship Id="rId172" Type="http://schemas.openxmlformats.org/officeDocument/2006/relationships/image" Target="media/image169.jpeg"/><Relationship Id="rId171" Type="http://schemas.openxmlformats.org/officeDocument/2006/relationships/image" Target="media/image168.jpeg"/><Relationship Id="rId170" Type="http://schemas.openxmlformats.org/officeDocument/2006/relationships/image" Target="media/image167.jpeg"/><Relationship Id="rId17" Type="http://schemas.openxmlformats.org/officeDocument/2006/relationships/image" Target="media/image14.jpeg"/><Relationship Id="rId169" Type="http://schemas.openxmlformats.org/officeDocument/2006/relationships/image" Target="media/image166.jpeg"/><Relationship Id="rId168" Type="http://schemas.openxmlformats.org/officeDocument/2006/relationships/image" Target="media/image165.jpeg"/><Relationship Id="rId167" Type="http://schemas.openxmlformats.org/officeDocument/2006/relationships/image" Target="media/image164.jpeg"/><Relationship Id="rId166" Type="http://schemas.openxmlformats.org/officeDocument/2006/relationships/image" Target="media/image163.jpeg"/><Relationship Id="rId165" Type="http://schemas.openxmlformats.org/officeDocument/2006/relationships/image" Target="media/image162.jpeg"/><Relationship Id="rId164" Type="http://schemas.openxmlformats.org/officeDocument/2006/relationships/image" Target="media/image161.jpeg"/><Relationship Id="rId163" Type="http://schemas.openxmlformats.org/officeDocument/2006/relationships/image" Target="media/image160.jpeg"/><Relationship Id="rId162" Type="http://schemas.openxmlformats.org/officeDocument/2006/relationships/image" Target="media/image159.jpeg"/><Relationship Id="rId161" Type="http://schemas.openxmlformats.org/officeDocument/2006/relationships/image" Target="media/image158.jpeg"/><Relationship Id="rId160" Type="http://schemas.openxmlformats.org/officeDocument/2006/relationships/image" Target="media/image157.jpeg"/><Relationship Id="rId16" Type="http://schemas.openxmlformats.org/officeDocument/2006/relationships/image" Target="media/image13.jpeg"/><Relationship Id="rId159" Type="http://schemas.openxmlformats.org/officeDocument/2006/relationships/image" Target="media/image156.jpeg"/><Relationship Id="rId158" Type="http://schemas.openxmlformats.org/officeDocument/2006/relationships/image" Target="media/image155.jpeg"/><Relationship Id="rId157" Type="http://schemas.openxmlformats.org/officeDocument/2006/relationships/image" Target="media/image154.jpeg"/><Relationship Id="rId156" Type="http://schemas.openxmlformats.org/officeDocument/2006/relationships/image" Target="media/image153.jpeg"/><Relationship Id="rId155" Type="http://schemas.openxmlformats.org/officeDocument/2006/relationships/image" Target="media/image152.jpeg"/><Relationship Id="rId154" Type="http://schemas.openxmlformats.org/officeDocument/2006/relationships/image" Target="media/image151.jpeg"/><Relationship Id="rId153" Type="http://schemas.openxmlformats.org/officeDocument/2006/relationships/image" Target="media/image150.jpeg"/><Relationship Id="rId152" Type="http://schemas.openxmlformats.org/officeDocument/2006/relationships/image" Target="media/image149.jpeg"/><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jpe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jpe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193</Pages>
  <Words>17884</Words>
  <Characters>142434</Characters>
  <Lines>8244</Lines>
  <Paragraphs>8244</Paragraphs>
  <TotalTime>5</TotalTime>
  <ScaleCrop>false</ScaleCrop>
  <LinksUpToDate>false</LinksUpToDate>
  <CharactersWithSpaces>144902</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2020-11-17T14:40:00Z</dcterms:created>
  <dc:creator>SYSTEM</dc:creator>
  <cp:lastModifiedBy>程思航</cp:lastModifiedBy>
  <dcterms:modified xsi:type="dcterms:W3CDTF">2020-11-17T08:25:04Z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