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801"/>
        <w:rPr>
          <w:rFonts w:ascii="Times New Roman"/>
          <w:sz w:val="2"/>
        </w:rPr>
      </w:pPr>
      <w:r>
        <w:rPr>
          <w:rFonts w:ascii="Times New Roman"/>
          <w:sz w:val="2"/>
        </w:rPr>
        <w:pict>
          <v:group style="width:418.55pt;height:.75pt;mso-position-horizontal-relative:char;mso-position-vertical-relative:line" coordorigin="0,0" coordsize="8371,15">
            <v:line style="position:absolute" from="0,7" to="8370,7" stroked="true" strokeweight=".72pt" strokecolor="#000000">
              <v:stroke dashstyle="solid"/>
            </v:line>
          </v:group>
        </w:pict>
      </w:r>
      <w:r>
        <w:rPr>
          <w:rFonts w:ascii="Times New Roman"/>
          <w:sz w:val="2"/>
        </w:rPr>
      </w:r>
    </w:p>
    <w:p>
      <w:pPr>
        <w:pStyle w:val="BodyText"/>
        <w:spacing w:before="10"/>
        <w:rPr>
          <w:rFonts w:ascii="Times New Roman"/>
          <w:sz w:val="28"/>
        </w:rPr>
      </w:pPr>
    </w:p>
    <w:p>
      <w:pPr>
        <w:spacing w:line="266" w:lineRule="auto" w:before="38"/>
        <w:ind w:left="1298" w:right="1358" w:firstLine="0"/>
        <w:jc w:val="center"/>
        <w:rPr>
          <w:rFonts w:ascii="黑体" w:eastAsia="黑体" w:hint="eastAsia"/>
          <w:b/>
          <w:sz w:val="44"/>
        </w:rPr>
      </w:pPr>
      <w:r>
        <w:rPr>
          <w:rFonts w:ascii="黑体" w:eastAsia="黑体" w:hint="eastAsia"/>
          <w:b/>
          <w:spacing w:val="-1"/>
          <w:w w:val="95"/>
          <w:sz w:val="44"/>
        </w:rPr>
        <w:t>景顺长城新兴成长混合型证券投资基金</w:t>
      </w:r>
      <w:r>
        <w:rPr>
          <w:rFonts w:ascii="黑体" w:eastAsia="黑体" w:hint="eastAsia"/>
          <w:b/>
          <w:sz w:val="44"/>
        </w:rPr>
        <w:t>2020</w:t>
      </w:r>
      <w:r>
        <w:rPr>
          <w:rFonts w:ascii="黑体" w:eastAsia="黑体" w:hint="eastAsia"/>
          <w:b/>
          <w:spacing w:val="-56"/>
          <w:sz w:val="44"/>
        </w:rPr>
        <w:t> 年第 </w:t>
      </w:r>
      <w:r>
        <w:rPr>
          <w:rFonts w:ascii="黑体" w:eastAsia="黑体" w:hint="eastAsia"/>
          <w:b/>
          <w:sz w:val="44"/>
        </w:rPr>
        <w:t>2</w:t>
      </w:r>
      <w:r>
        <w:rPr>
          <w:rFonts w:ascii="黑体" w:eastAsia="黑体" w:hint="eastAsia"/>
          <w:b/>
          <w:spacing w:val="-15"/>
          <w:sz w:val="44"/>
        </w:rPr>
        <w:t> 号更新招募说明书</w:t>
      </w:r>
    </w:p>
    <w:p>
      <w:pPr>
        <w:pStyle w:val="Heading2"/>
        <w:spacing w:before="101"/>
        <w:ind w:firstLine="0"/>
        <w:jc w:val="center"/>
        <w:rPr>
          <w:rFonts w:ascii="宋体" w:eastAsia="宋体" w:hint="eastAsia"/>
        </w:rPr>
      </w:pPr>
      <w:r>
        <w:rPr>
          <w:rFonts w:ascii="宋体" w:eastAsia="宋体" w:hint="eastAsia"/>
        </w:rPr>
        <w:t>重要提示</w:t>
      </w:r>
    </w:p>
    <w:p>
      <w:pPr>
        <w:spacing w:line="324" w:lineRule="auto" w:before="171"/>
        <w:ind w:left="838" w:right="891" w:firstLine="0"/>
        <w:jc w:val="both"/>
        <w:rPr>
          <w:sz w:val="18"/>
        </w:rPr>
      </w:pPr>
      <w:r>
        <w:rPr>
          <w:sz w:val="18"/>
        </w:rPr>
        <w:t>（一）景顺长城新兴成长混合型证券投资基金（以下简称“本基金”）由基金管理人依照《中华人民共和国证券投资基金法》（以下简称《基金法》）、《公开募集证券投资基金运作管理办法》（以下简称《运作办法》）、《证券投资基金销售管理办法》（以下简称《销售办法》）、《公开募集证券投资基金信息</w:t>
      </w:r>
      <w:r>
        <w:rPr>
          <w:spacing w:val="-5"/>
          <w:sz w:val="18"/>
        </w:rPr>
        <w:t>披露管理办法》</w:t>
      </w:r>
      <w:r>
        <w:rPr>
          <w:sz w:val="18"/>
        </w:rPr>
        <w:t>（</w:t>
      </w:r>
      <w:r>
        <w:rPr>
          <w:spacing w:val="-6"/>
          <w:sz w:val="18"/>
        </w:rPr>
        <w:t>以下简称《信息披露办法》</w:t>
      </w:r>
      <w:r>
        <w:rPr>
          <w:spacing w:val="-17"/>
          <w:sz w:val="18"/>
        </w:rPr>
        <w:t>）</w:t>
      </w:r>
      <w:r>
        <w:rPr>
          <w:spacing w:val="-8"/>
          <w:sz w:val="18"/>
        </w:rPr>
        <w:t>、《景顺长城新兴成长混合型证券投资基金基金合同》</w:t>
      </w:r>
      <w:r>
        <w:rPr>
          <w:sz w:val="18"/>
        </w:rPr>
        <w:t>（</w:t>
      </w:r>
      <w:r>
        <w:rPr>
          <w:spacing w:val="-15"/>
          <w:sz w:val="18"/>
        </w:rPr>
        <w:t>以</w:t>
      </w:r>
      <w:r>
        <w:rPr>
          <w:spacing w:val="-3"/>
          <w:sz w:val="18"/>
        </w:rPr>
        <w:t>下简称“基金合同”或“本基金合同”）</w:t>
      </w:r>
      <w:r>
        <w:rPr>
          <w:spacing w:val="-1"/>
          <w:sz w:val="18"/>
        </w:rPr>
        <w:t>及其他有关规定募集，并经中国证监会证监基金字</w:t>
      </w:r>
      <w:r>
        <w:rPr>
          <w:sz w:val="18"/>
        </w:rPr>
        <w:t>[2006]89</w:t>
      </w:r>
      <w:r>
        <w:rPr>
          <w:spacing w:val="-16"/>
          <w:sz w:val="18"/>
        </w:rPr>
        <w:t> 号文</w:t>
      </w:r>
      <w:r>
        <w:rPr>
          <w:spacing w:val="-19"/>
          <w:sz w:val="18"/>
        </w:rPr>
        <w:t>件批准发起设立，批准日期为 </w:t>
      </w:r>
      <w:r>
        <w:rPr>
          <w:sz w:val="18"/>
        </w:rPr>
        <w:t>2006</w:t>
      </w:r>
      <w:r>
        <w:rPr>
          <w:spacing w:val="-31"/>
          <w:sz w:val="18"/>
        </w:rPr>
        <w:t> 年 </w:t>
      </w:r>
      <w:r>
        <w:rPr>
          <w:sz w:val="18"/>
        </w:rPr>
        <w:t>5</w:t>
      </w:r>
      <w:r>
        <w:rPr>
          <w:spacing w:val="-31"/>
          <w:sz w:val="18"/>
        </w:rPr>
        <w:t> 月 </w:t>
      </w:r>
      <w:r>
        <w:rPr>
          <w:sz w:val="18"/>
        </w:rPr>
        <w:t>11</w:t>
      </w:r>
      <w:r>
        <w:rPr>
          <w:spacing w:val="-13"/>
          <w:sz w:val="18"/>
        </w:rPr>
        <w:t> 日。基金合同于 </w:t>
      </w:r>
      <w:r>
        <w:rPr>
          <w:sz w:val="18"/>
        </w:rPr>
        <w:t>2006</w:t>
      </w:r>
      <w:r>
        <w:rPr>
          <w:spacing w:val="-31"/>
          <w:sz w:val="18"/>
        </w:rPr>
        <w:t> 年 </w:t>
      </w:r>
      <w:r>
        <w:rPr>
          <w:sz w:val="18"/>
        </w:rPr>
        <w:t>6</w:t>
      </w:r>
      <w:r>
        <w:rPr>
          <w:spacing w:val="-31"/>
          <w:sz w:val="18"/>
        </w:rPr>
        <w:t> 月 </w:t>
      </w:r>
      <w:r>
        <w:rPr>
          <w:sz w:val="18"/>
        </w:rPr>
        <w:t>28</w:t>
      </w:r>
      <w:r>
        <w:rPr>
          <w:spacing w:val="-8"/>
          <w:sz w:val="18"/>
        </w:rPr>
        <w:t> 日正式生效。</w:t>
      </w:r>
    </w:p>
    <w:p>
      <w:pPr>
        <w:spacing w:line="324" w:lineRule="auto" w:before="4"/>
        <w:ind w:left="838" w:right="926" w:firstLine="0"/>
        <w:jc w:val="both"/>
        <w:rPr>
          <w:sz w:val="18"/>
        </w:rPr>
      </w:pPr>
      <w:r>
        <w:rPr>
          <w:sz w:val="18"/>
        </w:rPr>
        <w:t>（二）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spacing w:before="2"/>
        <w:ind w:left="838" w:right="0" w:firstLine="0"/>
        <w:jc w:val="left"/>
        <w:rPr>
          <w:sz w:val="18"/>
        </w:rPr>
      </w:pPr>
      <w:r>
        <w:rPr>
          <w:sz w:val="18"/>
        </w:rPr>
        <w:t>（三）投资有风险，投资人申购基金时应认真阅读本基金招募说明书、基金产品资料概要。</w:t>
      </w:r>
    </w:p>
    <w:p>
      <w:pPr>
        <w:spacing w:before="82"/>
        <w:ind w:left="838" w:right="0" w:firstLine="0"/>
        <w:jc w:val="left"/>
        <w:rPr>
          <w:sz w:val="18"/>
        </w:rPr>
      </w:pPr>
      <w:r>
        <w:rPr>
          <w:sz w:val="18"/>
        </w:rPr>
        <w:t>（四）基金的过往业绩并不预示其未来表现。</w:t>
      </w:r>
    </w:p>
    <w:p>
      <w:pPr>
        <w:spacing w:line="324" w:lineRule="auto" w:before="81"/>
        <w:ind w:left="838" w:right="925" w:firstLine="0"/>
        <w:jc w:val="both"/>
        <w:rPr>
          <w:sz w:val="18"/>
        </w:rPr>
      </w:pPr>
      <w:r>
        <w:rPr>
          <w:sz w:val="18"/>
        </w:rPr>
        <w:t>（五）基金合同是约定基金当事人之间权利、义务的法律文件。基金投资人自依基金合同取得基金份额， 即成为基金份额持有人和本基金合同的当事人，其持有基金份额的行为本身即表明其对基金合同的承认和接受，并按照《中华人民共和国证券投资基金法》、《公开募集证券投资基金运作管理办法》、基金合同及其他有关规定享有权利、承担义务；基金投资人欲了解基金份额持有人的权利和义务，应详细查阅本基金的基金合同。</w:t>
      </w:r>
    </w:p>
    <w:p>
      <w:pPr>
        <w:spacing w:line="324" w:lineRule="auto" w:before="4"/>
        <w:ind w:left="838" w:right="926" w:firstLine="0"/>
        <w:jc w:val="both"/>
        <w:rPr>
          <w:sz w:val="18"/>
        </w:rPr>
      </w:pPr>
      <w:r>
        <w:rPr>
          <w:sz w:val="18"/>
        </w:rPr>
        <w:t>（六）本基金管理人依照恪尽职守、诚实信用、谨慎勤勉的原则管理和运用基金财产，但不保证基金一定盈利，也不保证最低收益。当投资人赎回时，所得或会高于或低于投资人先前所支付的金额。如对本招募说明书有任何疑问，应寻求独立及专业的财务意见。</w:t>
      </w:r>
    </w:p>
    <w:p>
      <w:pPr>
        <w:spacing w:line="324" w:lineRule="auto" w:before="2"/>
        <w:ind w:left="838" w:right="926" w:firstLine="0"/>
        <w:jc w:val="both"/>
        <w:rPr>
          <w:sz w:val="18"/>
        </w:rPr>
      </w:pPr>
      <w:r>
        <w:rPr>
          <w:sz w:val="18"/>
        </w:rPr>
        <w:t>（七）本基金投资于证券市场，基金净值会因为证券市场波动等因素产生波动，投资者在投资本基金前， 请认真阅读本招募说明书，全面认识本基金产品的风险收益特征和产品特性，充分考虑自身的风险承受能力，理性判断市场，对申购基金的意愿、时机、数量等投资行为作出独立决策，获得基金投资收益，亦承担基金投资中出现的各类风险。投资本基金可能遇到的风险包括：证券市场整体环境引发的系统性风险， 个别证券特有的非系统性风险，大量赎回或暴跌导致的流动性风险，基金投资过程中产生的操作风险，因交收违约和投资债券引发的信用风险，基金投资对象与投资策略引致的特有风险，等等。基金管理人提醒投资人基金投资的“买者自负”原则，在投资人作出投资决策后，基金运营状况与基金净值变化引致的投资风险，由投资人自行负责。</w:t>
      </w:r>
    </w:p>
    <w:p>
      <w:pPr>
        <w:spacing w:line="324" w:lineRule="auto" w:before="6"/>
        <w:ind w:left="838" w:right="926" w:firstLine="359"/>
        <w:jc w:val="left"/>
        <w:rPr>
          <w:sz w:val="18"/>
        </w:rPr>
      </w:pPr>
      <w:r>
        <w:rPr>
          <w:sz w:val="18"/>
        </w:rPr>
        <w:t>本基金可以投资科创板股票，会面临科创板机制下因投资标的、市场制度以及交易规则等差异带来的特有风险，包括但不限于市场风险、流动性风险、退市风险、集中度风险、系统性风险、政策风险等。</w:t>
      </w:r>
    </w:p>
    <w:p>
      <w:pPr>
        <w:spacing w:line="324" w:lineRule="auto" w:before="1"/>
        <w:ind w:left="838" w:right="926" w:firstLine="359"/>
        <w:jc w:val="left"/>
        <w:rPr>
          <w:sz w:val="18"/>
        </w:rPr>
      </w:pPr>
      <w:r>
        <w:rPr>
          <w:sz w:val="18"/>
        </w:rPr>
        <w:t>本基金的投资范围包括存托凭证，若投资可能面临中国存托凭证价格大幅波动甚至出现较大亏损的风险，以及与创新企业、境外发行人、中国存托凭证发行机制以及交易机制等相关的风险。</w:t>
      </w:r>
    </w:p>
    <w:p>
      <w:pPr>
        <w:spacing w:line="324" w:lineRule="auto" w:before="1"/>
        <w:ind w:left="838" w:right="827" w:firstLine="0"/>
        <w:jc w:val="left"/>
        <w:rPr>
          <w:sz w:val="18"/>
        </w:rPr>
      </w:pPr>
      <w:r>
        <w:rPr>
          <w:sz w:val="18"/>
        </w:rPr>
        <w:t>（八）本基金管理人根据《存托凭证发行与交易管理办法（试行）》相关表述对本招募说明书做了调整， 并对本基金管理人的主要人员情况进行了调整。除上述事项外，本招募说明书所载其他内容截止日为 2020</w:t>
      </w:r>
    </w:p>
    <w:p>
      <w:pPr>
        <w:spacing w:line="324" w:lineRule="auto" w:before="2"/>
        <w:ind w:left="838" w:right="922" w:firstLine="0"/>
        <w:jc w:val="left"/>
        <w:rPr>
          <w:sz w:val="18"/>
        </w:rPr>
      </w:pPr>
      <w:r>
        <w:rPr>
          <w:spacing w:val="-23"/>
          <w:sz w:val="18"/>
        </w:rPr>
        <w:t>年 </w:t>
      </w:r>
      <w:r>
        <w:rPr>
          <w:sz w:val="18"/>
        </w:rPr>
        <w:t>3</w:t>
      </w:r>
      <w:r>
        <w:rPr>
          <w:spacing w:val="-31"/>
          <w:sz w:val="18"/>
        </w:rPr>
        <w:t> 月 </w:t>
      </w:r>
      <w:r>
        <w:rPr>
          <w:sz w:val="18"/>
        </w:rPr>
        <w:t>31</w:t>
      </w:r>
      <w:r>
        <w:rPr>
          <w:spacing w:val="-9"/>
          <w:sz w:val="18"/>
        </w:rPr>
        <w:t> 日，有关财务数据和净值表现截止日为 </w:t>
      </w:r>
      <w:r>
        <w:rPr>
          <w:sz w:val="18"/>
        </w:rPr>
        <w:t>2019</w:t>
      </w:r>
      <w:r>
        <w:rPr>
          <w:spacing w:val="-30"/>
          <w:sz w:val="18"/>
        </w:rPr>
        <w:t> 年 </w:t>
      </w:r>
      <w:r>
        <w:rPr>
          <w:sz w:val="18"/>
        </w:rPr>
        <w:t>12</w:t>
      </w:r>
      <w:r>
        <w:rPr>
          <w:spacing w:val="-31"/>
          <w:sz w:val="18"/>
        </w:rPr>
        <w:t> 月 </w:t>
      </w:r>
      <w:r>
        <w:rPr>
          <w:sz w:val="18"/>
        </w:rPr>
        <w:t>31</w:t>
      </w:r>
      <w:r>
        <w:rPr>
          <w:spacing w:val="-7"/>
          <w:sz w:val="18"/>
        </w:rPr>
        <w:t> 日。如本基金发生重大期后事项的，本招募说明书也对相应内容进行了更新。</w:t>
      </w:r>
    </w:p>
    <w:p>
      <w:pPr>
        <w:pStyle w:val="Heading2"/>
        <w:spacing w:line="417" w:lineRule="auto"/>
        <w:ind w:left="2534" w:right="2450"/>
      </w:pPr>
      <w:r>
        <w:rPr/>
        <w:t>基金管理人：景顺长城基金管理有限公司 </w:t>
      </w:r>
      <w:r>
        <w:rPr>
          <w:spacing w:val="-1"/>
        </w:rPr>
        <w:t>基金托管人：中国工商银行股份有限公司</w:t>
      </w:r>
    </w:p>
    <w:p>
      <w:pPr>
        <w:spacing w:after="0" w:line="417" w:lineRule="auto"/>
        <w:sectPr>
          <w:type w:val="continuous"/>
          <w:pgSz w:w="11910" w:h="16840"/>
          <w:pgMar w:top="1060" w:bottom="280" w:left="960" w:right="900"/>
        </w:sectPr>
      </w:pPr>
    </w:p>
    <w:p>
      <w:pPr>
        <w:pStyle w:val="BodyText"/>
        <w:rPr>
          <w:rFonts w:ascii="黑体"/>
          <w:b/>
          <w:sz w:val="29"/>
        </w:rPr>
      </w:pPr>
    </w:p>
    <w:p>
      <w:pPr>
        <w:tabs>
          <w:tab w:pos="643" w:val="left" w:leader="none"/>
        </w:tabs>
        <w:spacing w:before="55"/>
        <w:ind w:left="0" w:right="60" w:firstLine="0"/>
        <w:jc w:val="center"/>
        <w:rPr>
          <w:rFonts w:ascii="黑体" w:eastAsia="黑体" w:hint="eastAsia"/>
          <w:b/>
          <w:sz w:val="32"/>
        </w:rPr>
      </w:pPr>
      <w:r>
        <w:rPr>
          <w:rFonts w:ascii="黑体" w:eastAsia="黑体" w:hint="eastAsia"/>
          <w:b/>
          <w:sz w:val="32"/>
        </w:rPr>
        <w:t>目</w:t>
        <w:tab/>
        <w:t>录</w:t>
      </w:r>
    </w:p>
    <w:sdt>
      <w:sdtPr>
        <w:docPartObj>
          <w:docPartGallery w:val="Table of Contents"/>
          <w:docPartUnique/>
        </w:docPartObj>
      </w:sdtPr>
      <w:sdtEndPr/>
      <w:sdtContent>
        <w:p>
          <w:pPr>
            <w:pStyle w:val="TOC1"/>
            <w:tabs>
              <w:tab w:pos="9137" w:val="right" w:leader="dot"/>
            </w:tabs>
            <w:spacing w:before="687"/>
            <w:rPr>
              <w:rFonts w:ascii="Times New Roman" w:eastAsia="Times New Roman"/>
            </w:rPr>
          </w:pPr>
          <w:r>
            <w:fldChar w:fldCharType="begin"/>
          </w:r>
          <w:r>
            <w:instrText>TOC \o "1-1" \h \z \u </w:instrText>
          </w:r>
          <w:r>
            <w:fldChar w:fldCharType="separate"/>
          </w:r>
          <w:hyperlink w:history="true" w:anchor="_TOC_250023">
            <w:r>
              <w:rPr/>
              <w:t>一、绪言</w:t>
              <w:tab/>
            </w:r>
            <w:r>
              <w:rPr>
                <w:rFonts w:ascii="Times New Roman" w:eastAsia="Times New Roman"/>
              </w:rPr>
              <w:t>3</w:t>
            </w:r>
          </w:hyperlink>
        </w:p>
        <w:p>
          <w:pPr>
            <w:pStyle w:val="TOC1"/>
            <w:tabs>
              <w:tab w:pos="9137" w:val="right" w:leader="dot"/>
            </w:tabs>
            <w:spacing w:before="175"/>
            <w:rPr>
              <w:rFonts w:ascii="Times New Roman" w:eastAsia="Times New Roman"/>
            </w:rPr>
          </w:pPr>
          <w:hyperlink w:history="true" w:anchor="_TOC_250022">
            <w:r>
              <w:rPr/>
              <w:t>二、释义</w:t>
              <w:tab/>
            </w:r>
            <w:r>
              <w:rPr>
                <w:rFonts w:ascii="Times New Roman" w:eastAsia="Times New Roman"/>
              </w:rPr>
              <w:t>4</w:t>
            </w:r>
          </w:hyperlink>
        </w:p>
        <w:p>
          <w:pPr>
            <w:pStyle w:val="TOC1"/>
            <w:tabs>
              <w:tab w:pos="9137" w:val="right" w:leader="dot"/>
            </w:tabs>
            <w:rPr>
              <w:rFonts w:ascii="Times New Roman" w:eastAsia="Times New Roman"/>
            </w:rPr>
          </w:pPr>
          <w:hyperlink w:history="true" w:anchor="_TOC_250021">
            <w:r>
              <w:rPr/>
              <w:t>三、基金管理人</w:t>
              <w:tab/>
            </w:r>
            <w:r>
              <w:rPr>
                <w:rFonts w:ascii="Times New Roman" w:eastAsia="Times New Roman"/>
              </w:rPr>
              <w:t>9</w:t>
            </w:r>
          </w:hyperlink>
        </w:p>
        <w:p>
          <w:pPr>
            <w:pStyle w:val="TOC1"/>
            <w:tabs>
              <w:tab w:pos="9141" w:val="right" w:leader="dot"/>
            </w:tabs>
            <w:rPr>
              <w:rFonts w:ascii="Times New Roman" w:eastAsia="Times New Roman"/>
            </w:rPr>
          </w:pPr>
          <w:hyperlink w:history="true" w:anchor="_TOC_250020">
            <w:r>
              <w:rPr/>
              <w:t>四、基金托管人</w:t>
              <w:tab/>
            </w:r>
            <w:r>
              <w:rPr>
                <w:rFonts w:ascii="Times New Roman" w:eastAsia="Times New Roman"/>
              </w:rPr>
              <w:t>21</w:t>
            </w:r>
          </w:hyperlink>
        </w:p>
        <w:p>
          <w:pPr>
            <w:pStyle w:val="TOC1"/>
            <w:tabs>
              <w:tab w:pos="9141" w:val="right" w:leader="dot"/>
            </w:tabs>
            <w:rPr>
              <w:rFonts w:ascii="Times New Roman" w:eastAsia="Times New Roman"/>
            </w:rPr>
          </w:pPr>
          <w:hyperlink w:history="true" w:anchor="_TOC_250019">
            <w:r>
              <w:rPr/>
              <w:t>五、相关服务机构</w:t>
              <w:tab/>
            </w:r>
            <w:r>
              <w:rPr>
                <w:rFonts w:ascii="Times New Roman" w:eastAsia="Times New Roman"/>
              </w:rPr>
              <w:t>27</w:t>
            </w:r>
          </w:hyperlink>
        </w:p>
        <w:p>
          <w:pPr>
            <w:pStyle w:val="TOC1"/>
            <w:tabs>
              <w:tab w:pos="9141" w:val="right" w:leader="dot"/>
            </w:tabs>
            <w:rPr>
              <w:rFonts w:ascii="Times New Roman" w:eastAsia="Times New Roman"/>
            </w:rPr>
          </w:pPr>
          <w:hyperlink w:history="true" w:anchor="_TOC_250018">
            <w:r>
              <w:rPr/>
              <w:t>六、基金的申购、赎回、转换及其他注册登</w:t>
            </w:r>
            <w:r>
              <w:rPr>
                <w:spacing w:val="5"/>
              </w:rPr>
              <w:t>记</w:t>
            </w:r>
            <w:r>
              <w:rPr/>
              <w:t>业务</w:t>
              <w:tab/>
            </w:r>
            <w:r>
              <w:rPr>
                <w:rFonts w:ascii="Times New Roman" w:eastAsia="Times New Roman"/>
              </w:rPr>
              <w:t>66</w:t>
            </w:r>
          </w:hyperlink>
        </w:p>
        <w:p>
          <w:pPr>
            <w:pStyle w:val="TOC1"/>
            <w:tabs>
              <w:tab w:pos="9141" w:val="right" w:leader="dot"/>
            </w:tabs>
            <w:rPr>
              <w:rFonts w:ascii="Times New Roman" w:eastAsia="Times New Roman"/>
            </w:rPr>
          </w:pPr>
          <w:hyperlink w:history="true" w:anchor="_TOC_250017">
            <w:r>
              <w:rPr/>
              <w:t>七、基金的非交易过户与转托管</w:t>
              <w:tab/>
            </w:r>
            <w:r>
              <w:rPr>
                <w:rFonts w:ascii="Times New Roman" w:eastAsia="Times New Roman"/>
              </w:rPr>
              <w:t>88</w:t>
            </w:r>
          </w:hyperlink>
        </w:p>
        <w:p>
          <w:pPr>
            <w:pStyle w:val="TOC1"/>
            <w:tabs>
              <w:tab w:pos="9141" w:val="right" w:leader="dot"/>
            </w:tabs>
            <w:rPr>
              <w:rFonts w:ascii="Times New Roman" w:eastAsia="Times New Roman"/>
            </w:rPr>
          </w:pPr>
          <w:hyperlink w:history="true" w:anchor="_TOC_250016">
            <w:r>
              <w:rPr/>
              <w:t>八、基金的投资</w:t>
              <w:tab/>
            </w:r>
            <w:r>
              <w:rPr>
                <w:rFonts w:ascii="Times New Roman" w:eastAsia="Times New Roman"/>
              </w:rPr>
              <w:t>89</w:t>
            </w:r>
          </w:hyperlink>
        </w:p>
        <w:p>
          <w:pPr>
            <w:pStyle w:val="TOC1"/>
            <w:tabs>
              <w:tab w:pos="9141" w:val="right" w:leader="dot"/>
            </w:tabs>
            <w:spacing w:before="175"/>
            <w:rPr>
              <w:rFonts w:ascii="Times New Roman" w:eastAsia="Times New Roman"/>
            </w:rPr>
          </w:pPr>
          <w:hyperlink w:history="true" w:anchor="_TOC_250015">
            <w:r>
              <w:rPr/>
              <w:t>九、基金的融资</w:t>
              <w:tab/>
            </w:r>
            <w:r>
              <w:rPr>
                <w:rFonts w:ascii="Times New Roman" w:eastAsia="Times New Roman"/>
              </w:rPr>
              <w:t>100</w:t>
            </w:r>
          </w:hyperlink>
        </w:p>
        <w:p>
          <w:pPr>
            <w:pStyle w:val="TOC1"/>
            <w:tabs>
              <w:tab w:pos="9141" w:val="right" w:leader="dot"/>
            </w:tabs>
            <w:rPr>
              <w:rFonts w:ascii="Times New Roman" w:eastAsia="Times New Roman"/>
            </w:rPr>
          </w:pPr>
          <w:hyperlink w:history="true" w:anchor="_TOC_250014">
            <w:r>
              <w:rPr/>
              <w:t>十、基金的业绩</w:t>
              <w:tab/>
            </w:r>
            <w:r>
              <w:rPr>
                <w:rFonts w:ascii="Times New Roman" w:eastAsia="Times New Roman"/>
              </w:rPr>
              <w:t>101</w:t>
            </w:r>
          </w:hyperlink>
        </w:p>
        <w:p>
          <w:pPr>
            <w:pStyle w:val="TOC1"/>
            <w:tabs>
              <w:tab w:pos="9141" w:val="right" w:leader="dot"/>
            </w:tabs>
            <w:rPr>
              <w:rFonts w:ascii="Times New Roman" w:eastAsia="Times New Roman"/>
            </w:rPr>
          </w:pPr>
          <w:hyperlink w:history="true" w:anchor="_TOC_250013">
            <w:r>
              <w:rPr/>
              <w:t>十一、基金的财产</w:t>
              <w:tab/>
            </w:r>
            <w:r>
              <w:rPr>
                <w:rFonts w:ascii="Times New Roman" w:eastAsia="Times New Roman"/>
              </w:rPr>
              <w:t>103</w:t>
            </w:r>
          </w:hyperlink>
        </w:p>
        <w:p>
          <w:pPr>
            <w:pStyle w:val="TOC1"/>
            <w:tabs>
              <w:tab w:pos="9141" w:val="right" w:leader="dot"/>
            </w:tabs>
            <w:rPr>
              <w:rFonts w:ascii="Times New Roman" w:eastAsia="Times New Roman"/>
            </w:rPr>
          </w:pPr>
          <w:hyperlink w:history="true" w:anchor="_TOC_250012">
            <w:r>
              <w:rPr/>
              <w:t>十二、基金资产估值</w:t>
              <w:tab/>
            </w:r>
            <w:r>
              <w:rPr>
                <w:rFonts w:ascii="Times New Roman" w:eastAsia="Times New Roman"/>
              </w:rPr>
              <w:t>105</w:t>
            </w:r>
          </w:hyperlink>
        </w:p>
        <w:p>
          <w:pPr>
            <w:pStyle w:val="TOC1"/>
            <w:tabs>
              <w:tab w:pos="9139" w:val="right" w:leader="dot"/>
            </w:tabs>
            <w:spacing w:before="175"/>
            <w:rPr>
              <w:rFonts w:ascii="Times New Roman" w:eastAsia="Times New Roman"/>
            </w:rPr>
          </w:pPr>
          <w:hyperlink w:history="true" w:anchor="_TOC_250011">
            <w:r>
              <w:rPr/>
              <w:t>十三、基金的收益与分配</w:t>
              <w:tab/>
            </w:r>
            <w:r>
              <w:rPr>
                <w:rFonts w:ascii="Times New Roman" w:eastAsia="Times New Roman"/>
                <w:spacing w:val="-4"/>
              </w:rPr>
              <w:t>110</w:t>
            </w:r>
          </w:hyperlink>
        </w:p>
        <w:p>
          <w:pPr>
            <w:pStyle w:val="TOC1"/>
            <w:tabs>
              <w:tab w:pos="9139" w:val="right" w:leader="dot"/>
            </w:tabs>
            <w:rPr>
              <w:rFonts w:ascii="Times New Roman" w:eastAsia="Times New Roman"/>
            </w:rPr>
          </w:pPr>
          <w:hyperlink w:history="true" w:anchor="_TOC_250010">
            <w:r>
              <w:rPr/>
              <w:t>十四、基金费用与税收</w:t>
              <w:tab/>
            </w:r>
            <w:r>
              <w:rPr>
                <w:rFonts w:ascii="Times New Roman" w:eastAsia="Times New Roman"/>
                <w:spacing w:val="-4"/>
              </w:rPr>
              <w:t>112</w:t>
            </w:r>
          </w:hyperlink>
        </w:p>
        <w:p>
          <w:pPr>
            <w:pStyle w:val="TOC1"/>
            <w:tabs>
              <w:tab w:pos="9139" w:val="right" w:leader="dot"/>
            </w:tabs>
            <w:rPr>
              <w:rFonts w:ascii="Times New Roman" w:eastAsia="Times New Roman"/>
            </w:rPr>
          </w:pPr>
          <w:hyperlink w:history="true" w:anchor="_TOC_250009">
            <w:r>
              <w:rPr/>
              <w:t>十五、基金的会计与审计</w:t>
              <w:tab/>
            </w:r>
            <w:r>
              <w:rPr>
                <w:rFonts w:ascii="Times New Roman" w:eastAsia="Times New Roman"/>
                <w:spacing w:val="-4"/>
              </w:rPr>
              <w:t>117</w:t>
            </w:r>
          </w:hyperlink>
        </w:p>
        <w:p>
          <w:pPr>
            <w:pStyle w:val="TOC1"/>
            <w:tabs>
              <w:tab w:pos="9139" w:val="right" w:leader="dot"/>
            </w:tabs>
            <w:rPr>
              <w:rFonts w:ascii="Times New Roman" w:eastAsia="Times New Roman"/>
            </w:rPr>
          </w:pPr>
          <w:hyperlink w:history="true" w:anchor="_TOC_250008">
            <w:r>
              <w:rPr/>
              <w:t>十六、基金的信息披露</w:t>
              <w:tab/>
            </w:r>
            <w:r>
              <w:rPr>
                <w:rFonts w:ascii="Times New Roman" w:eastAsia="Times New Roman"/>
                <w:spacing w:val="-4"/>
              </w:rPr>
              <w:t>118</w:t>
            </w:r>
          </w:hyperlink>
        </w:p>
        <w:p>
          <w:pPr>
            <w:pStyle w:val="TOC1"/>
            <w:tabs>
              <w:tab w:pos="9141" w:val="right" w:leader="dot"/>
            </w:tabs>
            <w:rPr>
              <w:rFonts w:ascii="Times New Roman" w:eastAsia="Times New Roman"/>
            </w:rPr>
          </w:pPr>
          <w:hyperlink w:history="true" w:anchor="_TOC_250007">
            <w:r>
              <w:rPr/>
              <w:t>十七、风险揭示</w:t>
              <w:tab/>
            </w:r>
            <w:r>
              <w:rPr>
                <w:rFonts w:ascii="Times New Roman" w:eastAsia="Times New Roman"/>
              </w:rPr>
              <w:t>124</w:t>
            </w:r>
          </w:hyperlink>
        </w:p>
        <w:p>
          <w:pPr>
            <w:pStyle w:val="TOC1"/>
            <w:tabs>
              <w:tab w:pos="9141" w:val="right" w:leader="dot"/>
            </w:tabs>
            <w:spacing w:before="175"/>
            <w:rPr>
              <w:rFonts w:ascii="Times New Roman" w:eastAsia="Times New Roman"/>
            </w:rPr>
          </w:pPr>
          <w:hyperlink w:history="true" w:anchor="_TOC_250006">
            <w:r>
              <w:rPr/>
              <w:t>十八、基金合同的变更、终止与清算</w:t>
              <w:tab/>
            </w:r>
            <w:r>
              <w:rPr>
                <w:rFonts w:ascii="Times New Roman" w:eastAsia="Times New Roman"/>
              </w:rPr>
              <w:t>127</w:t>
            </w:r>
          </w:hyperlink>
        </w:p>
        <w:p>
          <w:pPr>
            <w:pStyle w:val="TOC1"/>
            <w:tabs>
              <w:tab w:pos="9141" w:val="right" w:leader="dot"/>
            </w:tabs>
            <w:rPr>
              <w:rFonts w:ascii="Times New Roman" w:eastAsia="Times New Roman"/>
            </w:rPr>
          </w:pPr>
          <w:hyperlink w:history="true" w:anchor="_TOC_250005">
            <w:r>
              <w:rPr/>
              <w:t>十九、基金合同的内容</w:t>
            </w:r>
            <w:r>
              <w:rPr>
                <w:spacing w:val="4"/>
              </w:rPr>
              <w:t>摘</w:t>
            </w:r>
            <w:r>
              <w:rPr/>
              <w:t>要</w:t>
              <w:tab/>
            </w:r>
            <w:r>
              <w:rPr>
                <w:rFonts w:ascii="Times New Roman" w:eastAsia="Times New Roman"/>
              </w:rPr>
              <w:t>130</w:t>
            </w:r>
          </w:hyperlink>
        </w:p>
        <w:p>
          <w:pPr>
            <w:pStyle w:val="TOC1"/>
            <w:tabs>
              <w:tab w:pos="9141" w:val="right" w:leader="dot"/>
            </w:tabs>
            <w:rPr>
              <w:rFonts w:ascii="Times New Roman" w:eastAsia="Times New Roman"/>
            </w:rPr>
          </w:pPr>
          <w:hyperlink w:history="true" w:anchor="_TOC_250004">
            <w:r>
              <w:rPr/>
              <w:t>二十、基金托管协议的内容摘要</w:t>
              <w:tab/>
            </w:r>
            <w:r>
              <w:rPr>
                <w:rFonts w:ascii="Times New Roman" w:eastAsia="Times New Roman"/>
              </w:rPr>
              <w:t>147</w:t>
            </w:r>
          </w:hyperlink>
        </w:p>
        <w:p>
          <w:pPr>
            <w:pStyle w:val="TOC1"/>
            <w:tabs>
              <w:tab w:pos="9141" w:val="right" w:leader="dot"/>
            </w:tabs>
            <w:rPr>
              <w:rFonts w:ascii="Times New Roman" w:eastAsia="Times New Roman"/>
            </w:rPr>
          </w:pPr>
          <w:hyperlink w:history="true" w:anchor="_TOC_250003">
            <w:r>
              <w:rPr/>
              <w:t>二十一、对基金份额持有人的服务</w:t>
              <w:tab/>
            </w:r>
            <w:r>
              <w:rPr>
                <w:rFonts w:ascii="Times New Roman" w:eastAsia="Times New Roman"/>
              </w:rPr>
              <w:t>161</w:t>
            </w:r>
          </w:hyperlink>
        </w:p>
        <w:p>
          <w:pPr>
            <w:pStyle w:val="TOC1"/>
            <w:tabs>
              <w:tab w:pos="9141" w:val="right" w:leader="dot"/>
            </w:tabs>
            <w:rPr>
              <w:rFonts w:ascii="Times New Roman" w:eastAsia="Times New Roman"/>
            </w:rPr>
          </w:pPr>
          <w:hyperlink w:history="true" w:anchor="_TOC_250002">
            <w:r>
              <w:rPr/>
              <w:t>二十二、其他应披露事项</w:t>
              <w:tab/>
            </w:r>
            <w:r>
              <w:rPr>
                <w:rFonts w:ascii="Times New Roman" w:eastAsia="Times New Roman"/>
              </w:rPr>
              <w:t>164</w:t>
            </w:r>
          </w:hyperlink>
        </w:p>
        <w:p>
          <w:pPr>
            <w:pStyle w:val="TOC1"/>
            <w:tabs>
              <w:tab w:pos="9141" w:val="right" w:leader="dot"/>
            </w:tabs>
            <w:rPr>
              <w:rFonts w:ascii="Times New Roman" w:eastAsia="Times New Roman"/>
            </w:rPr>
          </w:pPr>
          <w:hyperlink w:history="true" w:anchor="_TOC_250001">
            <w:r>
              <w:rPr/>
              <w:t>二十三、招募说明书的存放及其查阅方式</w:t>
              <w:tab/>
            </w:r>
            <w:r>
              <w:rPr>
                <w:rFonts w:ascii="Times New Roman" w:eastAsia="Times New Roman"/>
              </w:rPr>
              <w:t>168</w:t>
            </w:r>
          </w:hyperlink>
        </w:p>
        <w:p>
          <w:pPr>
            <w:pStyle w:val="TOC1"/>
            <w:tabs>
              <w:tab w:pos="9141" w:val="right" w:leader="dot"/>
            </w:tabs>
            <w:rPr>
              <w:rFonts w:ascii="Times New Roman" w:eastAsia="Times New Roman"/>
            </w:rPr>
          </w:pPr>
          <w:hyperlink w:history="true" w:anchor="_TOC_250000">
            <w:r>
              <w:rPr/>
              <w:t>二十四、备查文件</w:t>
              <w:tab/>
            </w:r>
            <w:r>
              <w:rPr>
                <w:rFonts w:ascii="Times New Roman" w:eastAsia="Times New Roman"/>
              </w:rPr>
              <w:t>169</w:t>
            </w:r>
          </w:hyperlink>
        </w:p>
        <w:p>
          <w:pPr/>
          <w:r>
            <w:fldChar w:fldCharType="end"/>
          </w:r>
        </w:p>
      </w:sdtContent>
    </w:sdt>
    <w:p>
      <w:pPr>
        <w:spacing w:after="0"/>
        <w:sectPr>
          <w:headerReference w:type="default" r:id="rId5"/>
          <w:footerReference w:type="default" r:id="rId6"/>
          <w:pgSz w:w="11910" w:h="16840"/>
          <w:pgMar w:header="877" w:footer="995" w:top="1100" w:bottom="1180" w:left="960" w:right="900"/>
          <w:pgNumType w:start="2"/>
        </w:sectPr>
      </w:pPr>
    </w:p>
    <w:p>
      <w:pPr>
        <w:pStyle w:val="BodyText"/>
        <w:spacing w:before="1"/>
        <w:rPr>
          <w:rFonts w:ascii="Times New Roman"/>
          <w:b/>
          <w:sz w:val="37"/>
        </w:rPr>
      </w:pPr>
    </w:p>
    <w:p>
      <w:pPr>
        <w:pStyle w:val="Heading1"/>
        <w:spacing w:before="0"/>
        <w:ind w:right="1351"/>
      </w:pPr>
      <w:bookmarkStart w:name="_TOC_250023" w:id="1"/>
      <w:bookmarkEnd w:id="1"/>
      <w:r>
        <w:rPr/>
        <w:t>一、绪言</w:t>
      </w:r>
    </w:p>
    <w:p>
      <w:pPr>
        <w:pStyle w:val="BodyText"/>
        <w:spacing w:before="12"/>
        <w:rPr>
          <w:rFonts w:ascii="黑体"/>
          <w:b/>
          <w:sz w:val="41"/>
        </w:rPr>
      </w:pPr>
    </w:p>
    <w:p>
      <w:pPr>
        <w:pStyle w:val="BodyText"/>
        <w:spacing w:line="417" w:lineRule="auto"/>
        <w:ind w:left="840" w:right="891" w:firstLine="419"/>
        <w:jc w:val="both"/>
      </w:pPr>
      <w:r>
        <w:rPr>
          <w:spacing w:val="-6"/>
        </w:rPr>
        <w:t>本招募说明书依据《中华人民共和国证券投资基金法</w:t>
      </w:r>
      <w:r>
        <w:rPr>
          <w:spacing w:val="-130"/>
        </w:rPr>
        <w:t>》</w:t>
      </w:r>
      <w:r>
        <w:rPr>
          <w:spacing w:val="-3"/>
        </w:rPr>
        <w:t>（</w:t>
      </w:r>
      <w:r>
        <w:rPr>
          <w:spacing w:val="-18"/>
        </w:rPr>
        <w:t>以下简称《基金法》</w:t>
      </w:r>
      <w:r>
        <w:rPr>
          <w:spacing w:val="-108"/>
        </w:rPr>
        <w:t>）</w:t>
      </w:r>
      <w:r>
        <w:rPr>
          <w:spacing w:val="-28"/>
        </w:rPr>
        <w:t>、《公开募</w:t>
      </w:r>
      <w:r>
        <w:rPr>
          <w:spacing w:val="-9"/>
        </w:rPr>
        <w:t>集证券投资基金运作管理办法</w:t>
      </w:r>
      <w:r>
        <w:rPr>
          <w:spacing w:val="-157"/>
        </w:rPr>
        <w:t>》</w:t>
      </w:r>
      <w:r>
        <w:rPr>
          <w:spacing w:val="-3"/>
        </w:rPr>
        <w:t>（</w:t>
      </w:r>
      <w:r>
        <w:rPr>
          <w:spacing w:val="-19"/>
        </w:rPr>
        <w:t>以下简称《运作办法》</w:t>
      </w:r>
      <w:r>
        <w:rPr>
          <w:spacing w:val="-106"/>
        </w:rPr>
        <w:t>）</w:t>
      </w:r>
      <w:r>
        <w:rPr>
          <w:spacing w:val="-16"/>
        </w:rPr>
        <w:t>、《证券投资基金销售管理办法</w:t>
      </w:r>
      <w:r>
        <w:rPr>
          <w:spacing w:val="-157"/>
        </w:rPr>
        <w:t>》</w:t>
      </w:r>
      <w:r>
        <w:rPr>
          <w:spacing w:val="-3"/>
        </w:rPr>
        <w:t>（</w:t>
      </w:r>
      <w:r>
        <w:rPr/>
        <w:t>以</w:t>
      </w:r>
      <w:r>
        <w:rPr>
          <w:spacing w:val="-18"/>
        </w:rPr>
        <w:t>下简称《销售办法》</w:t>
      </w:r>
      <w:r>
        <w:rPr>
          <w:spacing w:val="-106"/>
        </w:rPr>
        <w:t>）</w:t>
      </w:r>
      <w:r>
        <w:rPr>
          <w:spacing w:val="-13"/>
        </w:rPr>
        <w:t>、《公开募集证券投资基金信息披露管理办法</w:t>
      </w:r>
      <w:r>
        <w:rPr>
          <w:spacing w:val="-130"/>
        </w:rPr>
        <w:t>》</w:t>
      </w:r>
      <w:r>
        <w:rPr>
          <w:spacing w:val="-3"/>
        </w:rPr>
        <w:t>（</w:t>
      </w:r>
      <w:r>
        <w:rPr>
          <w:spacing w:val="-7"/>
        </w:rPr>
        <w:t>以下简称《信息披露办</w:t>
      </w:r>
      <w:r>
        <w:rPr>
          <w:spacing w:val="-57"/>
        </w:rPr>
        <w:t>法》</w:t>
      </w:r>
      <w:r>
        <w:rPr>
          <w:spacing w:val="-106"/>
        </w:rPr>
        <w:t>）</w:t>
      </w:r>
      <w:r>
        <w:rPr>
          <w:spacing w:val="-14"/>
        </w:rPr>
        <w:t>、《证券投资基金信息披露内容与格式准则第 </w:t>
      </w:r>
      <w:r>
        <w:rPr>
          <w:rFonts w:ascii="Times New Roman" w:hAnsi="Times New Roman" w:eastAsia="Times New Roman"/>
        </w:rPr>
        <w:t>5 </w:t>
      </w:r>
      <w:r>
        <w:rPr/>
        <w:t>号</w:t>
      </w:r>
      <w:r>
        <w:rPr>
          <w:rFonts w:ascii="Times New Roman" w:hAnsi="Times New Roman" w:eastAsia="Times New Roman"/>
        </w:rPr>
        <w:t>&lt;</w:t>
      </w:r>
      <w:r>
        <w:rPr>
          <w:spacing w:val="-3"/>
        </w:rPr>
        <w:t>招募说明书的内容与格式</w:t>
      </w:r>
      <w:r>
        <w:rPr>
          <w:rFonts w:ascii="Times New Roman" w:hAnsi="Times New Roman" w:eastAsia="Times New Roman"/>
        </w:rPr>
        <w:t>&gt;</w:t>
      </w:r>
      <w:r>
        <w:rPr>
          <w:spacing w:val="-46"/>
        </w:rPr>
        <w:t>》、《公开</w:t>
      </w:r>
      <w:r>
        <w:rPr>
          <w:spacing w:val="-49"/>
        </w:rPr>
        <w:t>募集开放式证券投资基金流动性风险管理规定》</w:t>
      </w:r>
      <w:r>
        <w:rPr/>
        <w:t>（</w:t>
      </w:r>
      <w:r>
        <w:rPr>
          <w:spacing w:val="-10"/>
        </w:rPr>
        <w:t>以下简称“《流动性风险管理规定》” </w:t>
      </w:r>
      <w:r>
        <w:rPr>
          <w:spacing w:val="-104"/>
        </w:rPr>
        <w:t>）、</w:t>
      </w:r>
    </w:p>
    <w:p>
      <w:pPr>
        <w:pStyle w:val="BodyText"/>
        <w:spacing w:line="417" w:lineRule="auto"/>
        <w:ind w:left="840" w:right="891"/>
      </w:pPr>
      <w:r>
        <w:rPr>
          <w:spacing w:val="-8"/>
        </w:rPr>
        <w:t>《景顺长城新兴成长混合型证券投资基金基金合同》</w:t>
      </w:r>
      <w:r>
        <w:rPr/>
        <w:t>（</w:t>
      </w:r>
      <w:r>
        <w:rPr>
          <w:spacing w:val="-3"/>
        </w:rPr>
        <w:t>以下简称基金合同</w:t>
      </w:r>
      <w:r>
        <w:rPr/>
        <w:t>）</w:t>
      </w:r>
      <w:r>
        <w:rPr>
          <w:spacing w:val="-3"/>
        </w:rPr>
        <w:t>及其它有关规定等编写。</w:t>
      </w:r>
    </w:p>
    <w:p>
      <w:pPr>
        <w:pStyle w:val="BodyText"/>
        <w:spacing w:line="417" w:lineRule="auto"/>
        <w:ind w:left="840" w:right="891" w:firstLine="419"/>
        <w:jc w:val="both"/>
      </w:pPr>
      <w:r>
        <w:rPr>
          <w:spacing w:val="-7"/>
        </w:rPr>
        <w:t>本招募说明书阐述了景顺长城新兴成长基金的投资目标、投资策略、风险、费率、管理</w:t>
      </w:r>
      <w:r>
        <w:rPr>
          <w:spacing w:val="-10"/>
        </w:rPr>
        <w:t>等与投资人投资决策有关的全部必要事项，投资者在做出投资决策前应当仔细阅读本招募说明书。</w:t>
      </w:r>
    </w:p>
    <w:p>
      <w:pPr>
        <w:pStyle w:val="BodyText"/>
        <w:spacing w:line="417" w:lineRule="auto"/>
        <w:ind w:left="840" w:right="89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840" w:right="891" w:firstLine="419"/>
        <w:jc w:val="both"/>
      </w:pPr>
      <w:r>
        <w:rPr>
          <w:spacing w:val="-8"/>
        </w:rPr>
        <w:t>本招募说明书根据本基金的基金合同编写，并经中国证监会核准。基金合同是约定基金</w:t>
      </w:r>
      <w:r>
        <w:rPr>
          <w:spacing w:val="-12"/>
        </w:rPr>
        <w:t>当事人之间权利、义务的法律文件。基金投资人自依基金合同取得基金份额，即成为基金份</w:t>
      </w:r>
      <w:r>
        <w:rPr>
          <w:spacing w:val="-13"/>
        </w:rPr>
        <w:t>额持有人和本基金合同的当事人，其持有基金份额的行为本身即表明其对基金合同的承认和接受，并按照《基金法》、基金合同及其他有关规定享有权利、承担义务。基金投资人欲了</w:t>
      </w:r>
      <w:r>
        <w:rPr>
          <w:spacing w:val="-6"/>
        </w:rPr>
        <w:t>解基金份额持有人的权利和义务，应详细查阅基金合同。</w:t>
      </w:r>
    </w:p>
    <w:p>
      <w:pPr>
        <w:spacing w:after="0" w:line="417" w:lineRule="auto"/>
        <w:jc w:val="both"/>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51"/>
      </w:pPr>
      <w:bookmarkStart w:name="_TOC_250022" w:id="2"/>
      <w:bookmarkEnd w:id="2"/>
      <w:r>
        <w:rPr/>
        <w:t>二、释义</w:t>
      </w:r>
    </w:p>
    <w:p>
      <w:pPr>
        <w:pStyle w:val="BodyText"/>
        <w:spacing w:before="12"/>
        <w:rPr>
          <w:rFonts w:ascii="黑体"/>
          <w:b/>
          <w:sz w:val="41"/>
        </w:rPr>
      </w:pPr>
    </w:p>
    <w:p>
      <w:pPr>
        <w:pStyle w:val="BodyText"/>
        <w:ind w:left="840"/>
      </w:pPr>
      <w:r>
        <w:rPr/>
        <w:t>在本招募说明书中，除非文义另有所指，下列词语具有以下含义：</w:t>
      </w:r>
    </w:p>
    <w:p>
      <w:pPr>
        <w:pStyle w:val="BodyText"/>
        <w:spacing w:before="6"/>
        <w:rPr>
          <w:sz w:val="15"/>
        </w:rPr>
      </w:pPr>
    </w:p>
    <w:p>
      <w:pPr>
        <w:pStyle w:val="BodyText"/>
        <w:tabs>
          <w:tab w:pos="3519" w:val="left" w:leader="none"/>
        </w:tabs>
        <w:spacing w:before="1"/>
        <w:ind w:left="840"/>
      </w:pPr>
      <w:r>
        <w:rPr/>
        <w:t>本合</w:t>
      </w:r>
      <w:r>
        <w:rPr>
          <w:spacing w:val="-3"/>
        </w:rPr>
        <w:t>同</w:t>
      </w:r>
      <w:r>
        <w:rPr>
          <w:spacing w:val="-106"/>
        </w:rPr>
        <w:t>、</w:t>
      </w:r>
      <w:r>
        <w:rPr>
          <w:spacing w:val="-3"/>
        </w:rPr>
        <w:t>《</w:t>
      </w:r>
      <w:r>
        <w:rPr/>
        <w:t>基</w:t>
      </w:r>
      <w:r>
        <w:rPr>
          <w:spacing w:val="-3"/>
        </w:rPr>
        <w:t>金</w:t>
      </w:r>
      <w:r>
        <w:rPr/>
        <w:t>合</w:t>
      </w:r>
      <w:r>
        <w:rPr>
          <w:spacing w:val="-3"/>
        </w:rPr>
        <w:t>同</w:t>
      </w:r>
      <w:r>
        <w:rPr/>
        <w:t>》</w:t>
        <w:tab/>
      </w:r>
      <w:r>
        <w:rPr>
          <w:spacing w:val="-22"/>
        </w:rPr>
        <w:t>指</w:t>
      </w:r>
      <w:r>
        <w:rPr/>
        <w:t>《</w:t>
      </w:r>
      <w:r>
        <w:rPr>
          <w:spacing w:val="-3"/>
        </w:rPr>
        <w:t>景</w:t>
      </w:r>
      <w:r>
        <w:rPr/>
        <w:t>顺</w:t>
      </w:r>
      <w:r>
        <w:rPr>
          <w:spacing w:val="-3"/>
        </w:rPr>
        <w:t>长</w:t>
      </w:r>
      <w:r>
        <w:rPr/>
        <w:t>城</w:t>
      </w:r>
      <w:r>
        <w:rPr>
          <w:spacing w:val="-3"/>
        </w:rPr>
        <w:t>新</w:t>
      </w:r>
      <w:r>
        <w:rPr/>
        <w:t>兴</w:t>
      </w:r>
      <w:r>
        <w:rPr>
          <w:spacing w:val="-3"/>
        </w:rPr>
        <w:t>成</w:t>
      </w:r>
      <w:r>
        <w:rPr/>
        <w:t>长</w:t>
      </w:r>
      <w:r>
        <w:rPr>
          <w:spacing w:val="-3"/>
        </w:rPr>
        <w:t>混</w:t>
      </w:r>
      <w:r>
        <w:rPr/>
        <w:t>合型</w:t>
      </w:r>
      <w:r>
        <w:rPr>
          <w:spacing w:val="-3"/>
        </w:rPr>
        <w:t>证</w:t>
      </w:r>
      <w:r>
        <w:rPr/>
        <w:t>券</w:t>
      </w:r>
      <w:r>
        <w:rPr>
          <w:spacing w:val="-3"/>
        </w:rPr>
        <w:t>投</w:t>
      </w:r>
      <w:r>
        <w:rPr/>
        <w:t>资</w:t>
      </w:r>
      <w:r>
        <w:rPr>
          <w:spacing w:val="-3"/>
        </w:rPr>
        <w:t>基</w:t>
      </w:r>
      <w:r>
        <w:rPr/>
        <w:t>金</w:t>
      </w:r>
      <w:r>
        <w:rPr>
          <w:spacing w:val="-3"/>
        </w:rPr>
        <w:t>基</w:t>
      </w:r>
      <w:r>
        <w:rPr/>
        <w:t>金</w:t>
      </w:r>
      <w:r>
        <w:rPr>
          <w:spacing w:val="-3"/>
        </w:rPr>
        <w:t>合</w:t>
      </w:r>
      <w:r>
        <w:rPr/>
        <w:t>同</w:t>
      </w:r>
      <w:r>
        <w:rPr>
          <w:spacing w:val="-22"/>
        </w:rPr>
        <w:t>》</w:t>
      </w:r>
      <w:r>
        <w:rPr>
          <w:spacing w:val="-3"/>
        </w:rPr>
        <w:t>及</w:t>
      </w:r>
      <w:r>
        <w:rPr/>
        <w:t>对本</w:t>
      </w:r>
    </w:p>
    <w:p>
      <w:pPr>
        <w:pStyle w:val="BodyText"/>
        <w:spacing w:before="6"/>
        <w:rPr>
          <w:sz w:val="15"/>
        </w:rPr>
      </w:pPr>
    </w:p>
    <w:p>
      <w:pPr>
        <w:pStyle w:val="BodyText"/>
        <w:ind w:left="3519"/>
      </w:pPr>
      <w:r>
        <w:rPr/>
        <w:t>合同的任何修订和补充</w:t>
      </w:r>
    </w:p>
    <w:p>
      <w:pPr>
        <w:pStyle w:val="BodyText"/>
        <w:spacing w:before="7"/>
        <w:rPr>
          <w:sz w:val="15"/>
        </w:rPr>
      </w:pPr>
    </w:p>
    <w:p>
      <w:pPr>
        <w:pStyle w:val="BodyText"/>
        <w:tabs>
          <w:tab w:pos="3519" w:val="left" w:leader="none"/>
        </w:tabs>
        <w:spacing w:line="417" w:lineRule="auto"/>
        <w:ind w:left="3519" w:right="897" w:hanging="2679"/>
      </w:pPr>
      <w:r>
        <w:rPr/>
        <w:t>中国</w:t>
        <w:tab/>
        <w:t>指中华人民共和</w:t>
      </w:r>
      <w:r>
        <w:rPr>
          <w:spacing w:val="3"/>
        </w:rPr>
        <w:t>国</w:t>
      </w:r>
      <w:r>
        <w:rPr/>
        <w:t>(就本基金合同而言，不包括香港特别行</w:t>
      </w:r>
      <w:r>
        <w:rPr>
          <w:spacing w:val="-16"/>
        </w:rPr>
        <w:t>政</w:t>
      </w:r>
      <w:r>
        <w:rPr/>
        <w:t>区、</w:t>
      </w:r>
      <w:r>
        <w:rPr>
          <w:spacing w:val="-3"/>
        </w:rPr>
        <w:t>澳</w:t>
      </w:r>
      <w:r>
        <w:rPr/>
        <w:t>门</w:t>
      </w:r>
      <w:r>
        <w:rPr>
          <w:spacing w:val="-3"/>
        </w:rPr>
        <w:t>特</w:t>
      </w:r>
      <w:r>
        <w:rPr/>
        <w:t>别</w:t>
      </w:r>
      <w:r>
        <w:rPr>
          <w:spacing w:val="-3"/>
        </w:rPr>
        <w:t>行</w:t>
      </w:r>
      <w:r>
        <w:rPr/>
        <w:t>政</w:t>
      </w:r>
      <w:r>
        <w:rPr>
          <w:spacing w:val="-3"/>
        </w:rPr>
        <w:t>区</w:t>
      </w:r>
      <w:r>
        <w:rPr/>
        <w:t>及</w:t>
      </w:r>
      <w:r>
        <w:rPr>
          <w:spacing w:val="-3"/>
        </w:rPr>
        <w:t>台</w:t>
      </w:r>
      <w:r>
        <w:rPr/>
        <w:t>湾地</w:t>
      </w:r>
      <w:r>
        <w:rPr>
          <w:spacing w:val="-3"/>
        </w:rPr>
        <w:t>区</w:t>
      </w:r>
      <w:r>
        <w:rPr/>
        <w:t>)</w:t>
      </w:r>
    </w:p>
    <w:p>
      <w:pPr>
        <w:pStyle w:val="BodyText"/>
        <w:tabs>
          <w:tab w:pos="3519" w:val="left" w:leader="none"/>
        </w:tabs>
        <w:spacing w:line="417" w:lineRule="auto"/>
        <w:ind w:left="3519" w:right="891" w:hanging="2679"/>
      </w:pPr>
      <w:r>
        <w:rPr/>
        <w:t>法律</w:t>
      </w:r>
      <w:r>
        <w:rPr>
          <w:spacing w:val="-3"/>
        </w:rPr>
        <w:t>法</w:t>
      </w:r>
      <w:r>
        <w:rPr/>
        <w:t>规</w:t>
        <w:tab/>
        <w:t>指中</w:t>
      </w:r>
      <w:r>
        <w:rPr>
          <w:spacing w:val="-3"/>
        </w:rPr>
        <w:t>国</w:t>
      </w:r>
      <w:r>
        <w:rPr/>
        <w:t>现</w:t>
      </w:r>
      <w:r>
        <w:rPr>
          <w:spacing w:val="-3"/>
        </w:rPr>
        <w:t>时</w:t>
      </w:r>
      <w:r>
        <w:rPr/>
        <w:t>有</w:t>
      </w:r>
      <w:r>
        <w:rPr>
          <w:spacing w:val="-3"/>
        </w:rPr>
        <w:t>效</w:t>
      </w:r>
      <w:r>
        <w:rPr/>
        <w:t>并</w:t>
      </w:r>
      <w:r>
        <w:rPr>
          <w:spacing w:val="-3"/>
        </w:rPr>
        <w:t>公</w:t>
      </w:r>
      <w:r>
        <w:rPr/>
        <w:t>布</w:t>
      </w:r>
      <w:r>
        <w:rPr>
          <w:spacing w:val="-3"/>
        </w:rPr>
        <w:t>实</w:t>
      </w:r>
      <w:r>
        <w:rPr/>
        <w:t>施的</w:t>
      </w:r>
      <w:r>
        <w:rPr>
          <w:spacing w:val="-3"/>
        </w:rPr>
        <w:t>法</w:t>
      </w:r>
      <w:r>
        <w:rPr/>
        <w:t>律</w:t>
      </w:r>
      <w:r>
        <w:rPr>
          <w:spacing w:val="-25"/>
        </w:rPr>
        <w:t>、</w:t>
      </w:r>
      <w:r>
        <w:rPr/>
        <w:t>行</w:t>
      </w:r>
      <w:r>
        <w:rPr>
          <w:spacing w:val="-3"/>
        </w:rPr>
        <w:t>政</w:t>
      </w:r>
      <w:r>
        <w:rPr/>
        <w:t>法规</w:t>
      </w:r>
      <w:r>
        <w:rPr>
          <w:spacing w:val="-25"/>
        </w:rPr>
        <w:t>、</w:t>
      </w:r>
      <w:r>
        <w:rPr>
          <w:spacing w:val="-3"/>
        </w:rPr>
        <w:t>行</w:t>
      </w:r>
      <w:r>
        <w:rPr/>
        <w:t>政规</w:t>
      </w:r>
      <w:r>
        <w:rPr>
          <w:spacing w:val="-3"/>
        </w:rPr>
        <w:t>章</w:t>
      </w:r>
      <w:r>
        <w:rPr/>
        <w:t>及规范性</w:t>
      </w:r>
      <w:r>
        <w:rPr>
          <w:spacing w:val="-3"/>
        </w:rPr>
        <w:t>文</w:t>
      </w:r>
      <w:r>
        <w:rPr/>
        <w:t>件</w:t>
      </w:r>
      <w:r>
        <w:rPr>
          <w:spacing w:val="-3"/>
        </w:rPr>
        <w:t>、</w:t>
      </w:r>
      <w:r>
        <w:rPr/>
        <w:t>地</w:t>
      </w:r>
      <w:r>
        <w:rPr>
          <w:spacing w:val="-3"/>
        </w:rPr>
        <w:t>方</w:t>
      </w:r>
      <w:r>
        <w:rPr/>
        <w:t>法</w:t>
      </w:r>
      <w:r>
        <w:rPr>
          <w:spacing w:val="-3"/>
        </w:rPr>
        <w:t>规</w:t>
      </w:r>
      <w:r>
        <w:rPr/>
        <w:t>、</w:t>
      </w:r>
      <w:r>
        <w:rPr>
          <w:spacing w:val="-3"/>
        </w:rPr>
        <w:t>地</w:t>
      </w:r>
      <w:r>
        <w:rPr/>
        <w:t>方规</w:t>
      </w:r>
      <w:r>
        <w:rPr>
          <w:spacing w:val="-3"/>
        </w:rPr>
        <w:t>章</w:t>
      </w:r>
      <w:r>
        <w:rPr/>
        <w:t>及</w:t>
      </w:r>
      <w:r>
        <w:rPr>
          <w:spacing w:val="-3"/>
        </w:rPr>
        <w:t>规</w:t>
      </w:r>
      <w:r>
        <w:rPr/>
        <w:t>范</w:t>
      </w:r>
      <w:r>
        <w:rPr>
          <w:spacing w:val="-3"/>
        </w:rPr>
        <w:t>性</w:t>
      </w:r>
      <w:r>
        <w:rPr/>
        <w:t>文件</w:t>
      </w:r>
    </w:p>
    <w:p>
      <w:pPr>
        <w:pStyle w:val="BodyText"/>
        <w:tabs>
          <w:tab w:pos="3519" w:val="left" w:leader="none"/>
        </w:tabs>
        <w:spacing w:line="269" w:lineRule="exact"/>
        <w:ind w:left="840"/>
      </w:pPr>
      <w:r>
        <w:rPr/>
        <w:t>《基</w:t>
      </w:r>
      <w:r>
        <w:rPr>
          <w:spacing w:val="-3"/>
        </w:rPr>
        <w:t>金</w:t>
      </w:r>
      <w:r>
        <w:rPr/>
        <w:t>法》</w:t>
        <w:tab/>
        <w:t>指《</w:t>
      </w:r>
      <w:r>
        <w:rPr>
          <w:spacing w:val="-3"/>
        </w:rPr>
        <w:t>中</w:t>
      </w:r>
      <w:r>
        <w:rPr/>
        <w:t>华</w:t>
      </w:r>
      <w:r>
        <w:rPr>
          <w:spacing w:val="-3"/>
        </w:rPr>
        <w:t>人</w:t>
      </w:r>
      <w:r>
        <w:rPr/>
        <w:t>民</w:t>
      </w:r>
      <w:r>
        <w:rPr>
          <w:spacing w:val="-3"/>
        </w:rPr>
        <w:t>共</w:t>
      </w:r>
      <w:r>
        <w:rPr/>
        <w:t>和</w:t>
      </w:r>
      <w:r>
        <w:rPr>
          <w:spacing w:val="-3"/>
        </w:rPr>
        <w:t>国</w:t>
      </w:r>
      <w:r>
        <w:rPr/>
        <w:t>证</w:t>
      </w:r>
      <w:r>
        <w:rPr>
          <w:spacing w:val="-3"/>
        </w:rPr>
        <w:t>券</w:t>
      </w:r>
      <w:r>
        <w:rPr/>
        <w:t>投资</w:t>
      </w:r>
      <w:r>
        <w:rPr>
          <w:spacing w:val="-3"/>
        </w:rPr>
        <w:t>基</w:t>
      </w:r>
      <w:r>
        <w:rPr/>
        <w:t>金</w:t>
      </w:r>
      <w:r>
        <w:rPr>
          <w:spacing w:val="-3"/>
        </w:rPr>
        <w:t>法</w:t>
      </w:r>
      <w:r>
        <w:rPr/>
        <w:t>》</w:t>
      </w:r>
    </w:p>
    <w:p>
      <w:pPr>
        <w:pStyle w:val="BodyText"/>
        <w:spacing w:before="7"/>
        <w:rPr>
          <w:sz w:val="15"/>
        </w:rPr>
      </w:pPr>
    </w:p>
    <w:p>
      <w:pPr>
        <w:pStyle w:val="BodyText"/>
        <w:tabs>
          <w:tab w:pos="3519" w:val="left" w:leader="none"/>
        </w:tabs>
        <w:ind w:left="840"/>
      </w:pPr>
      <w:r>
        <w:rPr/>
        <w:t>《销</w:t>
      </w:r>
      <w:r>
        <w:rPr>
          <w:spacing w:val="-3"/>
        </w:rPr>
        <w:t>售</w:t>
      </w:r>
      <w:r>
        <w:rPr/>
        <w:t>办</w:t>
      </w:r>
      <w:r>
        <w:rPr>
          <w:spacing w:val="-3"/>
        </w:rPr>
        <w:t>法</w:t>
      </w:r>
      <w:r>
        <w:rPr/>
        <w:t>》</w:t>
        <w:tab/>
        <w:t>指《</w:t>
      </w:r>
      <w:r>
        <w:rPr>
          <w:spacing w:val="-3"/>
        </w:rPr>
        <w:t>证</w:t>
      </w:r>
      <w:r>
        <w:rPr/>
        <w:t>券</w:t>
      </w:r>
      <w:r>
        <w:rPr>
          <w:spacing w:val="-3"/>
        </w:rPr>
        <w:t>投</w:t>
      </w:r>
      <w:r>
        <w:rPr/>
        <w:t>资</w:t>
      </w:r>
      <w:r>
        <w:rPr>
          <w:spacing w:val="-3"/>
        </w:rPr>
        <w:t>基</w:t>
      </w:r>
      <w:r>
        <w:rPr/>
        <w:t>金</w:t>
      </w:r>
      <w:r>
        <w:rPr>
          <w:spacing w:val="-3"/>
        </w:rPr>
        <w:t>销</w:t>
      </w:r>
      <w:r>
        <w:rPr/>
        <w:t>售</w:t>
      </w:r>
      <w:r>
        <w:rPr>
          <w:spacing w:val="-3"/>
        </w:rPr>
        <w:t>管</w:t>
      </w:r>
      <w:r>
        <w:rPr/>
        <w:t>理办</w:t>
      </w:r>
      <w:r>
        <w:rPr>
          <w:spacing w:val="-3"/>
        </w:rPr>
        <w:t>法</w:t>
      </w:r>
      <w:r>
        <w:rPr/>
        <w:t>》</w:t>
      </w:r>
    </w:p>
    <w:p>
      <w:pPr>
        <w:pStyle w:val="BodyText"/>
        <w:spacing w:before="7"/>
        <w:rPr>
          <w:sz w:val="15"/>
        </w:rPr>
      </w:pPr>
    </w:p>
    <w:p>
      <w:pPr>
        <w:pStyle w:val="BodyText"/>
        <w:tabs>
          <w:tab w:pos="3519" w:val="left" w:leader="none"/>
        </w:tabs>
        <w:ind w:left="840"/>
      </w:pPr>
      <w:r>
        <w:rPr/>
        <w:t>《运</w:t>
      </w:r>
      <w:r>
        <w:rPr>
          <w:spacing w:val="-3"/>
        </w:rPr>
        <w:t>作</w:t>
      </w:r>
      <w:r>
        <w:rPr/>
        <w:t>办</w:t>
      </w:r>
      <w:r>
        <w:rPr>
          <w:spacing w:val="-3"/>
        </w:rPr>
        <w:t>法</w:t>
      </w:r>
      <w:r>
        <w:rPr/>
        <w:t>》</w:t>
        <w:tab/>
        <w:t>指《</w:t>
      </w:r>
      <w:r>
        <w:rPr>
          <w:spacing w:val="-3"/>
        </w:rPr>
        <w:t>公</w:t>
      </w:r>
      <w:r>
        <w:rPr/>
        <w:t>开</w:t>
      </w:r>
      <w:r>
        <w:rPr>
          <w:spacing w:val="-3"/>
        </w:rPr>
        <w:t>募</w:t>
      </w:r>
      <w:r>
        <w:rPr/>
        <w:t>集</w:t>
      </w:r>
      <w:r>
        <w:rPr>
          <w:spacing w:val="-3"/>
        </w:rPr>
        <w:t>证</w:t>
      </w:r>
      <w:r>
        <w:rPr/>
        <w:t>券</w:t>
      </w:r>
      <w:r>
        <w:rPr>
          <w:spacing w:val="-3"/>
        </w:rPr>
        <w:t>投</w:t>
      </w:r>
      <w:r>
        <w:rPr/>
        <w:t>资</w:t>
      </w:r>
      <w:r>
        <w:rPr>
          <w:spacing w:val="-3"/>
        </w:rPr>
        <w:t>基</w:t>
      </w:r>
      <w:r>
        <w:rPr/>
        <w:t>金运</w:t>
      </w:r>
      <w:r>
        <w:rPr>
          <w:spacing w:val="-3"/>
        </w:rPr>
        <w:t>作</w:t>
      </w:r>
      <w:r>
        <w:rPr/>
        <w:t>管</w:t>
      </w:r>
      <w:r>
        <w:rPr>
          <w:spacing w:val="-3"/>
        </w:rPr>
        <w:t>理</w:t>
      </w:r>
      <w:r>
        <w:rPr/>
        <w:t>办</w:t>
      </w:r>
      <w:r>
        <w:rPr>
          <w:spacing w:val="-3"/>
        </w:rPr>
        <w:t>法</w:t>
      </w:r>
      <w:r>
        <w:rPr/>
        <w:t>》</w:t>
      </w:r>
    </w:p>
    <w:p>
      <w:pPr>
        <w:pStyle w:val="BodyText"/>
        <w:spacing w:before="6"/>
        <w:rPr>
          <w:sz w:val="15"/>
        </w:rPr>
      </w:pPr>
    </w:p>
    <w:p>
      <w:pPr>
        <w:pStyle w:val="BodyText"/>
        <w:tabs>
          <w:tab w:pos="3519" w:val="left" w:leader="none"/>
        </w:tabs>
        <w:spacing w:before="1"/>
        <w:ind w:left="840"/>
      </w:pPr>
      <w:r>
        <w:rPr/>
        <w:t>《信</w:t>
      </w:r>
      <w:r>
        <w:rPr>
          <w:spacing w:val="-3"/>
        </w:rPr>
        <w:t>息</w:t>
      </w:r>
      <w:r>
        <w:rPr/>
        <w:t>披</w:t>
      </w:r>
      <w:r>
        <w:rPr>
          <w:spacing w:val="-3"/>
        </w:rPr>
        <w:t>露</w:t>
      </w:r>
      <w:r>
        <w:rPr/>
        <w:t>办</w:t>
      </w:r>
      <w:r>
        <w:rPr>
          <w:spacing w:val="-3"/>
        </w:rPr>
        <w:t>法</w:t>
      </w:r>
      <w:r>
        <w:rPr/>
        <w:t>》</w:t>
        <w:tab/>
        <w:t>指中</w:t>
      </w:r>
      <w:r>
        <w:rPr>
          <w:spacing w:val="-3"/>
        </w:rPr>
        <w:t>国</w:t>
      </w:r>
      <w:r>
        <w:rPr/>
        <w:t>证</w:t>
      </w:r>
      <w:r>
        <w:rPr>
          <w:spacing w:val="-3"/>
        </w:rPr>
        <w:t>监</w:t>
      </w:r>
      <w:r>
        <w:rPr/>
        <w:t>会</w:t>
      </w:r>
      <w:r>
        <w:rPr>
          <w:spacing w:val="-58"/>
        </w:rPr>
        <w:t> </w:t>
      </w:r>
      <w:r>
        <w:rPr/>
        <w:t>2019</w:t>
      </w:r>
      <w:r>
        <w:rPr>
          <w:spacing w:val="-57"/>
        </w:rPr>
        <w:t> </w:t>
      </w:r>
      <w:r>
        <w:rPr/>
        <w:t>年</w:t>
      </w:r>
      <w:r>
        <w:rPr>
          <w:spacing w:val="-56"/>
        </w:rPr>
        <w:t> </w:t>
      </w:r>
      <w:r>
        <w:rPr/>
        <w:t>7</w:t>
      </w:r>
      <w:r>
        <w:rPr>
          <w:spacing w:val="-59"/>
        </w:rPr>
        <w:t> </w:t>
      </w:r>
      <w:r>
        <w:rPr/>
        <w:t>月</w:t>
      </w:r>
      <w:r>
        <w:rPr>
          <w:spacing w:val="-59"/>
        </w:rPr>
        <w:t> </w:t>
      </w:r>
      <w:r>
        <w:rPr/>
        <w:t>26</w:t>
      </w:r>
      <w:r>
        <w:rPr>
          <w:spacing w:val="-56"/>
        </w:rPr>
        <w:t> </w:t>
      </w:r>
      <w:r>
        <w:rPr/>
        <w:t>日</w:t>
      </w:r>
      <w:r>
        <w:rPr>
          <w:spacing w:val="-3"/>
        </w:rPr>
        <w:t>颁</w:t>
      </w:r>
      <w:r>
        <w:rPr/>
        <w:t>布</w:t>
      </w:r>
      <w:r>
        <w:rPr>
          <w:spacing w:val="-108"/>
        </w:rPr>
        <w:t>、</w:t>
      </w:r>
      <w:r>
        <w:rPr/>
        <w:t>同年</w:t>
      </w:r>
      <w:r>
        <w:rPr>
          <w:spacing w:val="-57"/>
        </w:rPr>
        <w:t> </w:t>
      </w:r>
      <w:r>
        <w:rPr/>
        <w:t>9</w:t>
      </w:r>
      <w:r>
        <w:rPr>
          <w:spacing w:val="-56"/>
        </w:rPr>
        <w:t> </w:t>
      </w:r>
      <w:r>
        <w:rPr/>
        <w:t>月</w:t>
      </w:r>
      <w:r>
        <w:rPr>
          <w:spacing w:val="-59"/>
        </w:rPr>
        <w:t> </w:t>
      </w:r>
      <w:r>
        <w:rPr/>
        <w:t>1</w:t>
      </w:r>
      <w:r>
        <w:rPr>
          <w:spacing w:val="-56"/>
        </w:rPr>
        <w:t> </w:t>
      </w:r>
      <w:r>
        <w:rPr>
          <w:spacing w:val="-3"/>
        </w:rPr>
        <w:t>日实</w:t>
      </w:r>
      <w:r>
        <w:rPr/>
        <w:t>施</w:t>
      </w:r>
      <w:r>
        <w:rPr>
          <w:spacing w:val="-106"/>
        </w:rPr>
        <w:t>的</w:t>
      </w:r>
      <w:r>
        <w:rPr>
          <w:spacing w:val="-3"/>
        </w:rPr>
        <w:t>《</w:t>
      </w:r>
      <w:r>
        <w:rPr/>
        <w:t>公</w:t>
      </w:r>
    </w:p>
    <w:p>
      <w:pPr>
        <w:pStyle w:val="BodyText"/>
        <w:spacing w:before="7"/>
        <w:rPr>
          <w:sz w:val="15"/>
        </w:rPr>
      </w:pPr>
    </w:p>
    <w:p>
      <w:pPr>
        <w:pStyle w:val="BodyText"/>
        <w:spacing w:line="417" w:lineRule="auto"/>
        <w:ind w:left="3519" w:right="839"/>
      </w:pPr>
      <w:r>
        <w:rPr/>
        <w:t>开募集证券投资基金信息披露管理办法》及颁布机关对其不时做出的修订</w:t>
      </w:r>
    </w:p>
    <w:p>
      <w:pPr>
        <w:pStyle w:val="BodyText"/>
        <w:tabs>
          <w:tab w:pos="3519" w:val="left" w:leader="none"/>
        </w:tabs>
        <w:spacing w:line="269" w:lineRule="exact"/>
        <w:ind w:left="840"/>
      </w:pPr>
      <w:r>
        <w:rPr/>
        <w:t>元</w:t>
        <w:tab/>
        <w:t>指中</w:t>
      </w:r>
      <w:r>
        <w:rPr>
          <w:spacing w:val="-3"/>
        </w:rPr>
        <w:t>国</w:t>
      </w:r>
      <w:r>
        <w:rPr/>
        <w:t>法</w:t>
      </w:r>
      <w:r>
        <w:rPr>
          <w:spacing w:val="-3"/>
        </w:rPr>
        <w:t>定</w:t>
      </w:r>
      <w:r>
        <w:rPr/>
        <w:t>货</w:t>
      </w:r>
      <w:r>
        <w:rPr>
          <w:spacing w:val="-3"/>
        </w:rPr>
        <w:t>币</w:t>
      </w:r>
      <w:r>
        <w:rPr/>
        <w:t>人</w:t>
      </w:r>
      <w:r>
        <w:rPr>
          <w:spacing w:val="-3"/>
        </w:rPr>
        <w:t>民</w:t>
      </w:r>
      <w:r>
        <w:rPr/>
        <w:t>币元</w:t>
      </w:r>
    </w:p>
    <w:p>
      <w:pPr>
        <w:pStyle w:val="BodyText"/>
        <w:spacing w:before="6"/>
        <w:rPr>
          <w:sz w:val="15"/>
        </w:rPr>
      </w:pPr>
    </w:p>
    <w:p>
      <w:pPr>
        <w:pStyle w:val="BodyText"/>
        <w:tabs>
          <w:tab w:pos="3519" w:val="left" w:leader="none"/>
        </w:tabs>
        <w:spacing w:before="1"/>
        <w:ind w:left="840"/>
      </w:pPr>
      <w:r>
        <w:rPr/>
        <w:t>基金</w:t>
      </w:r>
      <w:r>
        <w:rPr>
          <w:spacing w:val="-3"/>
        </w:rPr>
        <w:t>或</w:t>
      </w:r>
      <w:r>
        <w:rPr/>
        <w:t>本</w:t>
      </w:r>
      <w:r>
        <w:rPr>
          <w:spacing w:val="-3"/>
        </w:rPr>
        <w:t>基</w:t>
      </w:r>
      <w:r>
        <w:rPr/>
        <w:t>金</w:t>
        <w:tab/>
        <w:t>指依</w:t>
      </w:r>
      <w:r>
        <w:rPr>
          <w:spacing w:val="-25"/>
        </w:rPr>
        <w:t>据</w:t>
      </w:r>
      <w:r>
        <w:rPr/>
        <w:t>《</w:t>
      </w:r>
      <w:r>
        <w:rPr>
          <w:spacing w:val="-3"/>
        </w:rPr>
        <w:t>基</w:t>
      </w:r>
      <w:r>
        <w:rPr/>
        <w:t>金</w:t>
      </w:r>
      <w:r>
        <w:rPr>
          <w:spacing w:val="-3"/>
        </w:rPr>
        <w:t>合</w:t>
      </w:r>
      <w:r>
        <w:rPr/>
        <w:t>同</w:t>
      </w:r>
      <w:r>
        <w:rPr>
          <w:spacing w:val="-22"/>
        </w:rPr>
        <w:t>》</w:t>
      </w:r>
      <w:r>
        <w:rPr>
          <w:spacing w:val="-3"/>
        </w:rPr>
        <w:t>所募</w:t>
      </w:r>
      <w:r>
        <w:rPr/>
        <w:t>集的</w:t>
      </w:r>
      <w:r>
        <w:rPr>
          <w:spacing w:val="-3"/>
        </w:rPr>
        <w:t>景</w:t>
      </w:r>
      <w:r>
        <w:rPr/>
        <w:t>顺</w:t>
      </w:r>
      <w:r>
        <w:rPr>
          <w:spacing w:val="-3"/>
        </w:rPr>
        <w:t>长</w:t>
      </w:r>
      <w:r>
        <w:rPr/>
        <w:t>城</w:t>
      </w:r>
      <w:r>
        <w:rPr>
          <w:spacing w:val="-3"/>
        </w:rPr>
        <w:t>新</w:t>
      </w:r>
      <w:r>
        <w:rPr/>
        <w:t>兴</w:t>
      </w:r>
      <w:r>
        <w:rPr>
          <w:spacing w:val="-3"/>
        </w:rPr>
        <w:t>成</w:t>
      </w:r>
      <w:r>
        <w:rPr/>
        <w:t>长</w:t>
      </w:r>
      <w:r>
        <w:rPr>
          <w:spacing w:val="-3"/>
        </w:rPr>
        <w:t>混</w:t>
      </w:r>
      <w:r>
        <w:rPr/>
        <w:t>合型</w:t>
      </w:r>
      <w:r>
        <w:rPr>
          <w:spacing w:val="-3"/>
        </w:rPr>
        <w:t>证</w:t>
      </w:r>
      <w:r>
        <w:rPr/>
        <w:t>券投</w:t>
      </w:r>
    </w:p>
    <w:p>
      <w:pPr>
        <w:pStyle w:val="BodyText"/>
        <w:spacing w:before="6"/>
        <w:rPr>
          <w:sz w:val="15"/>
        </w:rPr>
      </w:pPr>
    </w:p>
    <w:p>
      <w:pPr>
        <w:pStyle w:val="BodyText"/>
        <w:spacing w:line="417" w:lineRule="auto"/>
        <w:ind w:left="3519" w:right="891"/>
      </w:pPr>
      <w:r>
        <w:rPr>
          <w:spacing w:val="-8"/>
        </w:rPr>
        <w:t>资基金，本基金由景顺长城新兴成长股票型证券投资基金变更而来</w:t>
      </w:r>
    </w:p>
    <w:p>
      <w:pPr>
        <w:pStyle w:val="BodyText"/>
        <w:tabs>
          <w:tab w:pos="3519" w:val="left" w:leader="none"/>
        </w:tabs>
        <w:spacing w:line="269" w:lineRule="exact"/>
        <w:ind w:left="840"/>
        <w:jc w:val="both"/>
      </w:pPr>
      <w:r>
        <w:rPr/>
        <w:t>招募</w:t>
      </w:r>
      <w:r>
        <w:rPr>
          <w:spacing w:val="-3"/>
        </w:rPr>
        <w:t>说</w:t>
      </w:r>
      <w:r>
        <w:rPr/>
        <w:t>明书</w:t>
        <w:tab/>
        <w:t>指《景顺长城新兴成</w:t>
      </w:r>
      <w:r>
        <w:rPr>
          <w:spacing w:val="3"/>
        </w:rPr>
        <w:t>长</w:t>
      </w:r>
      <w:r>
        <w:rPr/>
        <w:t>混合型证券投资基金招募说明书</w:t>
      </w:r>
      <w:r>
        <w:rPr>
          <w:spacing w:val="-106"/>
        </w:rPr>
        <w:t>》</w:t>
      </w:r>
      <w:r>
        <w:rPr/>
        <w:t>，即</w:t>
      </w:r>
    </w:p>
    <w:p>
      <w:pPr>
        <w:pStyle w:val="BodyText"/>
        <w:spacing w:before="7"/>
        <w:rPr>
          <w:sz w:val="15"/>
        </w:rPr>
      </w:pPr>
    </w:p>
    <w:p>
      <w:pPr>
        <w:pStyle w:val="BodyText"/>
        <w:spacing w:line="417" w:lineRule="auto" w:before="1"/>
        <w:ind w:left="3519" w:right="848"/>
        <w:jc w:val="both"/>
      </w:pPr>
      <w:r>
        <w:rPr>
          <w:spacing w:val="-6"/>
        </w:rPr>
        <w:t>用于公开披露本基金管理人及托管人、相关服务机构、基金的</w:t>
      </w:r>
      <w:r>
        <w:rPr>
          <w:spacing w:val="-8"/>
        </w:rPr>
        <w:t>募集、基金合同的生效、基金份额的交易、基金份额的申购和</w:t>
      </w:r>
      <w:r>
        <w:rPr>
          <w:spacing w:val="-9"/>
        </w:rPr>
        <w:t>赎回、基金的投资、基金的业绩、基金的财产、基金资产的估</w:t>
      </w:r>
      <w:r>
        <w:rPr>
          <w:spacing w:val="-5"/>
        </w:rPr>
        <w:t>值、基金收益与分配、基金的费用与税收、基金的信息披露、</w:t>
      </w:r>
      <w:r>
        <w:rPr>
          <w:spacing w:val="-8"/>
        </w:rPr>
        <w:t>风险揭示、基金的终止与清算、基金合同的内容摘要、基金托</w:t>
      </w:r>
      <w:r>
        <w:rPr>
          <w:spacing w:val="-9"/>
        </w:rPr>
        <w:t>管协议的内容摘要、对基金份额持有人的服务、其他应披露事项、招募说明书的存放及查阅方式、备查文件等涉及本基金的</w:t>
      </w:r>
      <w:r>
        <w:rPr>
          <w:spacing w:val="-10"/>
        </w:rPr>
        <w:t>信息，供基金投资者选择并决定是否提出基金认购或申购申请</w:t>
      </w:r>
      <w:r>
        <w:rPr>
          <w:spacing w:val="-5"/>
        </w:rPr>
        <w:t>的要约邀请文件，及其更新</w:t>
      </w:r>
    </w:p>
    <w:p>
      <w:pPr>
        <w:spacing w:after="0" w:line="417" w:lineRule="auto"/>
        <w:jc w:val="both"/>
        <w:sectPr>
          <w:pgSz w:w="11910" w:h="16840"/>
          <w:pgMar w:header="877" w:footer="995" w:top="1100" w:bottom="1180" w:left="960" w:right="900"/>
        </w:sectPr>
      </w:pPr>
    </w:p>
    <w:p>
      <w:pPr>
        <w:pStyle w:val="BodyText"/>
        <w:spacing w:before="4"/>
        <w:rPr>
          <w:sz w:val="27"/>
        </w:rPr>
      </w:pPr>
    </w:p>
    <w:p>
      <w:pPr>
        <w:pStyle w:val="BodyText"/>
        <w:tabs>
          <w:tab w:pos="3519" w:val="left" w:leader="none"/>
        </w:tabs>
        <w:spacing w:before="71"/>
        <w:ind w:left="840"/>
      </w:pPr>
      <w:r>
        <w:rPr/>
        <w:t>基金</w:t>
      </w:r>
      <w:r>
        <w:rPr>
          <w:spacing w:val="-3"/>
        </w:rPr>
        <w:t>产</w:t>
      </w:r>
      <w:r>
        <w:rPr/>
        <w:t>品</w:t>
      </w:r>
      <w:r>
        <w:rPr>
          <w:spacing w:val="-3"/>
        </w:rPr>
        <w:t>资</w:t>
      </w:r>
      <w:r>
        <w:rPr/>
        <w:t>料</w:t>
      </w:r>
      <w:r>
        <w:rPr>
          <w:spacing w:val="-3"/>
        </w:rPr>
        <w:t>概</w:t>
      </w:r>
      <w:r>
        <w:rPr/>
        <w:t>要</w:t>
        <w:tab/>
      </w:r>
      <w:r>
        <w:rPr>
          <w:spacing w:val="-22"/>
        </w:rPr>
        <w:t>指</w:t>
      </w:r>
      <w:r>
        <w:rPr/>
        <w:t>《</w:t>
      </w:r>
      <w:r>
        <w:rPr>
          <w:spacing w:val="-3"/>
        </w:rPr>
        <w:t>景</w:t>
      </w:r>
      <w:r>
        <w:rPr/>
        <w:t>顺</w:t>
      </w:r>
      <w:r>
        <w:rPr>
          <w:spacing w:val="-3"/>
        </w:rPr>
        <w:t>长</w:t>
      </w:r>
      <w:r>
        <w:rPr/>
        <w:t>城</w:t>
      </w:r>
      <w:r>
        <w:rPr>
          <w:spacing w:val="-3"/>
        </w:rPr>
        <w:t>新</w:t>
      </w:r>
      <w:r>
        <w:rPr/>
        <w:t>兴</w:t>
      </w:r>
      <w:r>
        <w:rPr>
          <w:spacing w:val="-3"/>
        </w:rPr>
        <w:t>成</w:t>
      </w:r>
      <w:r>
        <w:rPr/>
        <w:t>长</w:t>
      </w:r>
      <w:r>
        <w:rPr>
          <w:spacing w:val="-3"/>
        </w:rPr>
        <w:t>混</w:t>
      </w:r>
      <w:r>
        <w:rPr/>
        <w:t>合型</w:t>
      </w:r>
      <w:r>
        <w:rPr>
          <w:spacing w:val="-3"/>
        </w:rPr>
        <w:t>证</w:t>
      </w:r>
      <w:r>
        <w:rPr/>
        <w:t>券</w:t>
      </w:r>
      <w:r>
        <w:rPr>
          <w:spacing w:val="-3"/>
        </w:rPr>
        <w:t>投</w:t>
      </w:r>
      <w:r>
        <w:rPr/>
        <w:t>资</w:t>
      </w:r>
      <w:r>
        <w:rPr>
          <w:spacing w:val="-3"/>
        </w:rPr>
        <w:t>基</w:t>
      </w:r>
      <w:r>
        <w:rPr/>
        <w:t>金</w:t>
      </w:r>
      <w:r>
        <w:rPr>
          <w:spacing w:val="-3"/>
        </w:rPr>
        <w:t>产</w:t>
      </w:r>
      <w:r>
        <w:rPr/>
        <w:t>品</w:t>
      </w:r>
      <w:r>
        <w:rPr>
          <w:spacing w:val="-3"/>
        </w:rPr>
        <w:t>资</w:t>
      </w:r>
      <w:r>
        <w:rPr/>
        <w:t>料概</w:t>
      </w:r>
      <w:r>
        <w:rPr>
          <w:spacing w:val="-3"/>
        </w:rPr>
        <w:t>要</w:t>
      </w:r>
      <w:r>
        <w:rPr>
          <w:spacing w:val="-22"/>
        </w:rPr>
        <w:t>》</w:t>
      </w:r>
      <w:r>
        <w:rPr/>
        <w:t>及</w:t>
      </w:r>
    </w:p>
    <w:p>
      <w:pPr>
        <w:pStyle w:val="BodyText"/>
        <w:spacing w:before="7"/>
        <w:rPr>
          <w:sz w:val="15"/>
        </w:rPr>
      </w:pPr>
    </w:p>
    <w:p>
      <w:pPr>
        <w:pStyle w:val="BodyText"/>
        <w:ind w:left="3519"/>
      </w:pPr>
      <w:r>
        <w:rPr/>
        <w:t>其更新</w:t>
      </w:r>
    </w:p>
    <w:p>
      <w:pPr>
        <w:pStyle w:val="BodyText"/>
        <w:spacing w:before="7"/>
        <w:rPr>
          <w:sz w:val="15"/>
        </w:rPr>
      </w:pPr>
    </w:p>
    <w:p>
      <w:pPr>
        <w:pStyle w:val="BodyText"/>
        <w:tabs>
          <w:tab w:pos="3519" w:val="left" w:leader="none"/>
        </w:tabs>
        <w:spacing w:line="417" w:lineRule="auto"/>
        <w:ind w:left="3519" w:right="891" w:hanging="2679"/>
      </w:pPr>
      <w:r>
        <w:rPr/>
        <w:t>发售</w:t>
      </w:r>
      <w:r>
        <w:rPr>
          <w:spacing w:val="-3"/>
        </w:rPr>
        <w:t>公</w:t>
      </w:r>
      <w:r>
        <w:rPr/>
        <w:t>告</w:t>
        <w:tab/>
        <w:t>指本</w:t>
      </w:r>
      <w:r>
        <w:rPr>
          <w:spacing w:val="-3"/>
        </w:rPr>
        <w:t>基</w:t>
      </w:r>
      <w:r>
        <w:rPr/>
        <w:t>金</w:t>
      </w:r>
      <w:r>
        <w:rPr>
          <w:spacing w:val="-3"/>
        </w:rPr>
        <w:t>根</w:t>
      </w:r>
      <w:r>
        <w:rPr>
          <w:spacing w:val="-15"/>
        </w:rPr>
        <w:t>据</w:t>
      </w:r>
      <w:r>
        <w:rPr>
          <w:spacing w:val="-3"/>
        </w:rPr>
        <w:t>《</w:t>
      </w:r>
      <w:r>
        <w:rPr/>
        <w:t>运</w:t>
      </w:r>
      <w:r>
        <w:rPr>
          <w:spacing w:val="-3"/>
        </w:rPr>
        <w:t>作</w:t>
      </w:r>
      <w:r>
        <w:rPr/>
        <w:t>办</w:t>
      </w:r>
      <w:r>
        <w:rPr>
          <w:spacing w:val="-3"/>
        </w:rPr>
        <w:t>法</w:t>
      </w:r>
      <w:r>
        <w:rPr>
          <w:spacing w:val="-15"/>
        </w:rPr>
        <w:t>》</w:t>
      </w:r>
      <w:r>
        <w:rPr/>
        <w:t>变</w:t>
      </w:r>
      <w:r>
        <w:rPr>
          <w:spacing w:val="-3"/>
        </w:rPr>
        <w:t>更</w:t>
      </w:r>
      <w:r>
        <w:rPr/>
        <w:t>为</w:t>
      </w:r>
      <w:r>
        <w:rPr>
          <w:spacing w:val="-3"/>
        </w:rPr>
        <w:t>混</w:t>
      </w:r>
      <w:r>
        <w:rPr/>
        <w:t>合</w:t>
      </w:r>
      <w:r>
        <w:rPr>
          <w:spacing w:val="-3"/>
        </w:rPr>
        <w:t>基</w:t>
      </w:r>
      <w:r>
        <w:rPr/>
        <w:t>金</w:t>
      </w:r>
      <w:r>
        <w:rPr>
          <w:spacing w:val="-3"/>
        </w:rPr>
        <w:t>前</w:t>
      </w:r>
      <w:r>
        <w:rPr>
          <w:spacing w:val="-15"/>
        </w:rPr>
        <w:t>的</w:t>
      </w:r>
      <w:r>
        <w:rPr/>
        <w:t>《景顺</w:t>
      </w:r>
      <w:r>
        <w:rPr>
          <w:spacing w:val="-3"/>
        </w:rPr>
        <w:t>长</w:t>
      </w:r>
      <w:r>
        <w:rPr/>
        <w:t>城新兴成</w:t>
      </w:r>
      <w:r>
        <w:rPr>
          <w:spacing w:val="-3"/>
        </w:rPr>
        <w:t>长</w:t>
      </w:r>
      <w:r>
        <w:rPr/>
        <w:t>股</w:t>
      </w:r>
      <w:r>
        <w:rPr>
          <w:spacing w:val="-3"/>
        </w:rPr>
        <w:t>票</w:t>
      </w:r>
      <w:r>
        <w:rPr/>
        <w:t>型</w:t>
      </w:r>
      <w:r>
        <w:rPr>
          <w:spacing w:val="-3"/>
        </w:rPr>
        <w:t>证</w:t>
      </w:r>
      <w:r>
        <w:rPr/>
        <w:t>券</w:t>
      </w:r>
      <w:r>
        <w:rPr>
          <w:spacing w:val="-3"/>
        </w:rPr>
        <w:t>投</w:t>
      </w:r>
      <w:r>
        <w:rPr/>
        <w:t>资</w:t>
      </w:r>
      <w:r>
        <w:rPr>
          <w:spacing w:val="-3"/>
        </w:rPr>
        <w:t>基</w:t>
      </w:r>
      <w:r>
        <w:rPr/>
        <w:t>金份</w:t>
      </w:r>
      <w:r>
        <w:rPr>
          <w:spacing w:val="-3"/>
        </w:rPr>
        <w:t>额</w:t>
      </w:r>
      <w:r>
        <w:rPr/>
        <w:t>发</w:t>
      </w:r>
      <w:r>
        <w:rPr>
          <w:spacing w:val="-3"/>
        </w:rPr>
        <w:t>售</w:t>
      </w:r>
      <w:r>
        <w:rPr/>
        <w:t>公</w:t>
      </w:r>
      <w:r>
        <w:rPr>
          <w:spacing w:val="-3"/>
        </w:rPr>
        <w:t>告</w:t>
      </w:r>
      <w:r>
        <w:rPr/>
        <w:t>》</w:t>
      </w:r>
    </w:p>
    <w:p>
      <w:pPr>
        <w:pStyle w:val="BodyText"/>
        <w:tabs>
          <w:tab w:pos="3519" w:val="left" w:leader="none"/>
        </w:tabs>
        <w:spacing w:line="417" w:lineRule="auto"/>
        <w:ind w:left="3519" w:right="900" w:hanging="2679"/>
      </w:pPr>
      <w:r>
        <w:rPr/>
        <w:t>业务</w:t>
      </w:r>
      <w:r>
        <w:rPr>
          <w:spacing w:val="-3"/>
        </w:rPr>
        <w:t>规</w:t>
      </w:r>
      <w:r>
        <w:rPr/>
        <w:t>则</w:t>
        <w:tab/>
      </w:r>
      <w:r>
        <w:rPr>
          <w:spacing w:val="7"/>
        </w:rPr>
        <w:t>指</w:t>
      </w:r>
      <w:r>
        <w:rPr>
          <w:spacing w:val="4"/>
        </w:rPr>
        <w:t>《景</w:t>
      </w:r>
      <w:r>
        <w:rPr>
          <w:spacing w:val="6"/>
        </w:rPr>
        <w:t>顺</w:t>
      </w:r>
      <w:r>
        <w:rPr>
          <w:spacing w:val="4"/>
        </w:rPr>
        <w:t>长</w:t>
      </w:r>
      <w:r>
        <w:rPr>
          <w:spacing w:val="5"/>
        </w:rPr>
        <w:t>城</w:t>
      </w:r>
      <w:r>
        <w:rPr>
          <w:spacing w:val="4"/>
        </w:rPr>
        <w:t>基</w:t>
      </w:r>
      <w:r>
        <w:rPr>
          <w:spacing w:val="6"/>
        </w:rPr>
        <w:t>金</w:t>
      </w:r>
      <w:r>
        <w:rPr>
          <w:spacing w:val="4"/>
        </w:rPr>
        <w:t>管理有</w:t>
      </w:r>
      <w:r>
        <w:rPr>
          <w:spacing w:val="6"/>
        </w:rPr>
        <w:t>限</w:t>
      </w:r>
      <w:r>
        <w:rPr>
          <w:spacing w:val="4"/>
        </w:rPr>
        <w:t>公司</w:t>
      </w:r>
      <w:r>
        <w:rPr>
          <w:spacing w:val="6"/>
        </w:rPr>
        <w:t>开</w:t>
      </w:r>
      <w:r>
        <w:rPr>
          <w:spacing w:val="4"/>
        </w:rPr>
        <w:t>放式基</w:t>
      </w:r>
      <w:r>
        <w:rPr>
          <w:spacing w:val="6"/>
        </w:rPr>
        <w:t>金</w:t>
      </w:r>
      <w:r>
        <w:rPr>
          <w:spacing w:val="4"/>
        </w:rPr>
        <w:t>注册登</w:t>
      </w:r>
      <w:r>
        <w:rPr>
          <w:spacing w:val="6"/>
        </w:rPr>
        <w:t>记</w:t>
      </w:r>
      <w:r>
        <w:rPr>
          <w:spacing w:val="4"/>
        </w:rPr>
        <w:t>业务</w:t>
      </w:r>
      <w:r>
        <w:rPr/>
        <w:t>规则》</w:t>
      </w:r>
    </w:p>
    <w:p>
      <w:pPr>
        <w:pStyle w:val="BodyText"/>
        <w:tabs>
          <w:tab w:pos="3519" w:val="left" w:leader="none"/>
        </w:tabs>
        <w:spacing w:line="269" w:lineRule="exact"/>
        <w:ind w:left="840"/>
      </w:pPr>
      <w:r>
        <w:rPr/>
        <w:t>中国</w:t>
      </w:r>
      <w:r>
        <w:rPr>
          <w:spacing w:val="-3"/>
        </w:rPr>
        <w:t>证</w:t>
      </w:r>
      <w:r>
        <w:rPr/>
        <w:t>监会</w:t>
        <w:tab/>
        <w:t>指中</w:t>
      </w:r>
      <w:r>
        <w:rPr>
          <w:spacing w:val="-3"/>
        </w:rPr>
        <w:t>国</w:t>
      </w:r>
      <w:r>
        <w:rPr/>
        <w:t>证</w:t>
      </w:r>
      <w:r>
        <w:rPr>
          <w:spacing w:val="-3"/>
        </w:rPr>
        <w:t>券</w:t>
      </w:r>
      <w:r>
        <w:rPr/>
        <w:t>监</w:t>
      </w:r>
      <w:r>
        <w:rPr>
          <w:spacing w:val="-3"/>
        </w:rPr>
        <w:t>督</w:t>
      </w:r>
      <w:r>
        <w:rPr/>
        <w:t>管</w:t>
      </w:r>
      <w:r>
        <w:rPr>
          <w:spacing w:val="-3"/>
        </w:rPr>
        <w:t>理</w:t>
      </w:r>
      <w:r>
        <w:rPr/>
        <w:t>委</w:t>
      </w:r>
      <w:r>
        <w:rPr>
          <w:spacing w:val="-3"/>
        </w:rPr>
        <w:t>员</w:t>
      </w:r>
      <w:r>
        <w:rPr/>
        <w:t>会</w:t>
      </w:r>
    </w:p>
    <w:p>
      <w:pPr>
        <w:pStyle w:val="BodyText"/>
        <w:spacing w:before="7"/>
        <w:rPr>
          <w:sz w:val="15"/>
        </w:rPr>
      </w:pPr>
    </w:p>
    <w:p>
      <w:pPr>
        <w:pStyle w:val="BodyText"/>
        <w:tabs>
          <w:tab w:pos="3519" w:val="left" w:leader="none"/>
        </w:tabs>
        <w:spacing w:line="417" w:lineRule="auto"/>
        <w:ind w:left="840" w:right="1268"/>
      </w:pPr>
      <w:r>
        <w:rPr/>
        <w:t>银行</w:t>
      </w:r>
      <w:r>
        <w:rPr>
          <w:spacing w:val="-3"/>
        </w:rPr>
        <w:t>监</w:t>
      </w:r>
      <w:r>
        <w:rPr/>
        <w:t>管</w:t>
      </w:r>
      <w:r>
        <w:rPr>
          <w:spacing w:val="-3"/>
        </w:rPr>
        <w:t>机</w:t>
      </w:r>
      <w:r>
        <w:rPr/>
        <w:t>构</w:t>
        <w:tab/>
        <w:t>指中</w:t>
      </w:r>
      <w:r>
        <w:rPr>
          <w:spacing w:val="-3"/>
        </w:rPr>
        <w:t>国</w:t>
      </w:r>
      <w:r>
        <w:rPr/>
        <w:t>银</w:t>
      </w:r>
      <w:r>
        <w:rPr>
          <w:spacing w:val="-3"/>
        </w:rPr>
        <w:t>行</w:t>
      </w:r>
      <w:r>
        <w:rPr/>
        <w:t>业</w:t>
      </w:r>
      <w:r>
        <w:rPr>
          <w:spacing w:val="-3"/>
        </w:rPr>
        <w:t>监</w:t>
      </w:r>
      <w:r>
        <w:rPr/>
        <w:t>督</w:t>
      </w:r>
      <w:r>
        <w:rPr>
          <w:spacing w:val="-3"/>
        </w:rPr>
        <w:t>管</w:t>
      </w:r>
      <w:r>
        <w:rPr/>
        <w:t>理</w:t>
      </w:r>
      <w:r>
        <w:rPr>
          <w:spacing w:val="-3"/>
        </w:rPr>
        <w:t>委</w:t>
      </w:r>
      <w:r>
        <w:rPr/>
        <w:t>员会</w:t>
      </w:r>
      <w:r>
        <w:rPr>
          <w:spacing w:val="-3"/>
        </w:rPr>
        <w:t>或</w:t>
      </w:r>
      <w:r>
        <w:rPr/>
        <w:t>其</w:t>
      </w:r>
      <w:r>
        <w:rPr>
          <w:spacing w:val="-3"/>
        </w:rPr>
        <w:t>他</w:t>
      </w:r>
      <w:r>
        <w:rPr/>
        <w:t>经</w:t>
      </w:r>
      <w:r>
        <w:rPr>
          <w:spacing w:val="-3"/>
        </w:rPr>
        <w:t>国</w:t>
      </w:r>
      <w:r>
        <w:rPr/>
        <w:t>务</w:t>
      </w:r>
      <w:r>
        <w:rPr>
          <w:spacing w:val="-3"/>
        </w:rPr>
        <w:t>院</w:t>
      </w:r>
      <w:r>
        <w:rPr/>
        <w:t>授</w:t>
      </w:r>
      <w:r>
        <w:rPr>
          <w:spacing w:val="-3"/>
        </w:rPr>
        <w:t>权</w:t>
      </w:r>
      <w:r>
        <w:rPr/>
        <w:t>的机</w:t>
      </w:r>
      <w:r>
        <w:rPr>
          <w:spacing w:val="-11"/>
        </w:rPr>
        <w:t>构</w:t>
      </w:r>
      <w:r>
        <w:rPr/>
        <w:t>基金</w:t>
      </w:r>
      <w:r>
        <w:rPr>
          <w:spacing w:val="-3"/>
        </w:rPr>
        <w:t>管</w:t>
      </w:r>
      <w:r>
        <w:rPr/>
        <w:t>理人</w:t>
        <w:tab/>
        <w:t>指景</w:t>
      </w:r>
      <w:r>
        <w:rPr>
          <w:spacing w:val="-3"/>
        </w:rPr>
        <w:t>顺</w:t>
      </w:r>
      <w:r>
        <w:rPr/>
        <w:t>长</w:t>
      </w:r>
      <w:r>
        <w:rPr>
          <w:spacing w:val="-3"/>
        </w:rPr>
        <w:t>城</w:t>
      </w:r>
      <w:r>
        <w:rPr/>
        <w:t>基</w:t>
      </w:r>
      <w:r>
        <w:rPr>
          <w:spacing w:val="-3"/>
        </w:rPr>
        <w:t>金</w:t>
      </w:r>
      <w:r>
        <w:rPr/>
        <w:t>管</w:t>
      </w:r>
      <w:r>
        <w:rPr>
          <w:spacing w:val="-3"/>
        </w:rPr>
        <w:t>理</w:t>
      </w:r>
      <w:r>
        <w:rPr/>
        <w:t>有</w:t>
      </w:r>
      <w:r>
        <w:rPr>
          <w:spacing w:val="-3"/>
        </w:rPr>
        <w:t>限</w:t>
      </w:r>
      <w:r>
        <w:rPr/>
        <w:t>公司</w:t>
      </w:r>
    </w:p>
    <w:p>
      <w:pPr>
        <w:pStyle w:val="BodyText"/>
        <w:tabs>
          <w:tab w:pos="3519" w:val="left" w:leader="none"/>
        </w:tabs>
        <w:spacing w:line="269" w:lineRule="exact"/>
        <w:ind w:left="840"/>
      </w:pPr>
      <w:r>
        <w:rPr/>
        <w:t>基金</w:t>
      </w:r>
      <w:r>
        <w:rPr>
          <w:spacing w:val="-3"/>
        </w:rPr>
        <w:t>托</w:t>
      </w:r>
      <w:r>
        <w:rPr/>
        <w:t>管人</w:t>
        <w:tab/>
        <w:t>指中</w:t>
      </w:r>
      <w:r>
        <w:rPr>
          <w:spacing w:val="-3"/>
        </w:rPr>
        <w:t>国</w:t>
      </w:r>
      <w:r>
        <w:rPr/>
        <w:t>工</w:t>
      </w:r>
      <w:r>
        <w:rPr>
          <w:spacing w:val="-3"/>
        </w:rPr>
        <w:t>商</w:t>
      </w:r>
      <w:r>
        <w:rPr/>
        <w:t>银</w:t>
      </w:r>
      <w:r>
        <w:rPr>
          <w:spacing w:val="-3"/>
        </w:rPr>
        <w:t>行</w:t>
      </w:r>
      <w:r>
        <w:rPr/>
        <w:t>股</w:t>
      </w:r>
      <w:r>
        <w:rPr>
          <w:spacing w:val="-3"/>
        </w:rPr>
        <w:t>份</w:t>
      </w:r>
      <w:r>
        <w:rPr/>
        <w:t>有</w:t>
      </w:r>
      <w:r>
        <w:rPr>
          <w:spacing w:val="-3"/>
        </w:rPr>
        <w:t>限</w:t>
      </w:r>
      <w:r>
        <w:rPr/>
        <w:t>公司</w:t>
      </w:r>
    </w:p>
    <w:p>
      <w:pPr>
        <w:pStyle w:val="BodyText"/>
        <w:spacing w:before="6"/>
        <w:rPr>
          <w:sz w:val="15"/>
        </w:rPr>
      </w:pPr>
    </w:p>
    <w:p>
      <w:pPr>
        <w:pStyle w:val="BodyText"/>
        <w:tabs>
          <w:tab w:pos="3519" w:val="left" w:leader="none"/>
        </w:tabs>
        <w:spacing w:before="1"/>
        <w:ind w:left="840"/>
      </w:pPr>
      <w:r>
        <w:rPr/>
        <w:t>基金</w:t>
      </w:r>
      <w:r>
        <w:rPr>
          <w:spacing w:val="-3"/>
        </w:rPr>
        <w:t>份</w:t>
      </w:r>
      <w:r>
        <w:rPr/>
        <w:t>额</w:t>
      </w:r>
      <w:r>
        <w:rPr>
          <w:spacing w:val="-3"/>
        </w:rPr>
        <w:t>持</w:t>
      </w:r>
      <w:r>
        <w:rPr/>
        <w:t>有人</w:t>
        <w:tab/>
        <w:t>指根</w:t>
      </w:r>
      <w:r>
        <w:rPr>
          <w:spacing w:val="-25"/>
        </w:rPr>
        <w:t>据</w:t>
      </w:r>
      <w:r>
        <w:rPr/>
        <w:t>《</w:t>
      </w:r>
      <w:r>
        <w:rPr>
          <w:spacing w:val="-3"/>
        </w:rPr>
        <w:t>基</w:t>
      </w:r>
      <w:r>
        <w:rPr/>
        <w:t>金</w:t>
      </w:r>
      <w:r>
        <w:rPr>
          <w:spacing w:val="-3"/>
        </w:rPr>
        <w:t>合</w:t>
      </w:r>
      <w:r>
        <w:rPr/>
        <w:t>同</w:t>
      </w:r>
      <w:r>
        <w:rPr>
          <w:spacing w:val="-22"/>
        </w:rPr>
        <w:t>》</w:t>
      </w:r>
      <w:r>
        <w:rPr>
          <w:spacing w:val="-3"/>
        </w:rPr>
        <w:t>及相</w:t>
      </w:r>
      <w:r>
        <w:rPr/>
        <w:t>关文</w:t>
      </w:r>
      <w:r>
        <w:rPr>
          <w:spacing w:val="-3"/>
        </w:rPr>
        <w:t>件</w:t>
      </w:r>
      <w:r>
        <w:rPr/>
        <w:t>合</w:t>
      </w:r>
      <w:r>
        <w:rPr>
          <w:spacing w:val="-3"/>
        </w:rPr>
        <w:t>法</w:t>
      </w:r>
      <w:r>
        <w:rPr/>
        <w:t>取</w:t>
      </w:r>
      <w:r>
        <w:rPr>
          <w:spacing w:val="-3"/>
        </w:rPr>
        <w:t>得</w:t>
      </w:r>
      <w:r>
        <w:rPr/>
        <w:t>本</w:t>
      </w:r>
      <w:r>
        <w:rPr>
          <w:spacing w:val="-3"/>
        </w:rPr>
        <w:t>基</w:t>
      </w:r>
      <w:r>
        <w:rPr/>
        <w:t>金</w:t>
      </w:r>
      <w:r>
        <w:rPr>
          <w:spacing w:val="-3"/>
        </w:rPr>
        <w:t>基</w:t>
      </w:r>
      <w:r>
        <w:rPr/>
        <w:t>金份</w:t>
      </w:r>
      <w:r>
        <w:rPr>
          <w:spacing w:val="-3"/>
        </w:rPr>
        <w:t>额</w:t>
      </w:r>
      <w:r>
        <w:rPr/>
        <w:t>的投</w:t>
      </w:r>
    </w:p>
    <w:p>
      <w:pPr>
        <w:pStyle w:val="BodyText"/>
        <w:spacing w:before="6"/>
        <w:rPr>
          <w:sz w:val="15"/>
        </w:rPr>
      </w:pPr>
    </w:p>
    <w:p>
      <w:pPr>
        <w:pStyle w:val="BodyText"/>
        <w:ind w:left="3519"/>
      </w:pPr>
      <w:r>
        <w:rPr/>
        <w:t>资者</w:t>
      </w:r>
    </w:p>
    <w:p>
      <w:pPr>
        <w:pStyle w:val="BodyText"/>
        <w:spacing w:before="7"/>
        <w:rPr>
          <w:sz w:val="15"/>
        </w:rPr>
      </w:pPr>
    </w:p>
    <w:p>
      <w:pPr>
        <w:pStyle w:val="BodyText"/>
        <w:tabs>
          <w:tab w:pos="3519" w:val="left" w:leader="none"/>
        </w:tabs>
        <w:spacing w:line="417" w:lineRule="auto"/>
        <w:ind w:left="3519" w:right="848" w:hanging="2679"/>
      </w:pPr>
      <w:r>
        <w:rPr/>
        <w:t>基金</w:t>
      </w:r>
      <w:r>
        <w:rPr>
          <w:spacing w:val="-3"/>
        </w:rPr>
        <w:t>代</w:t>
      </w:r>
      <w:r>
        <w:rPr/>
        <w:t>销</w:t>
      </w:r>
      <w:r>
        <w:rPr>
          <w:spacing w:val="-3"/>
        </w:rPr>
        <w:t>机</w:t>
      </w:r>
      <w:r>
        <w:rPr/>
        <w:t>构</w:t>
        <w:tab/>
        <w:t>指依</w:t>
      </w:r>
      <w:r>
        <w:rPr>
          <w:spacing w:val="-3"/>
        </w:rPr>
        <w:t>据</w:t>
      </w:r>
      <w:r>
        <w:rPr/>
        <w:t>有</w:t>
      </w:r>
      <w:r>
        <w:rPr>
          <w:spacing w:val="-3"/>
        </w:rPr>
        <w:t>关</w:t>
      </w:r>
      <w:r>
        <w:rPr/>
        <w:t>基</w:t>
      </w:r>
      <w:r>
        <w:rPr>
          <w:spacing w:val="-3"/>
        </w:rPr>
        <w:t>金</w:t>
      </w:r>
      <w:r>
        <w:rPr/>
        <w:t>销</w:t>
      </w:r>
      <w:r>
        <w:rPr>
          <w:spacing w:val="-3"/>
        </w:rPr>
        <w:t>售</w:t>
      </w:r>
      <w:r>
        <w:rPr/>
        <w:t>与</w:t>
      </w:r>
      <w:r>
        <w:rPr>
          <w:spacing w:val="-3"/>
        </w:rPr>
        <w:t>服</w:t>
      </w:r>
      <w:r>
        <w:rPr/>
        <w:t>务代</w:t>
      </w:r>
      <w:r>
        <w:rPr>
          <w:spacing w:val="-3"/>
        </w:rPr>
        <w:t>理</w:t>
      </w:r>
      <w:r>
        <w:rPr/>
        <w:t>协</w:t>
      </w:r>
      <w:r>
        <w:rPr>
          <w:spacing w:val="-3"/>
        </w:rPr>
        <w:t>议</w:t>
      </w:r>
      <w:r>
        <w:rPr/>
        <w:t>办</w:t>
      </w:r>
      <w:r>
        <w:rPr>
          <w:spacing w:val="-3"/>
        </w:rPr>
        <w:t>理</w:t>
      </w:r>
      <w:r>
        <w:rPr/>
        <w:t>本</w:t>
      </w:r>
      <w:r>
        <w:rPr>
          <w:spacing w:val="-3"/>
        </w:rPr>
        <w:t>基</w:t>
      </w:r>
      <w:r>
        <w:rPr/>
        <w:t>金</w:t>
      </w:r>
      <w:r>
        <w:rPr>
          <w:spacing w:val="-3"/>
        </w:rPr>
        <w:t>发</w:t>
      </w:r>
      <w:r>
        <w:rPr/>
        <w:t>售、</w:t>
      </w:r>
      <w:r>
        <w:rPr>
          <w:spacing w:val="-3"/>
        </w:rPr>
        <w:t>申</w:t>
      </w:r>
      <w:r>
        <w:rPr/>
        <w:t>购、赎回</w:t>
      </w:r>
      <w:r>
        <w:rPr>
          <w:spacing w:val="-3"/>
        </w:rPr>
        <w:t>和</w:t>
      </w:r>
      <w:r>
        <w:rPr/>
        <w:t>其</w:t>
      </w:r>
      <w:r>
        <w:rPr>
          <w:spacing w:val="-3"/>
        </w:rPr>
        <w:t>他</w:t>
      </w:r>
      <w:r>
        <w:rPr/>
        <w:t>基</w:t>
      </w:r>
      <w:r>
        <w:rPr>
          <w:spacing w:val="-3"/>
        </w:rPr>
        <w:t>金</w:t>
      </w:r>
      <w:r>
        <w:rPr/>
        <w:t>业</w:t>
      </w:r>
      <w:r>
        <w:rPr>
          <w:spacing w:val="-3"/>
        </w:rPr>
        <w:t>务</w:t>
      </w:r>
      <w:r>
        <w:rPr/>
        <w:t>的</w:t>
      </w:r>
      <w:r>
        <w:rPr>
          <w:spacing w:val="-3"/>
        </w:rPr>
        <w:t>代</w:t>
      </w:r>
      <w:r>
        <w:rPr/>
        <w:t>理机构</w:t>
      </w:r>
    </w:p>
    <w:p>
      <w:pPr>
        <w:pStyle w:val="BodyText"/>
        <w:tabs>
          <w:tab w:pos="3519" w:val="left" w:leader="none"/>
        </w:tabs>
        <w:ind w:left="840"/>
      </w:pPr>
      <w:r>
        <w:rPr/>
        <w:t>销售</w:t>
      </w:r>
      <w:r>
        <w:rPr>
          <w:spacing w:val="-3"/>
        </w:rPr>
        <w:t>机</w:t>
      </w:r>
      <w:r>
        <w:rPr/>
        <w:t>构</w:t>
        <w:tab/>
        <w:t>指基</w:t>
      </w:r>
      <w:r>
        <w:rPr>
          <w:spacing w:val="-3"/>
        </w:rPr>
        <w:t>金</w:t>
      </w:r>
      <w:r>
        <w:rPr/>
        <w:t>管</w:t>
      </w:r>
      <w:r>
        <w:rPr>
          <w:spacing w:val="-3"/>
        </w:rPr>
        <w:t>理</w:t>
      </w:r>
      <w:r>
        <w:rPr/>
        <w:t>人</w:t>
      </w:r>
      <w:r>
        <w:rPr>
          <w:spacing w:val="-3"/>
        </w:rPr>
        <w:t>及</w:t>
      </w:r>
      <w:r>
        <w:rPr/>
        <w:t>基</w:t>
      </w:r>
      <w:r>
        <w:rPr>
          <w:spacing w:val="-3"/>
        </w:rPr>
        <w:t>金</w:t>
      </w:r>
      <w:r>
        <w:rPr/>
        <w:t>代</w:t>
      </w:r>
      <w:r>
        <w:rPr>
          <w:spacing w:val="-3"/>
        </w:rPr>
        <w:t>销</w:t>
      </w:r>
      <w:r>
        <w:rPr/>
        <w:t>机构</w:t>
      </w:r>
    </w:p>
    <w:p>
      <w:pPr>
        <w:pStyle w:val="BodyText"/>
        <w:spacing w:before="7"/>
        <w:rPr>
          <w:sz w:val="15"/>
        </w:rPr>
      </w:pPr>
    </w:p>
    <w:p>
      <w:pPr>
        <w:pStyle w:val="BodyText"/>
        <w:tabs>
          <w:tab w:pos="3519" w:val="left" w:leader="none"/>
        </w:tabs>
        <w:ind w:left="840"/>
      </w:pPr>
      <w:r>
        <w:rPr/>
        <w:t>基金</w:t>
      </w:r>
      <w:r>
        <w:rPr>
          <w:spacing w:val="-3"/>
        </w:rPr>
        <w:t>销</w:t>
      </w:r>
      <w:r>
        <w:rPr/>
        <w:t>售</w:t>
      </w:r>
      <w:r>
        <w:rPr>
          <w:spacing w:val="-3"/>
        </w:rPr>
        <w:t>网</w:t>
      </w:r>
      <w:r>
        <w:rPr/>
        <w:t>点</w:t>
        <w:tab/>
        <w:t>指基</w:t>
      </w:r>
      <w:r>
        <w:rPr>
          <w:spacing w:val="-3"/>
        </w:rPr>
        <w:t>金</w:t>
      </w:r>
      <w:r>
        <w:rPr/>
        <w:t>管</w:t>
      </w:r>
      <w:r>
        <w:rPr>
          <w:spacing w:val="-3"/>
        </w:rPr>
        <w:t>理</w:t>
      </w:r>
      <w:r>
        <w:rPr/>
        <w:t>人</w:t>
      </w:r>
      <w:r>
        <w:rPr>
          <w:spacing w:val="-3"/>
        </w:rPr>
        <w:t>的</w:t>
      </w:r>
      <w:r>
        <w:rPr/>
        <w:t>直</w:t>
      </w:r>
      <w:r>
        <w:rPr>
          <w:spacing w:val="-3"/>
        </w:rPr>
        <w:t>销</w:t>
      </w:r>
      <w:r>
        <w:rPr/>
        <w:t>网</w:t>
      </w:r>
      <w:r>
        <w:rPr>
          <w:spacing w:val="-3"/>
        </w:rPr>
        <w:t>点</w:t>
      </w:r>
      <w:r>
        <w:rPr/>
        <w:t>及基</w:t>
      </w:r>
      <w:r>
        <w:rPr>
          <w:spacing w:val="-3"/>
        </w:rPr>
        <w:t>金</w:t>
      </w:r>
      <w:r>
        <w:rPr/>
        <w:t>代</w:t>
      </w:r>
      <w:r>
        <w:rPr>
          <w:spacing w:val="-3"/>
        </w:rPr>
        <w:t>销</w:t>
      </w:r>
      <w:r>
        <w:rPr/>
        <w:t>机</w:t>
      </w:r>
      <w:r>
        <w:rPr>
          <w:spacing w:val="-3"/>
        </w:rPr>
        <w:t>构</w:t>
      </w:r>
      <w:r>
        <w:rPr/>
        <w:t>的</w:t>
      </w:r>
      <w:r>
        <w:rPr>
          <w:spacing w:val="-3"/>
        </w:rPr>
        <w:t>代</w:t>
      </w:r>
      <w:r>
        <w:rPr/>
        <w:t>销</w:t>
      </w:r>
      <w:r>
        <w:rPr>
          <w:spacing w:val="-3"/>
        </w:rPr>
        <w:t>网</w:t>
      </w:r>
      <w:r>
        <w:rPr/>
        <w:t>点</w:t>
      </w:r>
    </w:p>
    <w:p>
      <w:pPr>
        <w:pStyle w:val="BodyText"/>
        <w:spacing w:before="6"/>
        <w:rPr>
          <w:sz w:val="15"/>
        </w:rPr>
      </w:pPr>
    </w:p>
    <w:p>
      <w:pPr>
        <w:pStyle w:val="BodyText"/>
        <w:tabs>
          <w:tab w:pos="3519" w:val="left" w:leader="none"/>
        </w:tabs>
        <w:spacing w:before="1"/>
        <w:ind w:left="840"/>
      </w:pPr>
      <w:r>
        <w:rPr/>
        <w:t>注册</w:t>
      </w:r>
      <w:r>
        <w:rPr>
          <w:spacing w:val="-3"/>
        </w:rPr>
        <w:t>登</w:t>
      </w:r>
      <w:r>
        <w:rPr/>
        <w:t>记</w:t>
      </w:r>
      <w:r>
        <w:rPr>
          <w:spacing w:val="-3"/>
        </w:rPr>
        <w:t>业</w:t>
      </w:r>
      <w:r>
        <w:rPr/>
        <w:t>务</w:t>
        <w:tab/>
        <w:t>指基</w:t>
      </w:r>
      <w:r>
        <w:rPr>
          <w:spacing w:val="-3"/>
        </w:rPr>
        <w:t>金</w:t>
      </w:r>
      <w:r>
        <w:rPr/>
        <w:t>登</w:t>
      </w:r>
      <w:r>
        <w:rPr>
          <w:spacing w:val="-3"/>
        </w:rPr>
        <w:t>记</w:t>
      </w:r>
      <w:r>
        <w:rPr>
          <w:spacing w:val="-15"/>
        </w:rPr>
        <w:t>、</w:t>
      </w:r>
      <w:r>
        <w:rPr>
          <w:spacing w:val="-3"/>
        </w:rPr>
        <w:t>存</w:t>
      </w:r>
      <w:r>
        <w:rPr/>
        <w:t>管</w:t>
      </w:r>
      <w:r>
        <w:rPr>
          <w:spacing w:val="-17"/>
        </w:rPr>
        <w:t>、</w:t>
      </w:r>
      <w:r>
        <w:rPr/>
        <w:t>清</w:t>
      </w:r>
      <w:r>
        <w:rPr>
          <w:spacing w:val="-3"/>
        </w:rPr>
        <w:t>算</w:t>
      </w:r>
      <w:r>
        <w:rPr/>
        <w:t>和交</w:t>
      </w:r>
      <w:r>
        <w:rPr>
          <w:spacing w:val="-3"/>
        </w:rPr>
        <w:t>收</w:t>
      </w:r>
      <w:r>
        <w:rPr/>
        <w:t>业</w:t>
      </w:r>
      <w:r>
        <w:rPr>
          <w:spacing w:val="-3"/>
        </w:rPr>
        <w:t>务</w:t>
      </w:r>
      <w:r>
        <w:rPr>
          <w:spacing w:val="-15"/>
        </w:rPr>
        <w:t>，</w:t>
      </w:r>
      <w:r>
        <w:rPr>
          <w:spacing w:val="-3"/>
        </w:rPr>
        <w:t>具</w:t>
      </w:r>
      <w:r>
        <w:rPr/>
        <w:t>体</w:t>
      </w:r>
      <w:r>
        <w:rPr>
          <w:spacing w:val="-3"/>
        </w:rPr>
        <w:t>内</w:t>
      </w:r>
      <w:r>
        <w:rPr/>
        <w:t>容</w:t>
      </w:r>
      <w:r>
        <w:rPr>
          <w:spacing w:val="-3"/>
        </w:rPr>
        <w:t>包</w:t>
      </w:r>
      <w:r>
        <w:rPr/>
        <w:t>括投</w:t>
      </w:r>
      <w:r>
        <w:rPr>
          <w:spacing w:val="-3"/>
        </w:rPr>
        <w:t>资</w:t>
      </w:r>
      <w:r>
        <w:rPr/>
        <w:t>者基</w:t>
      </w:r>
    </w:p>
    <w:p>
      <w:pPr>
        <w:pStyle w:val="BodyText"/>
        <w:spacing w:before="6"/>
        <w:rPr>
          <w:sz w:val="15"/>
        </w:rPr>
      </w:pPr>
    </w:p>
    <w:p>
      <w:pPr>
        <w:pStyle w:val="BodyText"/>
        <w:spacing w:line="417" w:lineRule="auto"/>
        <w:ind w:left="3519" w:right="853"/>
      </w:pPr>
      <w:r>
        <w:rPr/>
        <w:t>金账户管理、基金份额注册登记、清算及基金交易确认、发放红利、建立并保管基金份额持有人名册等</w:t>
      </w:r>
    </w:p>
    <w:p>
      <w:pPr>
        <w:pStyle w:val="BodyText"/>
        <w:tabs>
          <w:tab w:pos="3519" w:val="left" w:leader="none"/>
        </w:tabs>
        <w:spacing w:line="269" w:lineRule="exact"/>
        <w:ind w:left="840"/>
      </w:pPr>
      <w:r>
        <w:rPr/>
        <w:t>基金</w:t>
      </w:r>
      <w:r>
        <w:rPr>
          <w:spacing w:val="-3"/>
        </w:rPr>
        <w:t>注</w:t>
      </w:r>
      <w:r>
        <w:rPr/>
        <w:t>册</w:t>
      </w:r>
      <w:r>
        <w:rPr>
          <w:spacing w:val="-3"/>
        </w:rPr>
        <w:t>登</w:t>
      </w:r>
      <w:r>
        <w:rPr/>
        <w:t>记人</w:t>
        <w:tab/>
      </w:r>
      <w:r>
        <w:rPr>
          <w:spacing w:val="7"/>
        </w:rPr>
        <w:t>指</w:t>
      </w:r>
      <w:r>
        <w:rPr>
          <w:spacing w:val="4"/>
        </w:rPr>
        <w:t>景顺</w:t>
      </w:r>
      <w:r>
        <w:rPr>
          <w:spacing w:val="6"/>
        </w:rPr>
        <w:t>长</w:t>
      </w:r>
      <w:r>
        <w:rPr>
          <w:spacing w:val="5"/>
        </w:rPr>
        <w:t>城</w:t>
      </w:r>
      <w:r>
        <w:rPr>
          <w:spacing w:val="4"/>
        </w:rPr>
        <w:t>基金</w:t>
      </w:r>
      <w:r>
        <w:rPr>
          <w:spacing w:val="6"/>
        </w:rPr>
        <w:t>管</w:t>
      </w:r>
      <w:r>
        <w:rPr>
          <w:spacing w:val="4"/>
        </w:rPr>
        <w:t>理有限</w:t>
      </w:r>
      <w:r>
        <w:rPr>
          <w:spacing w:val="6"/>
        </w:rPr>
        <w:t>公</w:t>
      </w:r>
      <w:r>
        <w:rPr>
          <w:spacing w:val="4"/>
        </w:rPr>
        <w:t>司或</w:t>
      </w:r>
      <w:r>
        <w:rPr>
          <w:spacing w:val="6"/>
        </w:rPr>
        <w:t>其</w:t>
      </w:r>
      <w:r>
        <w:rPr>
          <w:spacing w:val="4"/>
        </w:rPr>
        <w:t>委托的</w:t>
      </w:r>
      <w:r>
        <w:rPr>
          <w:spacing w:val="6"/>
        </w:rPr>
        <w:t>其</w:t>
      </w:r>
      <w:r>
        <w:rPr>
          <w:spacing w:val="4"/>
        </w:rPr>
        <w:t>他符合</w:t>
      </w:r>
      <w:r>
        <w:rPr>
          <w:spacing w:val="6"/>
        </w:rPr>
        <w:t>条</w:t>
      </w:r>
      <w:r>
        <w:rPr>
          <w:spacing w:val="4"/>
        </w:rPr>
        <w:t>件的</w:t>
      </w:r>
      <w:r>
        <w:rPr/>
        <w:t>机</w:t>
      </w:r>
    </w:p>
    <w:p>
      <w:pPr>
        <w:pStyle w:val="BodyText"/>
        <w:spacing w:before="7"/>
        <w:rPr>
          <w:sz w:val="15"/>
        </w:rPr>
      </w:pPr>
    </w:p>
    <w:p>
      <w:pPr>
        <w:pStyle w:val="BodyText"/>
        <w:ind w:left="3519"/>
      </w:pPr>
      <w:r>
        <w:rPr>
          <w:w w:val="100"/>
        </w:rPr>
        <w:t>构</w:t>
      </w:r>
    </w:p>
    <w:p>
      <w:pPr>
        <w:pStyle w:val="BodyText"/>
        <w:spacing w:before="7"/>
        <w:rPr>
          <w:sz w:val="15"/>
        </w:rPr>
      </w:pPr>
    </w:p>
    <w:p>
      <w:pPr>
        <w:pStyle w:val="BodyText"/>
        <w:tabs>
          <w:tab w:pos="3519" w:val="left" w:leader="none"/>
        </w:tabs>
        <w:spacing w:before="1"/>
        <w:ind w:left="840"/>
      </w:pPr>
      <w:r>
        <w:rPr/>
        <w:t>《基</w:t>
      </w:r>
      <w:r>
        <w:rPr>
          <w:spacing w:val="-3"/>
        </w:rPr>
        <w:t>金</w:t>
      </w:r>
      <w:r>
        <w:rPr/>
        <w:t>合</w:t>
      </w:r>
      <w:r>
        <w:rPr>
          <w:spacing w:val="-3"/>
        </w:rPr>
        <w:t>同</w:t>
      </w:r>
      <w:r>
        <w:rPr/>
        <w:t>》</w:t>
      </w:r>
      <w:r>
        <w:rPr>
          <w:spacing w:val="-3"/>
        </w:rPr>
        <w:t>当</w:t>
      </w:r>
      <w:r>
        <w:rPr/>
        <w:t>事人</w:t>
        <w:tab/>
        <w:t>指</w:t>
      </w:r>
      <w:r>
        <w:rPr>
          <w:spacing w:val="-10"/>
        </w:rPr>
        <w:t>受</w:t>
      </w:r>
      <w:r>
        <w:rPr/>
        <w:t>《</w:t>
      </w:r>
      <w:r>
        <w:rPr>
          <w:spacing w:val="-3"/>
        </w:rPr>
        <w:t>基</w:t>
      </w:r>
      <w:r>
        <w:rPr/>
        <w:t>金</w:t>
      </w:r>
      <w:r>
        <w:rPr>
          <w:spacing w:val="-3"/>
        </w:rPr>
        <w:t>合同</w:t>
      </w:r>
      <w:r>
        <w:rPr>
          <w:spacing w:val="-8"/>
        </w:rPr>
        <w:t>》</w:t>
      </w:r>
      <w:r>
        <w:rPr>
          <w:spacing w:val="-3"/>
        </w:rPr>
        <w:t>约束</w:t>
      </w:r>
      <w:r>
        <w:rPr>
          <w:spacing w:val="-10"/>
        </w:rPr>
        <w:t>，</w:t>
      </w:r>
      <w:r>
        <w:rPr/>
        <w:t>根</w:t>
      </w:r>
      <w:r>
        <w:rPr>
          <w:spacing w:val="-10"/>
        </w:rPr>
        <w:t>据</w:t>
      </w:r>
      <w:r>
        <w:rPr/>
        <w:t>《</w:t>
      </w:r>
      <w:r>
        <w:rPr>
          <w:spacing w:val="-3"/>
        </w:rPr>
        <w:t>基</w:t>
      </w:r>
      <w:r>
        <w:rPr/>
        <w:t>金</w:t>
      </w:r>
      <w:r>
        <w:rPr>
          <w:spacing w:val="-3"/>
        </w:rPr>
        <w:t>合同</w:t>
      </w:r>
      <w:r>
        <w:rPr>
          <w:spacing w:val="-8"/>
        </w:rPr>
        <w:t>》</w:t>
      </w:r>
      <w:r>
        <w:rPr>
          <w:spacing w:val="-3"/>
        </w:rPr>
        <w:t>享</w:t>
      </w:r>
      <w:r>
        <w:rPr/>
        <w:t>受</w:t>
      </w:r>
      <w:r>
        <w:rPr>
          <w:spacing w:val="-3"/>
        </w:rPr>
        <w:t>权</w:t>
      </w:r>
      <w:r>
        <w:rPr/>
        <w:t>利并</w:t>
      </w:r>
      <w:r>
        <w:rPr>
          <w:spacing w:val="-3"/>
        </w:rPr>
        <w:t>承</w:t>
      </w:r>
      <w:r>
        <w:rPr/>
        <w:t>担义</w:t>
      </w:r>
    </w:p>
    <w:p>
      <w:pPr>
        <w:pStyle w:val="BodyText"/>
        <w:spacing w:before="6"/>
        <w:rPr>
          <w:sz w:val="15"/>
        </w:rPr>
      </w:pPr>
    </w:p>
    <w:p>
      <w:pPr>
        <w:pStyle w:val="BodyText"/>
        <w:ind w:left="3519"/>
      </w:pPr>
      <w:r>
        <w:rPr/>
        <w:t>务的法律主体</w:t>
      </w:r>
    </w:p>
    <w:p>
      <w:pPr>
        <w:pStyle w:val="BodyText"/>
        <w:spacing w:before="7"/>
        <w:rPr>
          <w:sz w:val="15"/>
        </w:rPr>
      </w:pPr>
    </w:p>
    <w:p>
      <w:pPr>
        <w:pStyle w:val="BodyText"/>
        <w:tabs>
          <w:tab w:pos="3519" w:val="left" w:leader="none"/>
        </w:tabs>
        <w:spacing w:line="417" w:lineRule="auto"/>
        <w:ind w:left="840" w:right="901"/>
      </w:pPr>
      <w:r>
        <w:rPr/>
        <w:t>个人</w:t>
      </w:r>
      <w:r>
        <w:rPr>
          <w:spacing w:val="-3"/>
        </w:rPr>
        <w:t>投</w:t>
      </w:r>
      <w:r>
        <w:rPr/>
        <w:t>资者</w:t>
        <w:tab/>
        <w:t>指符</w:t>
      </w:r>
      <w:r>
        <w:rPr>
          <w:spacing w:val="-3"/>
        </w:rPr>
        <w:t>合</w:t>
      </w:r>
      <w:r>
        <w:rPr/>
        <w:t>法</w:t>
      </w:r>
      <w:r>
        <w:rPr>
          <w:spacing w:val="-3"/>
        </w:rPr>
        <w:t>律</w:t>
      </w:r>
      <w:r>
        <w:rPr/>
        <w:t>法</w:t>
      </w:r>
      <w:r>
        <w:rPr>
          <w:spacing w:val="-3"/>
        </w:rPr>
        <w:t>规</w:t>
      </w:r>
      <w:r>
        <w:rPr/>
        <w:t>规</w:t>
      </w:r>
      <w:r>
        <w:rPr>
          <w:spacing w:val="-3"/>
        </w:rPr>
        <w:t>定</w:t>
      </w:r>
      <w:r>
        <w:rPr/>
        <w:t>的</w:t>
      </w:r>
      <w:r>
        <w:rPr>
          <w:spacing w:val="-3"/>
        </w:rPr>
        <w:t>条</w:t>
      </w:r>
      <w:r>
        <w:rPr/>
        <w:t>件可</w:t>
      </w:r>
      <w:r>
        <w:rPr>
          <w:spacing w:val="-3"/>
        </w:rPr>
        <w:t>以</w:t>
      </w:r>
      <w:r>
        <w:rPr/>
        <w:t>投</w:t>
      </w:r>
      <w:r>
        <w:rPr>
          <w:spacing w:val="-3"/>
        </w:rPr>
        <w:t>资</w:t>
      </w:r>
      <w:r>
        <w:rPr/>
        <w:t>证</w:t>
      </w:r>
      <w:r>
        <w:rPr>
          <w:spacing w:val="-3"/>
        </w:rPr>
        <w:t>券</w:t>
      </w:r>
      <w:r>
        <w:rPr/>
        <w:t>投</w:t>
      </w:r>
      <w:r>
        <w:rPr>
          <w:spacing w:val="-3"/>
        </w:rPr>
        <w:t>资</w:t>
      </w:r>
      <w:r>
        <w:rPr/>
        <w:t>基</w:t>
      </w:r>
      <w:r>
        <w:rPr>
          <w:spacing w:val="-3"/>
        </w:rPr>
        <w:t>金</w:t>
      </w:r>
      <w:r>
        <w:rPr/>
        <w:t>的自</w:t>
      </w:r>
      <w:r>
        <w:rPr>
          <w:spacing w:val="-3"/>
        </w:rPr>
        <w:t>然</w:t>
      </w:r>
      <w:r>
        <w:rPr/>
        <w:t>人机构</w:t>
      </w:r>
      <w:r>
        <w:rPr>
          <w:spacing w:val="-3"/>
        </w:rPr>
        <w:t>投</w:t>
      </w:r>
      <w:r>
        <w:rPr/>
        <w:t>资者</w:t>
        <w:tab/>
      </w:r>
      <w:r>
        <w:rPr>
          <w:spacing w:val="6"/>
        </w:rPr>
        <w:t>指</w:t>
      </w:r>
      <w:r>
        <w:rPr>
          <w:spacing w:val="4"/>
        </w:rPr>
        <w:t>符合</w:t>
      </w:r>
      <w:r>
        <w:rPr>
          <w:spacing w:val="6"/>
        </w:rPr>
        <w:t>法</w:t>
      </w:r>
      <w:r>
        <w:rPr>
          <w:spacing w:val="4"/>
        </w:rPr>
        <w:t>律法规</w:t>
      </w:r>
      <w:r>
        <w:rPr>
          <w:spacing w:val="6"/>
        </w:rPr>
        <w:t>规</w:t>
      </w:r>
      <w:r>
        <w:rPr>
          <w:spacing w:val="4"/>
        </w:rPr>
        <w:t>定可以</w:t>
      </w:r>
      <w:r>
        <w:rPr>
          <w:spacing w:val="6"/>
        </w:rPr>
        <w:t>投</w:t>
      </w:r>
      <w:r>
        <w:rPr>
          <w:spacing w:val="4"/>
        </w:rPr>
        <w:t>资证</w:t>
      </w:r>
      <w:r>
        <w:rPr>
          <w:spacing w:val="6"/>
        </w:rPr>
        <w:t>券</w:t>
      </w:r>
      <w:r>
        <w:rPr>
          <w:spacing w:val="4"/>
        </w:rPr>
        <w:t>投资基</w:t>
      </w:r>
      <w:r>
        <w:rPr>
          <w:spacing w:val="6"/>
        </w:rPr>
        <w:t>金</w:t>
      </w:r>
      <w:r>
        <w:rPr>
          <w:spacing w:val="4"/>
        </w:rPr>
        <w:t>的在中</w:t>
      </w:r>
      <w:r>
        <w:rPr>
          <w:spacing w:val="6"/>
        </w:rPr>
        <w:t>华</w:t>
      </w:r>
      <w:r>
        <w:rPr>
          <w:spacing w:val="4"/>
        </w:rPr>
        <w:t>人民</w:t>
      </w:r>
      <w:r>
        <w:rPr/>
        <w:t>共</w:t>
      </w:r>
    </w:p>
    <w:p>
      <w:pPr>
        <w:pStyle w:val="BodyText"/>
        <w:spacing w:line="269" w:lineRule="exact"/>
        <w:ind w:left="3519"/>
      </w:pPr>
      <w:r>
        <w:rPr/>
        <w:t>和国注册登记或经政府有关部门批准设立的机构</w:t>
      </w:r>
    </w:p>
    <w:p>
      <w:pPr>
        <w:pStyle w:val="BodyText"/>
        <w:spacing w:before="7"/>
        <w:rPr>
          <w:sz w:val="15"/>
        </w:rPr>
      </w:pPr>
    </w:p>
    <w:p>
      <w:pPr>
        <w:pStyle w:val="BodyText"/>
        <w:tabs>
          <w:tab w:pos="3519" w:val="left" w:leader="none"/>
        </w:tabs>
        <w:ind w:left="840"/>
      </w:pPr>
      <w:r>
        <w:rPr/>
        <w:t>合格</w:t>
      </w:r>
      <w:r>
        <w:rPr>
          <w:spacing w:val="-3"/>
        </w:rPr>
        <w:t>境</w:t>
      </w:r>
      <w:r>
        <w:rPr/>
        <w:t>外</w:t>
      </w:r>
      <w:r>
        <w:rPr>
          <w:spacing w:val="-3"/>
        </w:rPr>
        <w:t>机</w:t>
      </w:r>
      <w:r>
        <w:rPr/>
        <w:t>构</w:t>
      </w:r>
      <w:r>
        <w:rPr>
          <w:spacing w:val="-3"/>
        </w:rPr>
        <w:t>投</w:t>
      </w:r>
      <w:r>
        <w:rPr/>
        <w:t>资者</w:t>
        <w:tab/>
        <w:t>指符</w:t>
      </w:r>
      <w:r>
        <w:rPr>
          <w:spacing w:val="-25"/>
        </w:rPr>
        <w:t>合</w:t>
      </w:r>
      <w:r>
        <w:rPr/>
        <w:t>《</w:t>
      </w:r>
      <w:r>
        <w:rPr>
          <w:spacing w:val="-3"/>
        </w:rPr>
        <w:t>合</w:t>
      </w:r>
      <w:r>
        <w:rPr/>
        <w:t>格</w:t>
      </w:r>
      <w:r>
        <w:rPr>
          <w:spacing w:val="-3"/>
        </w:rPr>
        <w:t>境</w:t>
      </w:r>
      <w:r>
        <w:rPr/>
        <w:t>外</w:t>
      </w:r>
      <w:r>
        <w:rPr>
          <w:spacing w:val="-3"/>
        </w:rPr>
        <w:t>机</w:t>
      </w:r>
      <w:r>
        <w:rPr/>
        <w:t>构</w:t>
      </w:r>
      <w:r>
        <w:rPr>
          <w:spacing w:val="-3"/>
        </w:rPr>
        <w:t>投</w:t>
      </w:r>
      <w:r>
        <w:rPr/>
        <w:t>资者</w:t>
      </w:r>
      <w:r>
        <w:rPr>
          <w:spacing w:val="-3"/>
        </w:rPr>
        <w:t>境</w:t>
      </w:r>
      <w:r>
        <w:rPr/>
        <w:t>内</w:t>
      </w:r>
      <w:r>
        <w:rPr>
          <w:spacing w:val="-3"/>
        </w:rPr>
        <w:t>证</w:t>
      </w:r>
      <w:r>
        <w:rPr/>
        <w:t>券</w:t>
      </w:r>
      <w:r>
        <w:rPr>
          <w:spacing w:val="-3"/>
        </w:rPr>
        <w:t>投</w:t>
      </w:r>
      <w:r>
        <w:rPr/>
        <w:t>资</w:t>
      </w:r>
      <w:r>
        <w:rPr>
          <w:spacing w:val="-3"/>
        </w:rPr>
        <w:t>管</w:t>
      </w:r>
      <w:r>
        <w:rPr/>
        <w:t>理</w:t>
      </w:r>
      <w:r>
        <w:rPr>
          <w:spacing w:val="-3"/>
        </w:rPr>
        <w:t>暂</w:t>
      </w:r>
      <w:r>
        <w:rPr/>
        <w:t>行办</w:t>
      </w:r>
      <w:r>
        <w:rPr>
          <w:spacing w:val="-3"/>
        </w:rPr>
        <w:t>法</w:t>
      </w:r>
      <w:r>
        <w:rPr>
          <w:spacing w:val="-22"/>
        </w:rPr>
        <w:t>》</w:t>
      </w:r>
      <w:r>
        <w:rPr/>
        <w:t>及</w:t>
      </w:r>
    </w:p>
    <w:p>
      <w:pPr>
        <w:pStyle w:val="BodyText"/>
        <w:spacing w:before="6"/>
        <w:rPr>
          <w:sz w:val="15"/>
        </w:rPr>
      </w:pPr>
    </w:p>
    <w:p>
      <w:pPr>
        <w:pStyle w:val="BodyText"/>
        <w:spacing w:line="417" w:lineRule="auto" w:before="1"/>
        <w:ind w:left="3519" w:right="901"/>
      </w:pPr>
      <w:r>
        <w:rPr/>
        <w:t>相关法律法规规定的可投资于中国境内证券的中国境外的机构投资者</w:t>
      </w:r>
    </w:p>
    <w:p>
      <w:pPr>
        <w:pStyle w:val="BodyText"/>
        <w:tabs>
          <w:tab w:pos="3519" w:val="left" w:leader="none"/>
        </w:tabs>
        <w:ind w:left="840"/>
      </w:pPr>
      <w:r>
        <w:rPr/>
        <w:t>投资者</w:t>
        <w:tab/>
        <w:t>指个</w:t>
      </w:r>
      <w:r>
        <w:rPr>
          <w:spacing w:val="-3"/>
        </w:rPr>
        <w:t>人</w:t>
      </w:r>
      <w:r>
        <w:rPr/>
        <w:t>投</w:t>
      </w:r>
      <w:r>
        <w:rPr>
          <w:spacing w:val="-3"/>
        </w:rPr>
        <w:t>资</w:t>
      </w:r>
      <w:r>
        <w:rPr/>
        <w:t>者</w:t>
      </w:r>
      <w:r>
        <w:rPr>
          <w:spacing w:val="-3"/>
        </w:rPr>
        <w:t>、</w:t>
      </w:r>
      <w:r>
        <w:rPr/>
        <w:t>机</w:t>
      </w:r>
      <w:r>
        <w:rPr>
          <w:spacing w:val="-3"/>
        </w:rPr>
        <w:t>构</w:t>
      </w:r>
      <w:r>
        <w:rPr/>
        <w:t>投</w:t>
      </w:r>
      <w:r>
        <w:rPr>
          <w:spacing w:val="-3"/>
        </w:rPr>
        <w:t>资</w:t>
      </w:r>
      <w:r>
        <w:rPr/>
        <w:t>者和</w:t>
      </w:r>
      <w:r>
        <w:rPr>
          <w:spacing w:val="-3"/>
        </w:rPr>
        <w:t>合</w:t>
      </w:r>
      <w:r>
        <w:rPr/>
        <w:t>格</w:t>
      </w:r>
      <w:r>
        <w:rPr>
          <w:spacing w:val="-3"/>
        </w:rPr>
        <w:t>境</w:t>
      </w:r>
      <w:r>
        <w:rPr/>
        <w:t>外</w:t>
      </w:r>
      <w:r>
        <w:rPr>
          <w:spacing w:val="-3"/>
        </w:rPr>
        <w:t>机</w:t>
      </w:r>
      <w:r>
        <w:rPr/>
        <w:t>构</w:t>
      </w:r>
      <w:r>
        <w:rPr>
          <w:spacing w:val="-3"/>
        </w:rPr>
        <w:t>投</w:t>
      </w:r>
      <w:r>
        <w:rPr/>
        <w:t>资</w:t>
      </w:r>
      <w:r>
        <w:rPr>
          <w:spacing w:val="-3"/>
        </w:rPr>
        <w:t>者</w:t>
      </w:r>
      <w:r>
        <w:rPr/>
        <w:t>的总称</w:t>
      </w:r>
    </w:p>
    <w:p>
      <w:pPr>
        <w:spacing w:after="0"/>
        <w:sectPr>
          <w:pgSz w:w="11910" w:h="16840"/>
          <w:pgMar w:header="877" w:footer="995" w:top="1100" w:bottom="1180" w:left="960" w:right="900"/>
        </w:sectPr>
      </w:pPr>
    </w:p>
    <w:p>
      <w:pPr>
        <w:pStyle w:val="BodyText"/>
        <w:spacing w:before="4"/>
        <w:rPr>
          <w:sz w:val="27"/>
        </w:rPr>
      </w:pPr>
    </w:p>
    <w:p>
      <w:pPr>
        <w:pStyle w:val="BodyText"/>
        <w:tabs>
          <w:tab w:pos="3519" w:val="left" w:leader="none"/>
        </w:tabs>
        <w:spacing w:before="71"/>
        <w:ind w:left="840"/>
      </w:pPr>
      <w:r>
        <w:rPr/>
        <w:t>基金</w:t>
      </w:r>
      <w:r>
        <w:rPr>
          <w:spacing w:val="-3"/>
        </w:rPr>
        <w:t>合</w:t>
      </w:r>
      <w:r>
        <w:rPr/>
        <w:t>同</w:t>
      </w:r>
      <w:r>
        <w:rPr>
          <w:spacing w:val="-3"/>
        </w:rPr>
        <w:t>生</w:t>
      </w:r>
      <w:r>
        <w:rPr/>
        <w:t>效日</w:t>
        <w:tab/>
        <w:t>基金</w:t>
      </w:r>
      <w:r>
        <w:rPr>
          <w:spacing w:val="-3"/>
        </w:rPr>
        <w:t>达</w:t>
      </w:r>
      <w:r>
        <w:rPr/>
        <w:t>到</w:t>
      </w:r>
      <w:r>
        <w:rPr>
          <w:spacing w:val="-3"/>
        </w:rPr>
        <w:t>法</w:t>
      </w:r>
      <w:r>
        <w:rPr/>
        <w:t>律</w:t>
      </w:r>
      <w:r>
        <w:rPr>
          <w:spacing w:val="-3"/>
        </w:rPr>
        <w:t>规</w:t>
      </w:r>
      <w:r>
        <w:rPr/>
        <w:t>定</w:t>
      </w:r>
      <w:r>
        <w:rPr>
          <w:spacing w:val="-3"/>
        </w:rPr>
        <w:t>及</w:t>
      </w:r>
      <w:r>
        <w:rPr/>
        <w:t>基</w:t>
      </w:r>
      <w:r>
        <w:rPr>
          <w:spacing w:val="-3"/>
        </w:rPr>
        <w:t>金</w:t>
      </w:r>
      <w:r>
        <w:rPr/>
        <w:t>合同</w:t>
      </w:r>
      <w:r>
        <w:rPr>
          <w:spacing w:val="-3"/>
        </w:rPr>
        <w:t>规</w:t>
      </w:r>
      <w:r>
        <w:rPr/>
        <w:t>定</w:t>
      </w:r>
      <w:r>
        <w:rPr>
          <w:spacing w:val="-3"/>
        </w:rPr>
        <w:t>的</w:t>
      </w:r>
      <w:r>
        <w:rPr/>
        <w:t>条件</w:t>
      </w:r>
      <w:r>
        <w:rPr>
          <w:spacing w:val="-46"/>
        </w:rPr>
        <w:t>，</w:t>
      </w:r>
      <w:r>
        <w:rPr/>
        <w:t>基</w:t>
      </w:r>
      <w:r>
        <w:rPr>
          <w:spacing w:val="-3"/>
        </w:rPr>
        <w:t>金管</w:t>
      </w:r>
      <w:r>
        <w:rPr/>
        <w:t>理人</w:t>
      </w:r>
      <w:r>
        <w:rPr>
          <w:spacing w:val="-3"/>
        </w:rPr>
        <w:t>聘</w:t>
      </w:r>
      <w:r>
        <w:rPr/>
        <w:t>请法</w:t>
      </w:r>
    </w:p>
    <w:p>
      <w:pPr>
        <w:pStyle w:val="BodyText"/>
        <w:spacing w:before="7"/>
        <w:rPr>
          <w:sz w:val="15"/>
        </w:rPr>
      </w:pPr>
    </w:p>
    <w:p>
      <w:pPr>
        <w:pStyle w:val="BodyText"/>
        <w:spacing w:line="417" w:lineRule="auto"/>
        <w:ind w:left="3519" w:right="840"/>
      </w:pPr>
      <w:r>
        <w:rPr/>
        <w:t>定机构验资并办理完毕基金合同备案手续后，基金合同生效的日期</w:t>
      </w:r>
    </w:p>
    <w:p>
      <w:pPr>
        <w:pStyle w:val="BodyText"/>
        <w:tabs>
          <w:tab w:pos="3519" w:val="left" w:leader="none"/>
        </w:tabs>
        <w:spacing w:line="269" w:lineRule="exact"/>
        <w:ind w:left="840"/>
      </w:pPr>
      <w:r>
        <w:rPr/>
        <w:t>募集期</w:t>
        <w:tab/>
        <w:t>指自</w:t>
      </w:r>
      <w:r>
        <w:rPr>
          <w:spacing w:val="-3"/>
        </w:rPr>
        <w:t>基</w:t>
      </w:r>
      <w:r>
        <w:rPr/>
        <w:t>金</w:t>
      </w:r>
      <w:r>
        <w:rPr>
          <w:spacing w:val="-3"/>
        </w:rPr>
        <w:t>份</w:t>
      </w:r>
      <w:r>
        <w:rPr/>
        <w:t>额</w:t>
      </w:r>
      <w:r>
        <w:rPr>
          <w:spacing w:val="-3"/>
        </w:rPr>
        <w:t>发</w:t>
      </w:r>
      <w:r>
        <w:rPr/>
        <w:t>售</w:t>
      </w:r>
      <w:r>
        <w:rPr>
          <w:spacing w:val="-3"/>
        </w:rPr>
        <w:t>之</w:t>
      </w:r>
      <w:r>
        <w:rPr/>
        <w:t>日</w:t>
      </w:r>
      <w:r>
        <w:rPr>
          <w:spacing w:val="-3"/>
        </w:rPr>
        <w:t>起</w:t>
      </w:r>
      <w:r>
        <w:rPr/>
        <w:t>不</w:t>
      </w:r>
      <w:r>
        <w:rPr>
          <w:spacing w:val="-3"/>
        </w:rPr>
        <w:t>超</w:t>
      </w:r>
      <w:r>
        <w:rPr/>
        <w:t>过</w:t>
      </w:r>
      <w:r>
        <w:rPr>
          <w:spacing w:val="-53"/>
        </w:rPr>
        <w:t> </w:t>
      </w:r>
      <w:r>
        <w:rPr/>
        <w:t>3</w:t>
      </w:r>
      <w:r>
        <w:rPr>
          <w:spacing w:val="-53"/>
        </w:rPr>
        <w:t> </w:t>
      </w:r>
      <w:r>
        <w:rPr>
          <w:spacing w:val="-3"/>
        </w:rPr>
        <w:t>个月</w:t>
      </w:r>
    </w:p>
    <w:p>
      <w:pPr>
        <w:pStyle w:val="BodyText"/>
        <w:spacing w:before="7"/>
        <w:rPr>
          <w:sz w:val="15"/>
        </w:rPr>
      </w:pPr>
    </w:p>
    <w:p>
      <w:pPr>
        <w:pStyle w:val="BodyText"/>
        <w:tabs>
          <w:tab w:pos="3519" w:val="left" w:leader="none"/>
        </w:tabs>
        <w:ind w:left="840"/>
      </w:pPr>
      <w:r>
        <w:rPr/>
        <w:t>基金</w:t>
      </w:r>
      <w:r>
        <w:rPr>
          <w:spacing w:val="-3"/>
        </w:rPr>
        <w:t>存</w:t>
      </w:r>
      <w:r>
        <w:rPr/>
        <w:t>续期</w:t>
        <w:tab/>
        <w:t>指基</w:t>
      </w:r>
      <w:r>
        <w:rPr>
          <w:spacing w:val="-3"/>
        </w:rPr>
        <w:t>金</w:t>
      </w:r>
      <w:r>
        <w:rPr/>
        <w:t>合</w:t>
      </w:r>
      <w:r>
        <w:rPr>
          <w:spacing w:val="-3"/>
        </w:rPr>
        <w:t>同</w:t>
      </w:r>
      <w:r>
        <w:rPr/>
        <w:t>生</w:t>
      </w:r>
      <w:r>
        <w:rPr>
          <w:spacing w:val="-3"/>
        </w:rPr>
        <w:t>效</w:t>
      </w:r>
      <w:r>
        <w:rPr/>
        <w:t>后</w:t>
      </w:r>
      <w:r>
        <w:rPr>
          <w:spacing w:val="-3"/>
        </w:rPr>
        <w:t>合</w:t>
      </w:r>
      <w:r>
        <w:rPr/>
        <w:t>法</w:t>
      </w:r>
      <w:r>
        <w:rPr>
          <w:spacing w:val="-3"/>
        </w:rPr>
        <w:t>存</w:t>
      </w:r>
      <w:r>
        <w:rPr/>
        <w:t>续的</w:t>
      </w:r>
      <w:r>
        <w:rPr>
          <w:spacing w:val="-3"/>
        </w:rPr>
        <w:t>不</w:t>
      </w:r>
      <w:r>
        <w:rPr/>
        <w:t>定</w:t>
      </w:r>
      <w:r>
        <w:rPr>
          <w:spacing w:val="-3"/>
        </w:rPr>
        <w:t>期</w:t>
      </w:r>
      <w:r>
        <w:rPr/>
        <w:t>之</w:t>
      </w:r>
      <w:r>
        <w:rPr>
          <w:spacing w:val="-3"/>
        </w:rPr>
        <w:t>期</w:t>
      </w:r>
      <w:r>
        <w:rPr/>
        <w:t>间</w:t>
      </w:r>
    </w:p>
    <w:p>
      <w:pPr>
        <w:pStyle w:val="BodyText"/>
        <w:spacing w:before="6"/>
        <w:rPr>
          <w:sz w:val="15"/>
        </w:rPr>
      </w:pPr>
    </w:p>
    <w:p>
      <w:pPr>
        <w:pStyle w:val="BodyText"/>
        <w:tabs>
          <w:tab w:pos="3519" w:val="left" w:leader="none"/>
        </w:tabs>
        <w:spacing w:before="1"/>
        <w:ind w:left="840"/>
      </w:pPr>
      <w:r>
        <w:rPr/>
        <w:t>日/天</w:t>
        <w:tab/>
        <w:t>指公</w:t>
      </w:r>
      <w:r>
        <w:rPr>
          <w:spacing w:val="-3"/>
        </w:rPr>
        <w:t>历</w:t>
      </w:r>
      <w:r>
        <w:rPr/>
        <w:t>日</w:t>
      </w:r>
    </w:p>
    <w:p>
      <w:pPr>
        <w:pStyle w:val="BodyText"/>
        <w:spacing w:before="6"/>
        <w:rPr>
          <w:sz w:val="15"/>
        </w:rPr>
      </w:pPr>
    </w:p>
    <w:p>
      <w:pPr>
        <w:pStyle w:val="BodyText"/>
        <w:tabs>
          <w:tab w:pos="3519" w:val="left" w:leader="none"/>
        </w:tabs>
        <w:ind w:left="840"/>
      </w:pPr>
      <w:r>
        <w:rPr/>
        <w:t>月</w:t>
        <w:tab/>
        <w:t>指公</w:t>
      </w:r>
      <w:r>
        <w:rPr>
          <w:spacing w:val="-3"/>
        </w:rPr>
        <w:t>历</w:t>
      </w:r>
      <w:r>
        <w:rPr/>
        <w:t>月</w:t>
      </w:r>
    </w:p>
    <w:p>
      <w:pPr>
        <w:pStyle w:val="BodyText"/>
        <w:spacing w:before="8"/>
        <w:rPr>
          <w:sz w:val="15"/>
        </w:rPr>
      </w:pPr>
    </w:p>
    <w:p>
      <w:pPr>
        <w:pStyle w:val="BodyText"/>
        <w:tabs>
          <w:tab w:pos="3519" w:val="left" w:leader="none"/>
        </w:tabs>
        <w:ind w:left="840"/>
      </w:pPr>
      <w:r>
        <w:rPr/>
        <w:t>工作日</w:t>
        <w:tab/>
        <w:t>指上</w:t>
      </w:r>
      <w:r>
        <w:rPr>
          <w:spacing w:val="-3"/>
        </w:rPr>
        <w:t>海</w:t>
      </w:r>
      <w:r>
        <w:rPr/>
        <w:t>证</w:t>
      </w:r>
      <w:r>
        <w:rPr>
          <w:spacing w:val="-3"/>
        </w:rPr>
        <w:t>券</w:t>
      </w:r>
      <w:r>
        <w:rPr/>
        <w:t>交</w:t>
      </w:r>
      <w:r>
        <w:rPr>
          <w:spacing w:val="-3"/>
        </w:rPr>
        <w:t>易</w:t>
      </w:r>
      <w:r>
        <w:rPr/>
        <w:t>所</w:t>
      </w:r>
      <w:r>
        <w:rPr>
          <w:spacing w:val="-3"/>
        </w:rPr>
        <w:t>和</w:t>
      </w:r>
      <w:r>
        <w:rPr/>
        <w:t>深</w:t>
      </w:r>
      <w:r>
        <w:rPr>
          <w:spacing w:val="-3"/>
        </w:rPr>
        <w:t>圳</w:t>
      </w:r>
      <w:r>
        <w:rPr/>
        <w:t>证券</w:t>
      </w:r>
      <w:r>
        <w:rPr>
          <w:spacing w:val="-3"/>
        </w:rPr>
        <w:t>交</w:t>
      </w:r>
      <w:r>
        <w:rPr/>
        <w:t>易</w:t>
      </w:r>
      <w:r>
        <w:rPr>
          <w:spacing w:val="-3"/>
        </w:rPr>
        <w:t>所</w:t>
      </w:r>
      <w:r>
        <w:rPr/>
        <w:t>的</w:t>
      </w:r>
      <w:r>
        <w:rPr>
          <w:spacing w:val="-3"/>
        </w:rPr>
        <w:t>正</w:t>
      </w:r>
      <w:r>
        <w:rPr/>
        <w:t>常</w:t>
      </w:r>
      <w:r>
        <w:rPr>
          <w:spacing w:val="-3"/>
        </w:rPr>
        <w:t>交</w:t>
      </w:r>
      <w:r>
        <w:rPr/>
        <w:t>易日</w:t>
      </w:r>
    </w:p>
    <w:p>
      <w:pPr>
        <w:pStyle w:val="BodyText"/>
        <w:spacing w:before="6"/>
        <w:rPr>
          <w:sz w:val="15"/>
        </w:rPr>
      </w:pPr>
    </w:p>
    <w:p>
      <w:pPr>
        <w:pStyle w:val="BodyText"/>
        <w:tabs>
          <w:tab w:pos="3519" w:val="left" w:leader="none"/>
        </w:tabs>
        <w:ind w:left="840"/>
      </w:pPr>
      <w:r>
        <w:rPr/>
        <w:t>开放日</w:t>
        <w:tab/>
        <w:t>指销</w:t>
      </w:r>
      <w:r>
        <w:rPr>
          <w:spacing w:val="-3"/>
        </w:rPr>
        <w:t>售</w:t>
      </w:r>
      <w:r>
        <w:rPr/>
        <w:t>机</w:t>
      </w:r>
      <w:r>
        <w:rPr>
          <w:spacing w:val="-3"/>
        </w:rPr>
        <w:t>构</w:t>
      </w:r>
      <w:r>
        <w:rPr/>
        <w:t>办</w:t>
      </w:r>
      <w:r>
        <w:rPr>
          <w:spacing w:val="-3"/>
        </w:rPr>
        <w:t>理</w:t>
      </w:r>
      <w:r>
        <w:rPr/>
        <w:t>本</w:t>
      </w:r>
      <w:r>
        <w:rPr>
          <w:spacing w:val="-3"/>
        </w:rPr>
        <w:t>基</w:t>
      </w:r>
      <w:r>
        <w:rPr/>
        <w:t>金</w:t>
      </w:r>
      <w:r>
        <w:rPr>
          <w:spacing w:val="-3"/>
        </w:rPr>
        <w:t>申</w:t>
      </w:r>
      <w:r>
        <w:rPr/>
        <w:t>购、</w:t>
      </w:r>
      <w:r>
        <w:rPr>
          <w:spacing w:val="-3"/>
        </w:rPr>
        <w:t>赎</w:t>
      </w:r>
      <w:r>
        <w:rPr/>
        <w:t>回</w:t>
      </w:r>
      <w:r>
        <w:rPr>
          <w:spacing w:val="-3"/>
        </w:rPr>
        <w:t>等</w:t>
      </w:r>
      <w:r>
        <w:rPr/>
        <w:t>业</w:t>
      </w:r>
      <w:r>
        <w:rPr>
          <w:spacing w:val="-3"/>
        </w:rPr>
        <w:t>务</w:t>
      </w:r>
      <w:r>
        <w:rPr/>
        <w:t>的</w:t>
      </w:r>
      <w:r>
        <w:rPr>
          <w:spacing w:val="-3"/>
        </w:rPr>
        <w:t>工</w:t>
      </w:r>
      <w:r>
        <w:rPr/>
        <w:t>作日</w:t>
      </w:r>
    </w:p>
    <w:p>
      <w:pPr>
        <w:pStyle w:val="BodyText"/>
        <w:spacing w:before="7"/>
        <w:rPr>
          <w:sz w:val="15"/>
        </w:rPr>
      </w:pPr>
    </w:p>
    <w:p>
      <w:pPr>
        <w:pStyle w:val="BodyText"/>
        <w:tabs>
          <w:tab w:pos="3519" w:val="left" w:leader="none"/>
        </w:tabs>
        <w:ind w:left="840"/>
      </w:pPr>
      <w:r>
        <w:rPr>
          <w:rFonts w:ascii="Times New Roman" w:eastAsia="Times New Roman"/>
        </w:rPr>
        <w:t>T </w:t>
      </w:r>
      <w:r>
        <w:rPr/>
        <w:t>日</w:t>
        <w:tab/>
        <w:t>指日</w:t>
      </w:r>
      <w:r>
        <w:rPr>
          <w:spacing w:val="-3"/>
        </w:rPr>
        <w:t>常</w:t>
      </w:r>
      <w:r>
        <w:rPr/>
        <w:t>申</w:t>
      </w:r>
      <w:r>
        <w:rPr>
          <w:spacing w:val="-3"/>
        </w:rPr>
        <w:t>购</w:t>
      </w:r>
      <w:r>
        <w:rPr/>
        <w:t>、</w:t>
      </w:r>
      <w:r>
        <w:rPr>
          <w:spacing w:val="-3"/>
        </w:rPr>
        <w:t>赎</w:t>
      </w:r>
      <w:r>
        <w:rPr/>
        <w:t>回</w:t>
      </w:r>
      <w:r>
        <w:rPr>
          <w:spacing w:val="-3"/>
        </w:rPr>
        <w:t>或</w:t>
      </w:r>
      <w:r>
        <w:rPr/>
        <w:t>办</w:t>
      </w:r>
      <w:r>
        <w:rPr>
          <w:spacing w:val="-3"/>
        </w:rPr>
        <w:t>理</w:t>
      </w:r>
      <w:r>
        <w:rPr/>
        <w:t>其他</w:t>
      </w:r>
      <w:r>
        <w:rPr>
          <w:spacing w:val="-3"/>
        </w:rPr>
        <w:t>基</w:t>
      </w:r>
      <w:r>
        <w:rPr/>
        <w:t>金</w:t>
      </w:r>
      <w:r>
        <w:rPr>
          <w:spacing w:val="-3"/>
        </w:rPr>
        <w:t>业</w:t>
      </w:r>
      <w:r>
        <w:rPr/>
        <w:t>务</w:t>
      </w:r>
      <w:r>
        <w:rPr>
          <w:spacing w:val="-3"/>
        </w:rPr>
        <w:t>的</w:t>
      </w:r>
      <w:r>
        <w:rPr/>
        <w:t>申</w:t>
      </w:r>
      <w:r>
        <w:rPr>
          <w:spacing w:val="-3"/>
        </w:rPr>
        <w:t>请</w:t>
      </w:r>
      <w:r>
        <w:rPr/>
        <w:t>日</w:t>
      </w:r>
    </w:p>
    <w:p>
      <w:pPr>
        <w:pStyle w:val="BodyText"/>
        <w:spacing w:before="7"/>
        <w:rPr>
          <w:sz w:val="15"/>
        </w:rPr>
      </w:pPr>
    </w:p>
    <w:p>
      <w:pPr>
        <w:pStyle w:val="BodyText"/>
        <w:tabs>
          <w:tab w:pos="3519" w:val="left" w:leader="none"/>
        </w:tabs>
        <w:ind w:left="840"/>
      </w:pPr>
      <w:r>
        <w:rPr>
          <w:rFonts w:ascii="Times New Roman" w:eastAsia="Times New Roman"/>
        </w:rPr>
        <w:t>T+n </w:t>
      </w:r>
      <w:r>
        <w:rPr/>
        <w:t>日</w:t>
        <w:tab/>
        <w:t>指自</w:t>
      </w:r>
      <w:r>
        <w:rPr>
          <w:spacing w:val="-53"/>
        </w:rPr>
        <w:t> </w:t>
      </w:r>
      <w:r>
        <w:rPr/>
        <w:t>T</w:t>
      </w:r>
      <w:r>
        <w:rPr>
          <w:spacing w:val="-55"/>
        </w:rPr>
        <w:t> </w:t>
      </w:r>
      <w:r>
        <w:rPr/>
        <w:t>日</w:t>
      </w:r>
      <w:r>
        <w:rPr>
          <w:spacing w:val="-3"/>
        </w:rPr>
        <w:t>起</w:t>
      </w:r>
      <w:r>
        <w:rPr/>
        <w:t>第</w:t>
      </w:r>
      <w:r>
        <w:rPr>
          <w:spacing w:val="-52"/>
        </w:rPr>
        <w:t> </w:t>
      </w:r>
      <w:r>
        <w:rPr/>
        <w:t>n</w:t>
      </w:r>
      <w:r>
        <w:rPr>
          <w:spacing w:val="-55"/>
        </w:rPr>
        <w:t> </w:t>
      </w:r>
      <w:r>
        <w:rPr/>
        <w:t>个</w:t>
      </w:r>
      <w:r>
        <w:rPr>
          <w:spacing w:val="-3"/>
        </w:rPr>
        <w:t>工</w:t>
      </w:r>
      <w:r>
        <w:rPr/>
        <w:t>作</w:t>
      </w:r>
      <w:r>
        <w:rPr>
          <w:spacing w:val="-3"/>
        </w:rPr>
        <w:t>日</w:t>
      </w:r>
      <w:r>
        <w:rPr/>
        <w:t>（不</w:t>
      </w:r>
      <w:r>
        <w:rPr>
          <w:spacing w:val="-3"/>
        </w:rPr>
        <w:t>包</w:t>
      </w:r>
      <w:r>
        <w:rPr/>
        <w:t>含</w:t>
      </w:r>
      <w:r>
        <w:rPr>
          <w:spacing w:val="-53"/>
        </w:rPr>
        <w:t> </w:t>
      </w:r>
      <w:r>
        <w:rPr/>
        <w:t>T</w:t>
      </w:r>
      <w:r>
        <w:rPr>
          <w:spacing w:val="-54"/>
        </w:rPr>
        <w:t> </w:t>
      </w:r>
      <w:r>
        <w:rPr/>
        <w:t>日）</w:t>
      </w:r>
    </w:p>
    <w:p>
      <w:pPr>
        <w:pStyle w:val="BodyText"/>
        <w:spacing w:before="7"/>
        <w:rPr>
          <w:sz w:val="15"/>
        </w:rPr>
      </w:pPr>
    </w:p>
    <w:p>
      <w:pPr>
        <w:pStyle w:val="BodyText"/>
        <w:tabs>
          <w:tab w:pos="3519" w:val="left" w:leader="none"/>
        </w:tabs>
        <w:ind w:left="840"/>
        <w:jc w:val="both"/>
      </w:pPr>
      <w:r>
        <w:rPr/>
        <w:t>认购</w:t>
        <w:tab/>
        <w:t>指本</w:t>
      </w:r>
      <w:r>
        <w:rPr>
          <w:spacing w:val="-3"/>
        </w:rPr>
        <w:t>基</w:t>
      </w:r>
      <w:r>
        <w:rPr/>
        <w:t>金</w:t>
      </w:r>
      <w:r>
        <w:rPr>
          <w:spacing w:val="-3"/>
        </w:rPr>
        <w:t>在</w:t>
      </w:r>
      <w:r>
        <w:rPr/>
        <w:t>募</w:t>
      </w:r>
      <w:r>
        <w:rPr>
          <w:spacing w:val="-3"/>
        </w:rPr>
        <w:t>集</w:t>
      </w:r>
      <w:r>
        <w:rPr/>
        <w:t>期</w:t>
      </w:r>
      <w:r>
        <w:rPr>
          <w:spacing w:val="-3"/>
        </w:rPr>
        <w:t>内</w:t>
      </w:r>
      <w:r>
        <w:rPr/>
        <w:t>投</w:t>
      </w:r>
      <w:r>
        <w:rPr>
          <w:spacing w:val="-3"/>
        </w:rPr>
        <w:t>资</w:t>
      </w:r>
      <w:r>
        <w:rPr/>
        <w:t>者购</w:t>
      </w:r>
      <w:r>
        <w:rPr>
          <w:spacing w:val="-3"/>
        </w:rPr>
        <w:t>买</w:t>
      </w:r>
      <w:r>
        <w:rPr/>
        <w:t>本</w:t>
      </w:r>
      <w:r>
        <w:rPr>
          <w:spacing w:val="-3"/>
        </w:rPr>
        <w:t>基</w:t>
      </w:r>
      <w:r>
        <w:rPr/>
        <w:t>金</w:t>
      </w:r>
      <w:r>
        <w:rPr>
          <w:spacing w:val="-3"/>
        </w:rPr>
        <w:t>份</w:t>
      </w:r>
      <w:r>
        <w:rPr/>
        <w:t>额</w:t>
      </w:r>
      <w:r>
        <w:rPr>
          <w:spacing w:val="-3"/>
        </w:rPr>
        <w:t>的</w:t>
      </w:r>
      <w:r>
        <w:rPr/>
        <w:t>行为</w:t>
      </w:r>
    </w:p>
    <w:p>
      <w:pPr>
        <w:pStyle w:val="BodyText"/>
        <w:spacing w:before="6"/>
        <w:rPr>
          <w:sz w:val="15"/>
        </w:rPr>
      </w:pPr>
    </w:p>
    <w:p>
      <w:pPr>
        <w:pStyle w:val="BodyText"/>
        <w:tabs>
          <w:tab w:pos="3519" w:val="left" w:leader="none"/>
        </w:tabs>
        <w:spacing w:line="417" w:lineRule="auto"/>
        <w:ind w:left="3519" w:right="891" w:hanging="2679"/>
        <w:jc w:val="both"/>
      </w:pPr>
      <w:r>
        <w:rPr/>
        <w:t>申购</w:t>
        <w:tab/>
        <w:t>指基</w:t>
      </w:r>
      <w:r>
        <w:rPr>
          <w:spacing w:val="-3"/>
        </w:rPr>
        <w:t>金</w:t>
      </w:r>
      <w:r>
        <w:rPr/>
        <w:t>投</w:t>
      </w:r>
      <w:r>
        <w:rPr>
          <w:spacing w:val="-3"/>
        </w:rPr>
        <w:t>资</w:t>
      </w:r>
      <w:r>
        <w:rPr/>
        <w:t>者</w:t>
      </w:r>
      <w:r>
        <w:rPr>
          <w:spacing w:val="-3"/>
        </w:rPr>
        <w:t>根</w:t>
      </w:r>
      <w:r>
        <w:rPr/>
        <w:t>据</w:t>
      </w:r>
      <w:r>
        <w:rPr>
          <w:spacing w:val="-3"/>
        </w:rPr>
        <w:t>基</w:t>
      </w:r>
      <w:r>
        <w:rPr/>
        <w:t>金</w:t>
      </w:r>
      <w:r>
        <w:rPr>
          <w:spacing w:val="-3"/>
        </w:rPr>
        <w:t>销</w:t>
      </w:r>
      <w:r>
        <w:rPr/>
        <w:t>售网</w:t>
      </w:r>
      <w:r>
        <w:rPr>
          <w:spacing w:val="-3"/>
        </w:rPr>
        <w:t>点</w:t>
      </w:r>
      <w:r>
        <w:rPr/>
        <w:t>规</w:t>
      </w:r>
      <w:r>
        <w:rPr>
          <w:spacing w:val="-3"/>
        </w:rPr>
        <w:t>定</w:t>
      </w:r>
      <w:r>
        <w:rPr/>
        <w:t>的</w:t>
      </w:r>
      <w:r>
        <w:rPr>
          <w:spacing w:val="-3"/>
        </w:rPr>
        <w:t>手</w:t>
      </w:r>
      <w:r>
        <w:rPr/>
        <w:t>续</w:t>
      </w:r>
      <w:r>
        <w:rPr>
          <w:spacing w:val="-44"/>
        </w:rPr>
        <w:t>，</w:t>
      </w:r>
      <w:r>
        <w:rPr>
          <w:spacing w:val="-3"/>
        </w:rPr>
        <w:t>向基</w:t>
      </w:r>
      <w:r>
        <w:rPr/>
        <w:t>金管</w:t>
      </w:r>
      <w:r>
        <w:rPr>
          <w:spacing w:val="-3"/>
        </w:rPr>
        <w:t>理</w:t>
      </w:r>
      <w:r>
        <w:rPr/>
        <w:t>人购买基</w:t>
      </w:r>
      <w:r>
        <w:rPr>
          <w:spacing w:val="-3"/>
        </w:rPr>
        <w:t>金</w:t>
      </w:r>
      <w:r>
        <w:rPr/>
        <w:t>份</w:t>
      </w:r>
      <w:r>
        <w:rPr>
          <w:spacing w:val="-3"/>
        </w:rPr>
        <w:t>额</w:t>
      </w:r>
      <w:r>
        <w:rPr/>
        <w:t>的</w:t>
      </w:r>
      <w:r>
        <w:rPr>
          <w:spacing w:val="-3"/>
        </w:rPr>
        <w:t>行</w:t>
      </w:r>
      <w:r>
        <w:rPr/>
        <w:t>为</w:t>
      </w:r>
      <w:r>
        <w:rPr>
          <w:spacing w:val="-44"/>
        </w:rPr>
        <w:t>。</w:t>
      </w:r>
      <w:r>
        <w:rPr>
          <w:spacing w:val="-3"/>
        </w:rPr>
        <w:t>本基</w:t>
      </w:r>
      <w:r>
        <w:rPr/>
        <w:t>金的</w:t>
      </w:r>
      <w:r>
        <w:rPr>
          <w:spacing w:val="-3"/>
        </w:rPr>
        <w:t>日</w:t>
      </w:r>
      <w:r>
        <w:rPr/>
        <w:t>常</w:t>
      </w:r>
      <w:r>
        <w:rPr>
          <w:spacing w:val="-3"/>
        </w:rPr>
        <w:t>申</w:t>
      </w:r>
      <w:r>
        <w:rPr/>
        <w:t>购</w:t>
      </w:r>
      <w:r>
        <w:rPr>
          <w:spacing w:val="-3"/>
        </w:rPr>
        <w:t>自</w:t>
      </w:r>
      <w:r>
        <w:rPr/>
        <w:t>基</w:t>
      </w:r>
      <w:r>
        <w:rPr>
          <w:spacing w:val="-3"/>
        </w:rPr>
        <w:t>金</w:t>
      </w:r>
      <w:r>
        <w:rPr/>
        <w:t>合</w:t>
      </w:r>
      <w:r>
        <w:rPr>
          <w:spacing w:val="-3"/>
        </w:rPr>
        <w:t>同</w:t>
      </w:r>
      <w:r>
        <w:rPr/>
        <w:t>生效</w:t>
      </w:r>
      <w:r>
        <w:rPr>
          <w:spacing w:val="-3"/>
        </w:rPr>
        <w:t>后</w:t>
      </w:r>
      <w:r>
        <w:rPr/>
        <w:t>不超过</w:t>
      </w:r>
      <w:r>
        <w:rPr>
          <w:spacing w:val="-53"/>
        </w:rPr>
        <w:t> </w:t>
      </w:r>
      <w:r>
        <w:rPr/>
        <w:t>3</w:t>
      </w:r>
      <w:r>
        <w:rPr>
          <w:spacing w:val="-53"/>
        </w:rPr>
        <w:t> </w:t>
      </w:r>
      <w:r>
        <w:rPr>
          <w:spacing w:val="-3"/>
        </w:rPr>
        <w:t>个</w:t>
      </w:r>
      <w:r>
        <w:rPr/>
        <w:t>月</w:t>
      </w:r>
      <w:r>
        <w:rPr>
          <w:spacing w:val="-3"/>
        </w:rPr>
        <w:t>的</w:t>
      </w:r>
      <w:r>
        <w:rPr/>
        <w:t>时</w:t>
      </w:r>
      <w:r>
        <w:rPr>
          <w:spacing w:val="-3"/>
        </w:rPr>
        <w:t>间</w:t>
      </w:r>
      <w:r>
        <w:rPr/>
        <w:t>开</w:t>
      </w:r>
      <w:r>
        <w:rPr>
          <w:spacing w:val="-3"/>
        </w:rPr>
        <w:t>始</w:t>
      </w:r>
      <w:r>
        <w:rPr/>
        <w:t>办理</w:t>
      </w:r>
    </w:p>
    <w:p>
      <w:pPr>
        <w:pStyle w:val="BodyText"/>
        <w:tabs>
          <w:tab w:pos="3519" w:val="left" w:leader="none"/>
        </w:tabs>
        <w:spacing w:line="417" w:lineRule="auto"/>
        <w:ind w:left="3519" w:right="891" w:hanging="2679"/>
        <w:jc w:val="both"/>
      </w:pPr>
      <w:r>
        <w:rPr/>
        <w:t>赎回</w:t>
        <w:tab/>
        <w:t>指基</w:t>
      </w:r>
      <w:r>
        <w:rPr>
          <w:spacing w:val="-3"/>
        </w:rPr>
        <w:t>金</w:t>
      </w:r>
      <w:r>
        <w:rPr/>
        <w:t>投</w:t>
      </w:r>
      <w:r>
        <w:rPr>
          <w:spacing w:val="-3"/>
        </w:rPr>
        <w:t>资</w:t>
      </w:r>
      <w:r>
        <w:rPr/>
        <w:t>者</w:t>
      </w:r>
      <w:r>
        <w:rPr>
          <w:spacing w:val="-3"/>
        </w:rPr>
        <w:t>根</w:t>
      </w:r>
      <w:r>
        <w:rPr/>
        <w:t>据</w:t>
      </w:r>
      <w:r>
        <w:rPr>
          <w:spacing w:val="-3"/>
        </w:rPr>
        <w:t>基</w:t>
      </w:r>
      <w:r>
        <w:rPr/>
        <w:t>金</w:t>
      </w:r>
      <w:r>
        <w:rPr>
          <w:spacing w:val="-3"/>
        </w:rPr>
        <w:t>销</w:t>
      </w:r>
      <w:r>
        <w:rPr/>
        <w:t>售网</w:t>
      </w:r>
      <w:r>
        <w:rPr>
          <w:spacing w:val="-3"/>
        </w:rPr>
        <w:t>点</w:t>
      </w:r>
      <w:r>
        <w:rPr/>
        <w:t>规</w:t>
      </w:r>
      <w:r>
        <w:rPr>
          <w:spacing w:val="-3"/>
        </w:rPr>
        <w:t>定</w:t>
      </w:r>
      <w:r>
        <w:rPr/>
        <w:t>的</w:t>
      </w:r>
      <w:r>
        <w:rPr>
          <w:spacing w:val="-3"/>
        </w:rPr>
        <w:t>手</w:t>
      </w:r>
      <w:r>
        <w:rPr/>
        <w:t>续</w:t>
      </w:r>
      <w:r>
        <w:rPr>
          <w:spacing w:val="-44"/>
        </w:rPr>
        <w:t>，</w:t>
      </w:r>
      <w:r>
        <w:rPr>
          <w:spacing w:val="-3"/>
        </w:rPr>
        <w:t>向基</w:t>
      </w:r>
      <w:r>
        <w:rPr/>
        <w:t>金管</w:t>
      </w:r>
      <w:r>
        <w:rPr>
          <w:spacing w:val="-3"/>
        </w:rPr>
        <w:t>理</w:t>
      </w:r>
      <w:r>
        <w:rPr/>
        <w:t>人卖出基</w:t>
      </w:r>
      <w:r>
        <w:rPr>
          <w:spacing w:val="-3"/>
        </w:rPr>
        <w:t>金</w:t>
      </w:r>
      <w:r>
        <w:rPr/>
        <w:t>份</w:t>
      </w:r>
      <w:r>
        <w:rPr>
          <w:spacing w:val="-3"/>
        </w:rPr>
        <w:t>额</w:t>
      </w:r>
      <w:r>
        <w:rPr/>
        <w:t>的</w:t>
      </w:r>
      <w:r>
        <w:rPr>
          <w:spacing w:val="-3"/>
        </w:rPr>
        <w:t>行</w:t>
      </w:r>
      <w:r>
        <w:rPr/>
        <w:t>为</w:t>
      </w:r>
      <w:r>
        <w:rPr>
          <w:spacing w:val="-44"/>
        </w:rPr>
        <w:t>。</w:t>
      </w:r>
      <w:r>
        <w:rPr>
          <w:spacing w:val="-3"/>
        </w:rPr>
        <w:t>本基</w:t>
      </w:r>
      <w:r>
        <w:rPr/>
        <w:t>金的</w:t>
      </w:r>
      <w:r>
        <w:rPr>
          <w:spacing w:val="-3"/>
        </w:rPr>
        <w:t>日</w:t>
      </w:r>
      <w:r>
        <w:rPr/>
        <w:t>常</w:t>
      </w:r>
      <w:r>
        <w:rPr>
          <w:spacing w:val="-3"/>
        </w:rPr>
        <w:t>赎</w:t>
      </w:r>
      <w:r>
        <w:rPr/>
        <w:t>回</w:t>
      </w:r>
      <w:r>
        <w:rPr>
          <w:spacing w:val="-3"/>
        </w:rPr>
        <w:t>自</w:t>
      </w:r>
      <w:r>
        <w:rPr/>
        <w:t>基</w:t>
      </w:r>
      <w:r>
        <w:rPr>
          <w:spacing w:val="-3"/>
        </w:rPr>
        <w:t>金</w:t>
      </w:r>
      <w:r>
        <w:rPr/>
        <w:t>合</w:t>
      </w:r>
      <w:r>
        <w:rPr>
          <w:spacing w:val="-3"/>
        </w:rPr>
        <w:t>同</w:t>
      </w:r>
      <w:r>
        <w:rPr/>
        <w:t>生效</w:t>
      </w:r>
      <w:r>
        <w:rPr>
          <w:spacing w:val="-3"/>
        </w:rPr>
        <w:t>后</w:t>
      </w:r>
      <w:r>
        <w:rPr/>
        <w:t>不超过</w:t>
      </w:r>
      <w:r>
        <w:rPr>
          <w:spacing w:val="-53"/>
        </w:rPr>
        <w:t> </w:t>
      </w:r>
      <w:r>
        <w:rPr/>
        <w:t>3</w:t>
      </w:r>
      <w:r>
        <w:rPr>
          <w:spacing w:val="-53"/>
        </w:rPr>
        <w:t> </w:t>
      </w:r>
      <w:r>
        <w:rPr>
          <w:spacing w:val="-3"/>
        </w:rPr>
        <w:t>个</w:t>
      </w:r>
      <w:r>
        <w:rPr/>
        <w:t>月</w:t>
      </w:r>
      <w:r>
        <w:rPr>
          <w:spacing w:val="-3"/>
        </w:rPr>
        <w:t>的</w:t>
      </w:r>
      <w:r>
        <w:rPr/>
        <w:t>时</w:t>
      </w:r>
      <w:r>
        <w:rPr>
          <w:spacing w:val="-3"/>
        </w:rPr>
        <w:t>间</w:t>
      </w:r>
      <w:r>
        <w:rPr/>
        <w:t>开</w:t>
      </w:r>
      <w:r>
        <w:rPr>
          <w:spacing w:val="-3"/>
        </w:rPr>
        <w:t>始</w:t>
      </w:r>
      <w:r>
        <w:rPr/>
        <w:t>办理</w:t>
      </w:r>
    </w:p>
    <w:p>
      <w:pPr>
        <w:pStyle w:val="BodyText"/>
        <w:tabs>
          <w:tab w:pos="3519" w:val="left" w:leader="none"/>
        </w:tabs>
        <w:spacing w:line="417" w:lineRule="auto"/>
        <w:ind w:left="3519" w:right="901" w:hanging="2679"/>
        <w:jc w:val="both"/>
      </w:pPr>
      <w:r>
        <w:rPr/>
        <w:t>基金</w:t>
      </w:r>
      <w:r>
        <w:rPr>
          <w:spacing w:val="-3"/>
        </w:rPr>
        <w:t>账</w:t>
      </w:r>
      <w:r>
        <w:rPr/>
        <w:t>户</w:t>
        <w:tab/>
      </w:r>
      <w:r>
        <w:rPr>
          <w:spacing w:val="6"/>
        </w:rPr>
        <w:t>指</w:t>
      </w:r>
      <w:r>
        <w:rPr>
          <w:spacing w:val="4"/>
        </w:rPr>
        <w:t>基金</w:t>
      </w:r>
      <w:r>
        <w:rPr>
          <w:spacing w:val="6"/>
        </w:rPr>
        <w:t>注</w:t>
      </w:r>
      <w:r>
        <w:rPr>
          <w:spacing w:val="4"/>
        </w:rPr>
        <w:t>册登记</w:t>
      </w:r>
      <w:r>
        <w:rPr>
          <w:spacing w:val="6"/>
        </w:rPr>
        <w:t>人</w:t>
      </w:r>
      <w:r>
        <w:rPr>
          <w:spacing w:val="4"/>
        </w:rPr>
        <w:t>给投资</w:t>
      </w:r>
      <w:r>
        <w:rPr>
          <w:spacing w:val="6"/>
        </w:rPr>
        <w:t>者</w:t>
      </w:r>
      <w:r>
        <w:rPr>
          <w:spacing w:val="4"/>
        </w:rPr>
        <w:t>开立</w:t>
      </w:r>
      <w:r>
        <w:rPr>
          <w:spacing w:val="6"/>
        </w:rPr>
        <w:t>的</w:t>
      </w:r>
      <w:r>
        <w:rPr>
          <w:spacing w:val="4"/>
        </w:rPr>
        <w:t>用于记</w:t>
      </w:r>
      <w:r>
        <w:rPr>
          <w:spacing w:val="6"/>
        </w:rPr>
        <w:t>录</w:t>
      </w:r>
      <w:r>
        <w:rPr>
          <w:spacing w:val="4"/>
        </w:rPr>
        <w:t>投资者</w:t>
      </w:r>
      <w:r>
        <w:rPr>
          <w:spacing w:val="6"/>
        </w:rPr>
        <w:t>持</w:t>
      </w:r>
      <w:r>
        <w:rPr>
          <w:spacing w:val="4"/>
        </w:rPr>
        <w:t>有基</w:t>
      </w:r>
      <w:r>
        <w:rPr/>
        <w:t>金管理</w:t>
      </w:r>
      <w:r>
        <w:rPr>
          <w:spacing w:val="-3"/>
        </w:rPr>
        <w:t>人</w:t>
      </w:r>
      <w:r>
        <w:rPr/>
        <w:t>管</w:t>
      </w:r>
      <w:r>
        <w:rPr>
          <w:spacing w:val="-3"/>
        </w:rPr>
        <w:t>理</w:t>
      </w:r>
      <w:r>
        <w:rPr/>
        <w:t>的</w:t>
      </w:r>
      <w:r>
        <w:rPr>
          <w:spacing w:val="-3"/>
        </w:rPr>
        <w:t>开</w:t>
      </w:r>
      <w:r>
        <w:rPr/>
        <w:t>放</w:t>
      </w:r>
      <w:r>
        <w:rPr>
          <w:spacing w:val="-3"/>
        </w:rPr>
        <w:t>式</w:t>
      </w:r>
      <w:r>
        <w:rPr/>
        <w:t>基</w:t>
      </w:r>
      <w:r>
        <w:rPr>
          <w:spacing w:val="-3"/>
        </w:rPr>
        <w:t>金</w:t>
      </w:r>
      <w:r>
        <w:rPr/>
        <w:t>份额</w:t>
      </w:r>
      <w:r>
        <w:rPr>
          <w:spacing w:val="-3"/>
        </w:rPr>
        <w:t>情</w:t>
      </w:r>
      <w:r>
        <w:rPr/>
        <w:t>况</w:t>
      </w:r>
      <w:r>
        <w:rPr>
          <w:spacing w:val="-3"/>
        </w:rPr>
        <w:t>的</w:t>
      </w:r>
      <w:r>
        <w:rPr/>
        <w:t>账户</w:t>
      </w:r>
    </w:p>
    <w:p>
      <w:pPr>
        <w:pStyle w:val="BodyText"/>
        <w:tabs>
          <w:tab w:pos="3519" w:val="left" w:leader="none"/>
        </w:tabs>
        <w:spacing w:line="417" w:lineRule="auto"/>
        <w:ind w:left="3519" w:right="901" w:hanging="2679"/>
        <w:jc w:val="both"/>
      </w:pPr>
      <w:r>
        <w:rPr/>
        <w:t>交易</w:t>
      </w:r>
      <w:r>
        <w:rPr>
          <w:spacing w:val="-3"/>
        </w:rPr>
        <w:t>账</w:t>
      </w:r>
      <w:r>
        <w:rPr/>
        <w:t>户</w:t>
        <w:tab/>
      </w:r>
      <w:r>
        <w:rPr>
          <w:spacing w:val="6"/>
        </w:rPr>
        <w:t>指</w:t>
      </w:r>
      <w:r>
        <w:rPr>
          <w:spacing w:val="4"/>
        </w:rPr>
        <w:t>各销</w:t>
      </w:r>
      <w:r>
        <w:rPr>
          <w:spacing w:val="6"/>
        </w:rPr>
        <w:t>售</w:t>
      </w:r>
      <w:r>
        <w:rPr>
          <w:spacing w:val="4"/>
        </w:rPr>
        <w:t>机构为</w:t>
      </w:r>
      <w:r>
        <w:rPr>
          <w:spacing w:val="6"/>
        </w:rPr>
        <w:t>投</w:t>
      </w:r>
      <w:r>
        <w:rPr>
          <w:spacing w:val="4"/>
        </w:rPr>
        <w:t>资者开</w:t>
      </w:r>
      <w:r>
        <w:rPr>
          <w:spacing w:val="6"/>
        </w:rPr>
        <w:t>立</w:t>
      </w:r>
      <w:r>
        <w:rPr>
          <w:spacing w:val="4"/>
        </w:rPr>
        <w:t>的记</w:t>
      </w:r>
      <w:r>
        <w:rPr>
          <w:spacing w:val="6"/>
        </w:rPr>
        <w:t>录</w:t>
      </w:r>
      <w:r>
        <w:rPr>
          <w:spacing w:val="4"/>
        </w:rPr>
        <w:t>投资者</w:t>
      </w:r>
      <w:r>
        <w:rPr>
          <w:spacing w:val="6"/>
        </w:rPr>
        <w:t>通</w:t>
      </w:r>
      <w:r>
        <w:rPr>
          <w:spacing w:val="4"/>
        </w:rPr>
        <w:t>过该销</w:t>
      </w:r>
      <w:r>
        <w:rPr>
          <w:spacing w:val="6"/>
        </w:rPr>
        <w:t>售</w:t>
      </w:r>
      <w:r>
        <w:rPr>
          <w:spacing w:val="4"/>
        </w:rPr>
        <w:t>机构</w:t>
      </w:r>
      <w:r>
        <w:rPr/>
        <w:t>办理基</w:t>
      </w:r>
      <w:r>
        <w:rPr>
          <w:spacing w:val="-3"/>
        </w:rPr>
        <w:t>金</w:t>
      </w:r>
      <w:r>
        <w:rPr/>
        <w:t>交</w:t>
      </w:r>
      <w:r>
        <w:rPr>
          <w:spacing w:val="-3"/>
        </w:rPr>
        <w:t>易</w:t>
      </w:r>
      <w:r>
        <w:rPr/>
        <w:t>所</w:t>
      </w:r>
      <w:r>
        <w:rPr>
          <w:spacing w:val="-3"/>
        </w:rPr>
        <w:t>引</w:t>
      </w:r>
      <w:r>
        <w:rPr/>
        <w:t>起</w:t>
      </w:r>
      <w:r>
        <w:rPr>
          <w:spacing w:val="-3"/>
        </w:rPr>
        <w:t>的</w:t>
      </w:r>
      <w:r>
        <w:rPr/>
        <w:t>基</w:t>
      </w:r>
      <w:r>
        <w:rPr>
          <w:spacing w:val="-3"/>
        </w:rPr>
        <w:t>金</w:t>
      </w:r>
      <w:r>
        <w:rPr/>
        <w:t>份额</w:t>
      </w:r>
      <w:r>
        <w:rPr>
          <w:spacing w:val="-3"/>
        </w:rPr>
        <w:t>的</w:t>
      </w:r>
      <w:r>
        <w:rPr/>
        <w:t>变</w:t>
      </w:r>
      <w:r>
        <w:rPr>
          <w:spacing w:val="-3"/>
        </w:rPr>
        <w:t>动</w:t>
      </w:r>
      <w:r>
        <w:rPr/>
        <w:t>及</w:t>
      </w:r>
      <w:r>
        <w:rPr>
          <w:spacing w:val="-3"/>
        </w:rPr>
        <w:t>结</w:t>
      </w:r>
      <w:r>
        <w:rPr/>
        <w:t>余</w:t>
      </w:r>
      <w:r>
        <w:rPr>
          <w:spacing w:val="-3"/>
        </w:rPr>
        <w:t>情</w:t>
      </w:r>
      <w:r>
        <w:rPr/>
        <w:t>况</w:t>
      </w:r>
      <w:r>
        <w:rPr>
          <w:spacing w:val="-3"/>
        </w:rPr>
        <w:t>的</w:t>
      </w:r>
      <w:r>
        <w:rPr/>
        <w:t>账户</w:t>
      </w:r>
    </w:p>
    <w:p>
      <w:pPr>
        <w:pStyle w:val="BodyText"/>
        <w:tabs>
          <w:tab w:pos="3519" w:val="left" w:leader="none"/>
        </w:tabs>
        <w:spacing w:line="417" w:lineRule="auto"/>
        <w:ind w:left="3519" w:right="902" w:hanging="2679"/>
        <w:jc w:val="both"/>
      </w:pPr>
      <w:r>
        <w:rPr/>
        <w:t>转托管</w:t>
        <w:tab/>
      </w:r>
      <w:r>
        <w:rPr>
          <w:spacing w:val="7"/>
        </w:rPr>
        <w:t>指</w:t>
      </w:r>
      <w:r>
        <w:rPr>
          <w:spacing w:val="4"/>
        </w:rPr>
        <w:t>投资</w:t>
      </w:r>
      <w:r>
        <w:rPr>
          <w:spacing w:val="6"/>
        </w:rPr>
        <w:t>者</w:t>
      </w:r>
      <w:r>
        <w:rPr>
          <w:spacing w:val="4"/>
        </w:rPr>
        <w:t>将其持</w:t>
      </w:r>
      <w:r>
        <w:rPr>
          <w:spacing w:val="6"/>
        </w:rPr>
        <w:t>有</w:t>
      </w:r>
      <w:r>
        <w:rPr>
          <w:spacing w:val="4"/>
        </w:rPr>
        <w:t>的同一</w:t>
      </w:r>
      <w:r>
        <w:rPr>
          <w:spacing w:val="6"/>
        </w:rPr>
        <w:t>基</w:t>
      </w:r>
      <w:r>
        <w:rPr>
          <w:spacing w:val="4"/>
        </w:rPr>
        <w:t>金账</w:t>
      </w:r>
      <w:r>
        <w:rPr>
          <w:spacing w:val="6"/>
        </w:rPr>
        <w:t>户</w:t>
      </w:r>
      <w:r>
        <w:rPr>
          <w:spacing w:val="4"/>
        </w:rPr>
        <w:t>下的基</w:t>
      </w:r>
      <w:r>
        <w:rPr>
          <w:spacing w:val="6"/>
        </w:rPr>
        <w:t>金</w:t>
      </w:r>
      <w:r>
        <w:rPr>
          <w:spacing w:val="4"/>
        </w:rPr>
        <w:t>份额从</w:t>
      </w:r>
      <w:r>
        <w:rPr>
          <w:spacing w:val="6"/>
        </w:rPr>
        <w:t>某</w:t>
      </w:r>
      <w:r>
        <w:rPr>
          <w:spacing w:val="4"/>
        </w:rPr>
        <w:t>一交</w:t>
      </w:r>
      <w:r>
        <w:rPr/>
        <w:t>易账户</w:t>
      </w:r>
      <w:r>
        <w:rPr>
          <w:spacing w:val="-3"/>
        </w:rPr>
        <w:t>转</w:t>
      </w:r>
      <w:r>
        <w:rPr/>
        <w:t>入</w:t>
      </w:r>
      <w:r>
        <w:rPr>
          <w:spacing w:val="-3"/>
        </w:rPr>
        <w:t>另</w:t>
      </w:r>
      <w:r>
        <w:rPr/>
        <w:t>一</w:t>
      </w:r>
      <w:r>
        <w:rPr>
          <w:spacing w:val="-3"/>
        </w:rPr>
        <w:t>交</w:t>
      </w:r>
      <w:r>
        <w:rPr/>
        <w:t>易</w:t>
      </w:r>
      <w:r>
        <w:rPr>
          <w:spacing w:val="-3"/>
        </w:rPr>
        <w:t>账</w:t>
      </w:r>
      <w:r>
        <w:rPr/>
        <w:t>户</w:t>
      </w:r>
      <w:r>
        <w:rPr>
          <w:spacing w:val="-3"/>
        </w:rPr>
        <w:t>的</w:t>
      </w:r>
      <w:r>
        <w:rPr/>
        <w:t>业务</w:t>
      </w:r>
    </w:p>
    <w:p>
      <w:pPr>
        <w:pStyle w:val="BodyText"/>
        <w:tabs>
          <w:tab w:pos="3519" w:val="left" w:leader="none"/>
        </w:tabs>
        <w:spacing w:line="417" w:lineRule="auto"/>
        <w:ind w:left="3519" w:right="848" w:hanging="2679"/>
        <w:jc w:val="both"/>
      </w:pPr>
      <w:r>
        <w:rPr/>
        <w:t>基金</w:t>
      </w:r>
      <w:r>
        <w:rPr>
          <w:spacing w:val="-3"/>
        </w:rPr>
        <w:t>转</w:t>
      </w:r>
      <w:r>
        <w:rPr/>
        <w:t>换</w:t>
        <w:tab/>
      </w:r>
      <w:r>
        <w:rPr>
          <w:spacing w:val="6"/>
        </w:rPr>
        <w:t>指</w:t>
      </w:r>
      <w:r>
        <w:rPr>
          <w:spacing w:val="4"/>
        </w:rPr>
        <w:t>投资</w:t>
      </w:r>
      <w:r>
        <w:rPr>
          <w:spacing w:val="6"/>
        </w:rPr>
        <w:t>者</w:t>
      </w:r>
      <w:r>
        <w:rPr>
          <w:spacing w:val="4"/>
        </w:rPr>
        <w:t>向本基</w:t>
      </w:r>
      <w:r>
        <w:rPr>
          <w:spacing w:val="6"/>
        </w:rPr>
        <w:t>金</w:t>
      </w:r>
      <w:r>
        <w:rPr>
          <w:spacing w:val="4"/>
        </w:rPr>
        <w:t>管理人</w:t>
      </w:r>
      <w:r>
        <w:rPr>
          <w:spacing w:val="6"/>
        </w:rPr>
        <w:t>提</w:t>
      </w:r>
      <w:r>
        <w:rPr>
          <w:spacing w:val="4"/>
        </w:rPr>
        <w:t>出申</w:t>
      </w:r>
      <w:r>
        <w:rPr>
          <w:spacing w:val="6"/>
        </w:rPr>
        <w:t>请</w:t>
      </w:r>
      <w:r>
        <w:rPr>
          <w:spacing w:val="4"/>
        </w:rPr>
        <w:t>将其所</w:t>
      </w:r>
      <w:r>
        <w:rPr>
          <w:spacing w:val="6"/>
        </w:rPr>
        <w:t>持</w:t>
      </w:r>
      <w:r>
        <w:rPr>
          <w:spacing w:val="4"/>
        </w:rPr>
        <w:t>有的本</w:t>
      </w:r>
      <w:r>
        <w:rPr>
          <w:spacing w:val="6"/>
        </w:rPr>
        <w:t>基</w:t>
      </w:r>
      <w:r>
        <w:rPr>
          <w:spacing w:val="4"/>
        </w:rPr>
        <w:t>金管</w:t>
      </w:r>
      <w:r>
        <w:rPr/>
        <w:t>理人管</w:t>
      </w:r>
      <w:r>
        <w:rPr>
          <w:spacing w:val="-3"/>
        </w:rPr>
        <w:t>理</w:t>
      </w:r>
      <w:r>
        <w:rPr/>
        <w:t>的</w:t>
      </w:r>
      <w:r>
        <w:rPr>
          <w:spacing w:val="-3"/>
        </w:rPr>
        <w:t>任</w:t>
      </w:r>
      <w:r>
        <w:rPr/>
        <w:t>一</w:t>
      </w:r>
      <w:r>
        <w:rPr>
          <w:spacing w:val="-3"/>
        </w:rPr>
        <w:t>开</w:t>
      </w:r>
      <w:r>
        <w:rPr/>
        <w:t>放</w:t>
      </w:r>
      <w:r>
        <w:rPr>
          <w:spacing w:val="-3"/>
        </w:rPr>
        <w:t>式</w:t>
      </w:r>
      <w:r>
        <w:rPr/>
        <w:t>基</w:t>
      </w:r>
      <w:r>
        <w:rPr>
          <w:spacing w:val="-25"/>
        </w:rPr>
        <w:t>金</w:t>
      </w:r>
      <w:r>
        <w:rPr/>
        <w:t>（转</w:t>
      </w:r>
      <w:r>
        <w:rPr>
          <w:spacing w:val="-3"/>
        </w:rPr>
        <w:t>出</w:t>
      </w:r>
      <w:r>
        <w:rPr/>
        <w:t>基金</w:t>
      </w:r>
      <w:r>
        <w:rPr>
          <w:spacing w:val="-25"/>
        </w:rPr>
        <w:t>）</w:t>
      </w:r>
      <w:r>
        <w:rPr/>
        <w:t>的</w:t>
      </w:r>
      <w:r>
        <w:rPr>
          <w:spacing w:val="-3"/>
        </w:rPr>
        <w:t>全</w:t>
      </w:r>
      <w:r>
        <w:rPr/>
        <w:t>部</w:t>
      </w:r>
      <w:r>
        <w:rPr>
          <w:spacing w:val="-3"/>
        </w:rPr>
        <w:t>或部</w:t>
      </w:r>
      <w:r>
        <w:rPr/>
        <w:t>分基</w:t>
      </w:r>
      <w:r>
        <w:rPr>
          <w:spacing w:val="-3"/>
        </w:rPr>
        <w:t>金</w:t>
      </w:r>
      <w:r>
        <w:rPr/>
        <w:t>份额转换</w:t>
      </w:r>
      <w:r>
        <w:rPr>
          <w:spacing w:val="-3"/>
        </w:rPr>
        <w:t>为</w:t>
      </w:r>
      <w:r>
        <w:rPr/>
        <w:t>本</w:t>
      </w:r>
      <w:r>
        <w:rPr>
          <w:spacing w:val="-3"/>
        </w:rPr>
        <w:t>基</w:t>
      </w:r>
      <w:r>
        <w:rPr/>
        <w:t>金</w:t>
      </w:r>
      <w:r>
        <w:rPr>
          <w:spacing w:val="-3"/>
        </w:rPr>
        <w:t>管</w:t>
      </w:r>
      <w:r>
        <w:rPr/>
        <w:t>理</w:t>
      </w:r>
      <w:r>
        <w:rPr>
          <w:spacing w:val="-3"/>
        </w:rPr>
        <w:t>人</w:t>
      </w:r>
      <w:r>
        <w:rPr/>
        <w:t>管</w:t>
      </w:r>
      <w:r>
        <w:rPr>
          <w:spacing w:val="-3"/>
        </w:rPr>
        <w:t>理</w:t>
      </w:r>
      <w:r>
        <w:rPr/>
        <w:t>的任</w:t>
      </w:r>
      <w:r>
        <w:rPr>
          <w:spacing w:val="-3"/>
        </w:rPr>
        <w:t>何</w:t>
      </w:r>
      <w:r>
        <w:rPr/>
        <w:t>其</w:t>
      </w:r>
      <w:r>
        <w:rPr>
          <w:spacing w:val="-3"/>
        </w:rPr>
        <w:t>他</w:t>
      </w:r>
      <w:r>
        <w:rPr/>
        <w:t>开</w:t>
      </w:r>
      <w:r>
        <w:rPr>
          <w:spacing w:val="-3"/>
        </w:rPr>
        <w:t>放</w:t>
      </w:r>
      <w:r>
        <w:rPr/>
        <w:t>式</w:t>
      </w:r>
      <w:r>
        <w:rPr>
          <w:spacing w:val="-3"/>
        </w:rPr>
        <w:t>基</w:t>
      </w:r>
      <w:r>
        <w:rPr/>
        <w:t>金</w:t>
      </w:r>
      <w:r>
        <w:rPr>
          <w:spacing w:val="-3"/>
        </w:rPr>
        <w:t>（</w:t>
      </w:r>
      <w:r>
        <w:rPr/>
        <w:t>转入</w:t>
      </w:r>
      <w:r>
        <w:rPr>
          <w:spacing w:val="-3"/>
        </w:rPr>
        <w:t>基</w:t>
      </w:r>
      <w:r>
        <w:rPr/>
        <w:t>金） 的基</w:t>
      </w:r>
      <w:r>
        <w:rPr>
          <w:spacing w:val="-3"/>
        </w:rPr>
        <w:t>金</w:t>
      </w:r>
      <w:r>
        <w:rPr/>
        <w:t>份</w:t>
      </w:r>
      <w:r>
        <w:rPr>
          <w:spacing w:val="-3"/>
        </w:rPr>
        <w:t>额</w:t>
      </w:r>
      <w:r>
        <w:rPr/>
        <w:t>的</w:t>
      </w:r>
      <w:r>
        <w:rPr>
          <w:spacing w:val="-3"/>
        </w:rPr>
        <w:t>行</w:t>
      </w:r>
      <w:r>
        <w:rPr/>
        <w:t>为</w:t>
      </w:r>
    </w:p>
    <w:p>
      <w:pPr>
        <w:pStyle w:val="BodyText"/>
        <w:spacing w:line="269" w:lineRule="exact"/>
        <w:ind w:left="840"/>
        <w:jc w:val="both"/>
      </w:pPr>
      <w:r>
        <w:rPr>
          <w:spacing w:val="-5"/>
        </w:rPr>
        <w:t>定期定额投资计划         指投资者通过有关销售机构提出申请，约定每期扣款日、扣款</w:t>
      </w:r>
    </w:p>
    <w:p>
      <w:pPr>
        <w:pStyle w:val="BodyText"/>
        <w:spacing w:before="6"/>
        <w:rPr>
          <w:sz w:val="15"/>
        </w:rPr>
      </w:pPr>
    </w:p>
    <w:p>
      <w:pPr>
        <w:pStyle w:val="BodyText"/>
        <w:ind w:left="3519"/>
      </w:pPr>
      <w:r>
        <w:rPr>
          <w:spacing w:val="-8"/>
        </w:rPr>
        <w:t>金额及扣款方式，由销售机构于每期约定扣款日在投资者指定</w:t>
      </w:r>
    </w:p>
    <w:p>
      <w:pPr>
        <w:spacing w:after="0"/>
        <w:sectPr>
          <w:pgSz w:w="11910" w:h="16840"/>
          <w:pgMar w:header="877" w:footer="995" w:top="1100" w:bottom="1180" w:left="960" w:right="900"/>
        </w:sectPr>
      </w:pPr>
    </w:p>
    <w:p>
      <w:pPr>
        <w:pStyle w:val="BodyText"/>
        <w:spacing w:before="4"/>
        <w:rPr>
          <w:sz w:val="27"/>
        </w:rPr>
      </w:pPr>
    </w:p>
    <w:p>
      <w:pPr>
        <w:pStyle w:val="BodyText"/>
        <w:spacing w:before="71"/>
        <w:ind w:left="3519"/>
      </w:pPr>
      <w:r>
        <w:rPr/>
        <w:t>银行账户内自动完成扣款及基金申购申请的一种投资方式</w:t>
      </w:r>
    </w:p>
    <w:p>
      <w:pPr>
        <w:pStyle w:val="BodyText"/>
        <w:spacing w:before="7"/>
        <w:rPr>
          <w:sz w:val="15"/>
        </w:rPr>
      </w:pPr>
    </w:p>
    <w:p>
      <w:pPr>
        <w:pStyle w:val="BodyText"/>
        <w:tabs>
          <w:tab w:pos="3519" w:val="left" w:leader="none"/>
        </w:tabs>
        <w:spacing w:line="417" w:lineRule="auto"/>
        <w:ind w:left="3519" w:right="891" w:hanging="2679"/>
      </w:pPr>
      <w:r>
        <w:rPr/>
        <w:t>基金</w:t>
      </w:r>
      <w:r>
        <w:rPr>
          <w:spacing w:val="-3"/>
        </w:rPr>
        <w:t>收</w:t>
      </w:r>
      <w:r>
        <w:rPr/>
        <w:t>益</w:t>
        <w:tab/>
        <w:t>指基</w:t>
      </w:r>
      <w:r>
        <w:rPr>
          <w:spacing w:val="-3"/>
        </w:rPr>
        <w:t>金</w:t>
      </w:r>
      <w:r>
        <w:rPr/>
        <w:t>投</w:t>
      </w:r>
      <w:r>
        <w:rPr>
          <w:spacing w:val="-3"/>
        </w:rPr>
        <w:t>资</w:t>
      </w:r>
      <w:r>
        <w:rPr/>
        <w:t>所</w:t>
      </w:r>
      <w:r>
        <w:rPr>
          <w:spacing w:val="-3"/>
        </w:rPr>
        <w:t>得</w:t>
      </w:r>
      <w:r>
        <w:rPr/>
        <w:t>股</w:t>
      </w:r>
      <w:r>
        <w:rPr>
          <w:spacing w:val="-3"/>
        </w:rPr>
        <w:t>票</w:t>
      </w:r>
      <w:r>
        <w:rPr/>
        <w:t>红</w:t>
      </w:r>
      <w:r>
        <w:rPr>
          <w:spacing w:val="-3"/>
        </w:rPr>
        <w:t>利</w:t>
      </w:r>
      <w:r>
        <w:rPr>
          <w:spacing w:val="-15"/>
        </w:rPr>
        <w:t>、</w:t>
      </w:r>
      <w:r>
        <w:rPr/>
        <w:t>债</w:t>
      </w:r>
      <w:r>
        <w:rPr>
          <w:spacing w:val="-3"/>
        </w:rPr>
        <w:t>券</w:t>
      </w:r>
      <w:r>
        <w:rPr/>
        <w:t>利</w:t>
      </w:r>
      <w:r>
        <w:rPr>
          <w:spacing w:val="-3"/>
        </w:rPr>
        <w:t>息</w:t>
      </w:r>
      <w:r>
        <w:rPr>
          <w:spacing w:val="-15"/>
        </w:rPr>
        <w:t>、</w:t>
      </w:r>
      <w:r>
        <w:rPr>
          <w:spacing w:val="-3"/>
        </w:rPr>
        <w:t>票</w:t>
      </w:r>
      <w:r>
        <w:rPr/>
        <w:t>据</w:t>
      </w:r>
      <w:r>
        <w:rPr>
          <w:spacing w:val="-3"/>
        </w:rPr>
        <w:t>投</w:t>
      </w:r>
      <w:r>
        <w:rPr/>
        <w:t>资</w:t>
      </w:r>
      <w:r>
        <w:rPr>
          <w:spacing w:val="-3"/>
        </w:rPr>
        <w:t>收</w:t>
      </w:r>
      <w:r>
        <w:rPr/>
        <w:t>益</w:t>
      </w:r>
      <w:r>
        <w:rPr>
          <w:spacing w:val="-15"/>
        </w:rPr>
        <w:t>、</w:t>
      </w:r>
      <w:r>
        <w:rPr>
          <w:spacing w:val="-3"/>
        </w:rPr>
        <w:t>买</w:t>
      </w:r>
      <w:r>
        <w:rPr/>
        <w:t>卖证券差</w:t>
      </w:r>
      <w:r>
        <w:rPr>
          <w:spacing w:val="-3"/>
        </w:rPr>
        <w:t>价</w:t>
      </w:r>
      <w:r>
        <w:rPr/>
        <w:t>、</w:t>
      </w:r>
      <w:r>
        <w:rPr>
          <w:spacing w:val="-3"/>
        </w:rPr>
        <w:t>银</w:t>
      </w:r>
      <w:r>
        <w:rPr/>
        <w:t>行</w:t>
      </w:r>
      <w:r>
        <w:rPr>
          <w:spacing w:val="-3"/>
        </w:rPr>
        <w:t>存</w:t>
      </w:r>
      <w:r>
        <w:rPr/>
        <w:t>款</w:t>
      </w:r>
      <w:r>
        <w:rPr>
          <w:spacing w:val="-3"/>
        </w:rPr>
        <w:t>利</w:t>
      </w:r>
      <w:r>
        <w:rPr/>
        <w:t>息</w:t>
      </w:r>
      <w:r>
        <w:rPr>
          <w:spacing w:val="-3"/>
        </w:rPr>
        <w:t>以</w:t>
      </w:r>
      <w:r>
        <w:rPr/>
        <w:t>及其</w:t>
      </w:r>
      <w:r>
        <w:rPr>
          <w:spacing w:val="-3"/>
        </w:rPr>
        <w:t>他</w:t>
      </w:r>
      <w:r>
        <w:rPr/>
        <w:t>收益</w:t>
      </w:r>
    </w:p>
    <w:p>
      <w:pPr>
        <w:pStyle w:val="BodyText"/>
        <w:tabs>
          <w:tab w:pos="3519" w:val="left" w:leader="none"/>
        </w:tabs>
        <w:spacing w:line="269" w:lineRule="exact"/>
        <w:ind w:left="840"/>
      </w:pPr>
      <w:r>
        <w:rPr/>
        <w:t>基金</w:t>
      </w:r>
      <w:r>
        <w:rPr>
          <w:spacing w:val="-3"/>
        </w:rPr>
        <w:t>资</w:t>
      </w:r>
      <w:r>
        <w:rPr/>
        <w:t>产</w:t>
      </w:r>
      <w:r>
        <w:rPr>
          <w:spacing w:val="-3"/>
        </w:rPr>
        <w:t>总</w:t>
      </w:r>
      <w:r>
        <w:rPr/>
        <w:t>值</w:t>
        <w:tab/>
        <w:t>指基</w:t>
      </w:r>
      <w:r>
        <w:rPr>
          <w:spacing w:val="-3"/>
        </w:rPr>
        <w:t>金</w:t>
      </w:r>
      <w:r>
        <w:rPr/>
        <w:t>所</w:t>
      </w:r>
      <w:r>
        <w:rPr>
          <w:spacing w:val="-3"/>
        </w:rPr>
        <w:t>购</w:t>
      </w:r>
      <w:r>
        <w:rPr/>
        <w:t>买</w:t>
      </w:r>
      <w:r>
        <w:rPr>
          <w:spacing w:val="-3"/>
        </w:rPr>
        <w:t>的</w:t>
      </w:r>
      <w:r>
        <w:rPr/>
        <w:t>各</w:t>
      </w:r>
      <w:r>
        <w:rPr>
          <w:spacing w:val="-3"/>
        </w:rPr>
        <w:t>类</w:t>
      </w:r>
      <w:r>
        <w:rPr/>
        <w:t>证</w:t>
      </w:r>
      <w:r>
        <w:rPr>
          <w:spacing w:val="-3"/>
        </w:rPr>
        <w:t>券</w:t>
      </w:r>
      <w:r>
        <w:rPr/>
        <w:t>及票</w:t>
      </w:r>
      <w:r>
        <w:rPr>
          <w:spacing w:val="-3"/>
        </w:rPr>
        <w:t>据</w:t>
      </w:r>
      <w:r>
        <w:rPr/>
        <w:t>价值</w:t>
      </w:r>
      <w:r>
        <w:rPr>
          <w:spacing w:val="-46"/>
        </w:rPr>
        <w:t>、</w:t>
      </w:r>
      <w:r>
        <w:rPr/>
        <w:t>银</w:t>
      </w:r>
      <w:r>
        <w:rPr>
          <w:spacing w:val="-3"/>
        </w:rPr>
        <w:t>行</w:t>
      </w:r>
      <w:r>
        <w:rPr/>
        <w:t>存</w:t>
      </w:r>
      <w:r>
        <w:rPr>
          <w:spacing w:val="-3"/>
        </w:rPr>
        <w:t>款本</w:t>
      </w:r>
      <w:r>
        <w:rPr/>
        <w:t>息和</w:t>
      </w:r>
      <w:r>
        <w:rPr>
          <w:spacing w:val="-3"/>
        </w:rPr>
        <w:t>本</w:t>
      </w:r>
      <w:r>
        <w:rPr/>
        <w:t>基金</w:t>
      </w:r>
    </w:p>
    <w:p>
      <w:pPr>
        <w:pStyle w:val="BodyText"/>
        <w:spacing w:before="7"/>
        <w:rPr>
          <w:sz w:val="15"/>
        </w:rPr>
      </w:pPr>
    </w:p>
    <w:p>
      <w:pPr>
        <w:pStyle w:val="BodyText"/>
        <w:ind w:left="3519"/>
      </w:pPr>
      <w:r>
        <w:rPr/>
        <w:t>应收的申购基金款以及其他投资所形成的价值总和</w:t>
      </w:r>
    </w:p>
    <w:p>
      <w:pPr>
        <w:pStyle w:val="BodyText"/>
        <w:spacing w:before="6"/>
        <w:rPr>
          <w:sz w:val="15"/>
        </w:rPr>
      </w:pPr>
    </w:p>
    <w:p>
      <w:pPr>
        <w:pStyle w:val="BodyText"/>
        <w:tabs>
          <w:tab w:pos="3519" w:val="left" w:leader="none"/>
        </w:tabs>
        <w:spacing w:before="1"/>
        <w:ind w:left="840"/>
      </w:pPr>
      <w:r>
        <w:rPr/>
        <w:t>基金</w:t>
      </w:r>
      <w:r>
        <w:rPr>
          <w:spacing w:val="-3"/>
        </w:rPr>
        <w:t>资</w:t>
      </w:r>
      <w:r>
        <w:rPr/>
        <w:t>产</w:t>
      </w:r>
      <w:r>
        <w:rPr>
          <w:spacing w:val="-3"/>
        </w:rPr>
        <w:t>净</w:t>
      </w:r>
      <w:r>
        <w:rPr/>
        <w:t>值</w:t>
        <w:tab/>
        <w:t>指基</w:t>
      </w:r>
      <w:r>
        <w:rPr>
          <w:spacing w:val="-3"/>
        </w:rPr>
        <w:t>金</w:t>
      </w:r>
      <w:r>
        <w:rPr/>
        <w:t>资</w:t>
      </w:r>
      <w:r>
        <w:rPr>
          <w:spacing w:val="-3"/>
        </w:rPr>
        <w:t>产</w:t>
      </w:r>
      <w:r>
        <w:rPr/>
        <w:t>总</w:t>
      </w:r>
      <w:r>
        <w:rPr>
          <w:spacing w:val="-3"/>
        </w:rPr>
        <w:t>值</w:t>
      </w:r>
      <w:r>
        <w:rPr/>
        <w:t>扣</w:t>
      </w:r>
      <w:r>
        <w:rPr>
          <w:spacing w:val="-3"/>
        </w:rPr>
        <w:t>除</w:t>
      </w:r>
      <w:r>
        <w:rPr/>
        <w:t>负</w:t>
      </w:r>
      <w:r>
        <w:rPr>
          <w:spacing w:val="-3"/>
        </w:rPr>
        <w:t>债</w:t>
      </w:r>
      <w:r>
        <w:rPr/>
        <w:t>后的</w:t>
      </w:r>
      <w:r>
        <w:rPr>
          <w:spacing w:val="-3"/>
        </w:rPr>
        <w:t>净</w:t>
      </w:r>
      <w:r>
        <w:rPr/>
        <w:t>资</w:t>
      </w:r>
      <w:r>
        <w:rPr>
          <w:spacing w:val="-3"/>
        </w:rPr>
        <w:t>产</w:t>
      </w:r>
      <w:r>
        <w:rPr/>
        <w:t>值</w:t>
      </w:r>
    </w:p>
    <w:p>
      <w:pPr>
        <w:pStyle w:val="BodyText"/>
        <w:spacing w:before="6"/>
        <w:rPr>
          <w:sz w:val="15"/>
        </w:rPr>
      </w:pPr>
    </w:p>
    <w:p>
      <w:pPr>
        <w:pStyle w:val="BodyText"/>
        <w:tabs>
          <w:tab w:pos="3519" w:val="left" w:leader="none"/>
        </w:tabs>
        <w:ind w:left="840"/>
      </w:pPr>
      <w:r>
        <w:rPr/>
        <w:t>基金</w:t>
      </w:r>
      <w:r>
        <w:rPr>
          <w:spacing w:val="-3"/>
        </w:rPr>
        <w:t>份</w:t>
      </w:r>
      <w:r>
        <w:rPr/>
        <w:t>额</w:t>
      </w:r>
      <w:r>
        <w:rPr>
          <w:spacing w:val="-3"/>
        </w:rPr>
        <w:t>净</w:t>
      </w:r>
      <w:r>
        <w:rPr/>
        <w:t>值</w:t>
        <w:tab/>
      </w:r>
      <w:r>
        <w:rPr>
          <w:spacing w:val="6"/>
        </w:rPr>
        <w:t>指</w:t>
      </w:r>
      <w:r>
        <w:rPr>
          <w:spacing w:val="4"/>
        </w:rPr>
        <w:t>计算</w:t>
      </w:r>
      <w:r>
        <w:rPr>
          <w:spacing w:val="6"/>
        </w:rPr>
        <w:t>日</w:t>
      </w:r>
      <w:r>
        <w:rPr>
          <w:spacing w:val="4"/>
        </w:rPr>
        <w:t>基金资</w:t>
      </w:r>
      <w:r>
        <w:rPr>
          <w:spacing w:val="6"/>
        </w:rPr>
        <w:t>产</w:t>
      </w:r>
      <w:r>
        <w:rPr>
          <w:spacing w:val="4"/>
        </w:rPr>
        <w:t>净值除</w:t>
      </w:r>
      <w:r>
        <w:rPr>
          <w:spacing w:val="6"/>
        </w:rPr>
        <w:t>以</w:t>
      </w:r>
      <w:r>
        <w:rPr>
          <w:spacing w:val="4"/>
        </w:rPr>
        <w:t>该计</w:t>
      </w:r>
      <w:r>
        <w:rPr>
          <w:spacing w:val="6"/>
        </w:rPr>
        <w:t>算</w:t>
      </w:r>
      <w:r>
        <w:rPr>
          <w:spacing w:val="4"/>
        </w:rPr>
        <w:t>日发行</w:t>
      </w:r>
      <w:r>
        <w:rPr>
          <w:spacing w:val="6"/>
        </w:rPr>
        <w:t>在</w:t>
      </w:r>
      <w:r>
        <w:rPr>
          <w:spacing w:val="4"/>
        </w:rPr>
        <w:t>外的基</w:t>
      </w:r>
      <w:r>
        <w:rPr>
          <w:spacing w:val="6"/>
        </w:rPr>
        <w:t>金</w:t>
      </w:r>
      <w:r>
        <w:rPr>
          <w:spacing w:val="4"/>
        </w:rPr>
        <w:t>份额</w:t>
      </w:r>
      <w:r>
        <w:rPr/>
        <w:t>总</w:t>
      </w:r>
    </w:p>
    <w:p>
      <w:pPr>
        <w:pStyle w:val="BodyText"/>
        <w:spacing w:before="8"/>
        <w:rPr>
          <w:sz w:val="15"/>
        </w:rPr>
      </w:pPr>
    </w:p>
    <w:p>
      <w:pPr>
        <w:pStyle w:val="BodyText"/>
        <w:ind w:left="3519"/>
      </w:pPr>
      <w:r>
        <w:rPr/>
        <w:t>数后的值</w:t>
      </w:r>
    </w:p>
    <w:p>
      <w:pPr>
        <w:pStyle w:val="BodyText"/>
        <w:spacing w:before="6"/>
        <w:rPr>
          <w:sz w:val="15"/>
        </w:rPr>
      </w:pPr>
    </w:p>
    <w:p>
      <w:pPr>
        <w:pStyle w:val="BodyText"/>
        <w:tabs>
          <w:tab w:pos="3519" w:val="left" w:leader="none"/>
        </w:tabs>
        <w:ind w:left="840"/>
      </w:pPr>
      <w:r>
        <w:rPr/>
        <w:t>基金</w:t>
      </w:r>
      <w:r>
        <w:rPr>
          <w:spacing w:val="-3"/>
        </w:rPr>
        <w:t>资</w:t>
      </w:r>
      <w:r>
        <w:rPr/>
        <w:t>产</w:t>
      </w:r>
      <w:r>
        <w:rPr>
          <w:spacing w:val="-3"/>
        </w:rPr>
        <w:t>估</w:t>
      </w:r>
      <w:r>
        <w:rPr/>
        <w:t>值</w:t>
        <w:tab/>
        <w:t>指计</w:t>
      </w:r>
      <w:r>
        <w:rPr>
          <w:spacing w:val="-3"/>
        </w:rPr>
        <w:t>算</w:t>
      </w:r>
      <w:r>
        <w:rPr/>
        <w:t>评</w:t>
      </w:r>
      <w:r>
        <w:rPr>
          <w:spacing w:val="-3"/>
        </w:rPr>
        <w:t>估</w:t>
      </w:r>
      <w:r>
        <w:rPr/>
        <w:t>基</w:t>
      </w:r>
      <w:r>
        <w:rPr>
          <w:spacing w:val="-3"/>
        </w:rPr>
        <w:t>金</w:t>
      </w:r>
      <w:r>
        <w:rPr/>
        <w:t>资</w:t>
      </w:r>
      <w:r>
        <w:rPr>
          <w:spacing w:val="-3"/>
        </w:rPr>
        <w:t>产</w:t>
      </w:r>
      <w:r>
        <w:rPr/>
        <w:t>和</w:t>
      </w:r>
      <w:r>
        <w:rPr>
          <w:spacing w:val="-3"/>
        </w:rPr>
        <w:t>负</w:t>
      </w:r>
      <w:r>
        <w:rPr/>
        <w:t>债的</w:t>
      </w:r>
      <w:r>
        <w:rPr>
          <w:spacing w:val="-3"/>
        </w:rPr>
        <w:t>价</w:t>
      </w:r>
      <w:r>
        <w:rPr/>
        <w:t>值</w:t>
      </w:r>
      <w:r>
        <w:rPr>
          <w:spacing w:val="-44"/>
        </w:rPr>
        <w:t>，</w:t>
      </w:r>
      <w:r>
        <w:rPr>
          <w:spacing w:val="-3"/>
        </w:rPr>
        <w:t>以</w:t>
      </w:r>
      <w:r>
        <w:rPr/>
        <w:t>确</w:t>
      </w:r>
      <w:r>
        <w:rPr>
          <w:spacing w:val="-3"/>
        </w:rPr>
        <w:t>定</w:t>
      </w:r>
      <w:r>
        <w:rPr/>
        <w:t>基</w:t>
      </w:r>
      <w:r>
        <w:rPr>
          <w:spacing w:val="-3"/>
        </w:rPr>
        <w:t>金资</w:t>
      </w:r>
      <w:r>
        <w:rPr/>
        <w:t>产净</w:t>
      </w:r>
      <w:r>
        <w:rPr>
          <w:spacing w:val="-3"/>
        </w:rPr>
        <w:t>值</w:t>
      </w:r>
      <w:r>
        <w:rPr/>
        <w:t>的过</w:t>
      </w:r>
    </w:p>
    <w:p>
      <w:pPr>
        <w:pStyle w:val="BodyText"/>
        <w:spacing w:before="7"/>
        <w:rPr>
          <w:sz w:val="15"/>
        </w:rPr>
      </w:pPr>
    </w:p>
    <w:p>
      <w:pPr>
        <w:pStyle w:val="BodyText"/>
        <w:ind w:left="3519"/>
      </w:pPr>
      <w:r>
        <w:rPr>
          <w:w w:val="100"/>
        </w:rPr>
        <w:t>程</w:t>
      </w:r>
    </w:p>
    <w:p>
      <w:pPr>
        <w:pStyle w:val="BodyText"/>
        <w:spacing w:before="7"/>
        <w:rPr>
          <w:sz w:val="15"/>
        </w:rPr>
      </w:pPr>
    </w:p>
    <w:p>
      <w:pPr>
        <w:pStyle w:val="BodyText"/>
        <w:tabs>
          <w:tab w:pos="3519" w:val="left" w:leader="none"/>
        </w:tabs>
        <w:spacing w:line="417" w:lineRule="auto"/>
        <w:ind w:left="3519" w:right="891" w:hanging="2679"/>
        <w:jc w:val="both"/>
      </w:pPr>
      <w:r>
        <w:rPr/>
        <w:t>指定</w:t>
      </w:r>
      <w:r>
        <w:rPr>
          <w:spacing w:val="-3"/>
        </w:rPr>
        <w:t>媒</w:t>
      </w:r>
      <w:r>
        <w:rPr/>
        <w:t>介</w:t>
        <w:tab/>
      </w:r>
      <w:r>
        <w:rPr>
          <w:spacing w:val="6"/>
        </w:rPr>
        <w:t>指</w:t>
      </w:r>
      <w:r>
        <w:rPr>
          <w:spacing w:val="4"/>
        </w:rPr>
        <w:t>中国</w:t>
      </w:r>
      <w:r>
        <w:rPr>
          <w:spacing w:val="6"/>
        </w:rPr>
        <w:t>证</w:t>
      </w:r>
      <w:r>
        <w:rPr>
          <w:spacing w:val="4"/>
        </w:rPr>
        <w:t>监会指</w:t>
      </w:r>
      <w:r>
        <w:rPr>
          <w:spacing w:val="6"/>
        </w:rPr>
        <w:t>定</w:t>
      </w:r>
      <w:r>
        <w:rPr>
          <w:spacing w:val="4"/>
        </w:rPr>
        <w:t>的用以</w:t>
      </w:r>
      <w:r>
        <w:rPr>
          <w:spacing w:val="6"/>
        </w:rPr>
        <w:t>进</w:t>
      </w:r>
      <w:r>
        <w:rPr>
          <w:spacing w:val="4"/>
        </w:rPr>
        <w:t>行信</w:t>
      </w:r>
      <w:r>
        <w:rPr>
          <w:spacing w:val="6"/>
        </w:rPr>
        <w:t>息</w:t>
      </w:r>
      <w:r>
        <w:rPr>
          <w:spacing w:val="4"/>
        </w:rPr>
        <w:t>披露的</w:t>
      </w:r>
      <w:r>
        <w:rPr>
          <w:spacing w:val="6"/>
        </w:rPr>
        <w:t>全</w:t>
      </w:r>
      <w:r>
        <w:rPr>
          <w:spacing w:val="4"/>
        </w:rPr>
        <w:t>国性报</w:t>
      </w:r>
      <w:r>
        <w:rPr>
          <w:spacing w:val="6"/>
        </w:rPr>
        <w:t>刊</w:t>
      </w:r>
      <w:r>
        <w:rPr>
          <w:spacing w:val="4"/>
        </w:rPr>
        <w:t>及指</w:t>
      </w:r>
      <w:r>
        <w:rPr/>
        <w:t>定互联</w:t>
      </w:r>
      <w:r>
        <w:rPr>
          <w:spacing w:val="-3"/>
        </w:rPr>
        <w:t>网</w:t>
      </w:r>
      <w:r>
        <w:rPr/>
        <w:t>网</w:t>
      </w:r>
      <w:r>
        <w:rPr>
          <w:spacing w:val="-17"/>
        </w:rPr>
        <w:t>站</w:t>
      </w:r>
      <w:r>
        <w:rPr/>
        <w:t>（</w:t>
      </w:r>
      <w:r>
        <w:rPr>
          <w:spacing w:val="-3"/>
        </w:rPr>
        <w:t>包</w:t>
      </w:r>
      <w:r>
        <w:rPr/>
        <w:t>括</w:t>
      </w:r>
      <w:r>
        <w:rPr>
          <w:spacing w:val="-3"/>
        </w:rPr>
        <w:t>基</w:t>
      </w:r>
      <w:r>
        <w:rPr/>
        <w:t>金</w:t>
      </w:r>
      <w:r>
        <w:rPr>
          <w:spacing w:val="-3"/>
        </w:rPr>
        <w:t>管</w:t>
      </w:r>
      <w:r>
        <w:rPr/>
        <w:t>理人</w:t>
      </w:r>
      <w:r>
        <w:rPr>
          <w:spacing w:val="-3"/>
        </w:rPr>
        <w:t>网</w:t>
      </w:r>
      <w:r>
        <w:rPr/>
        <w:t>站</w:t>
      </w:r>
      <w:r>
        <w:rPr>
          <w:spacing w:val="-17"/>
        </w:rPr>
        <w:t>、</w:t>
      </w:r>
      <w:r>
        <w:rPr/>
        <w:t>基</w:t>
      </w:r>
      <w:r>
        <w:rPr>
          <w:spacing w:val="-3"/>
        </w:rPr>
        <w:t>金</w:t>
      </w:r>
      <w:r>
        <w:rPr/>
        <w:t>托</w:t>
      </w:r>
      <w:r>
        <w:rPr>
          <w:spacing w:val="-3"/>
        </w:rPr>
        <w:t>管</w:t>
      </w:r>
      <w:r>
        <w:rPr/>
        <w:t>人</w:t>
      </w:r>
      <w:r>
        <w:rPr>
          <w:spacing w:val="-3"/>
        </w:rPr>
        <w:t>网</w:t>
      </w:r>
      <w:r>
        <w:rPr/>
        <w:t>站</w:t>
      </w:r>
      <w:r>
        <w:rPr>
          <w:spacing w:val="-15"/>
        </w:rPr>
        <w:t>、</w:t>
      </w:r>
      <w:r>
        <w:rPr>
          <w:spacing w:val="-3"/>
        </w:rPr>
        <w:t>中</w:t>
      </w:r>
      <w:r>
        <w:rPr/>
        <w:t>国证监会</w:t>
      </w:r>
      <w:r>
        <w:rPr>
          <w:spacing w:val="-3"/>
        </w:rPr>
        <w:t>基</w:t>
      </w:r>
      <w:r>
        <w:rPr/>
        <w:t>金</w:t>
      </w:r>
      <w:r>
        <w:rPr>
          <w:spacing w:val="-3"/>
        </w:rPr>
        <w:t>电</w:t>
      </w:r>
      <w:r>
        <w:rPr/>
        <w:t>子</w:t>
      </w:r>
      <w:r>
        <w:rPr>
          <w:spacing w:val="-3"/>
        </w:rPr>
        <w:t>披</w:t>
      </w:r>
      <w:r>
        <w:rPr/>
        <w:t>露</w:t>
      </w:r>
      <w:r>
        <w:rPr>
          <w:spacing w:val="-3"/>
        </w:rPr>
        <w:t>网</w:t>
      </w:r>
      <w:r>
        <w:rPr/>
        <w:t>站</w:t>
      </w:r>
      <w:r>
        <w:rPr>
          <w:spacing w:val="-3"/>
        </w:rPr>
        <w:t>）</w:t>
      </w:r>
      <w:r>
        <w:rPr/>
        <w:t>等媒</w:t>
      </w:r>
      <w:r>
        <w:rPr>
          <w:spacing w:val="-3"/>
        </w:rPr>
        <w:t>介</w:t>
      </w:r>
      <w:r>
        <w:rPr/>
        <w:t>媒介</w:t>
      </w:r>
    </w:p>
    <w:p>
      <w:pPr>
        <w:pStyle w:val="BodyText"/>
        <w:tabs>
          <w:tab w:pos="3519" w:val="left" w:leader="none"/>
        </w:tabs>
        <w:spacing w:line="417" w:lineRule="auto"/>
        <w:ind w:left="3519" w:right="788" w:hanging="2679"/>
      </w:pPr>
      <w:r>
        <w:rPr/>
        <w:t>不可</w:t>
      </w:r>
      <w:r>
        <w:rPr>
          <w:spacing w:val="-3"/>
        </w:rPr>
        <w:t>抗</w:t>
      </w:r>
      <w:r>
        <w:rPr/>
        <w:t>力</w:t>
        <w:tab/>
        <w:t>指本</w:t>
      </w:r>
      <w:r>
        <w:rPr>
          <w:spacing w:val="-3"/>
        </w:rPr>
        <w:t>合</w:t>
      </w:r>
      <w:r>
        <w:rPr/>
        <w:t>同</w:t>
      </w:r>
      <w:r>
        <w:rPr>
          <w:spacing w:val="-3"/>
        </w:rPr>
        <w:t>当</w:t>
      </w:r>
      <w:r>
        <w:rPr/>
        <w:t>事</w:t>
      </w:r>
      <w:r>
        <w:rPr>
          <w:spacing w:val="-3"/>
        </w:rPr>
        <w:t>人</w:t>
      </w:r>
      <w:r>
        <w:rPr/>
        <w:t>无</w:t>
      </w:r>
      <w:r>
        <w:rPr>
          <w:spacing w:val="-3"/>
        </w:rPr>
        <w:t>法</w:t>
      </w:r>
      <w:r>
        <w:rPr/>
        <w:t>预</w:t>
      </w:r>
      <w:r>
        <w:rPr>
          <w:spacing w:val="-3"/>
        </w:rPr>
        <w:t>见</w:t>
      </w:r>
      <w:r>
        <w:rPr>
          <w:spacing w:val="-22"/>
        </w:rPr>
        <w:t>、</w:t>
      </w:r>
      <w:r>
        <w:rPr/>
        <w:t>无</w:t>
      </w:r>
      <w:r>
        <w:rPr>
          <w:spacing w:val="-3"/>
        </w:rPr>
        <w:t>法</w:t>
      </w:r>
      <w:r>
        <w:rPr/>
        <w:t>抗拒</w:t>
      </w:r>
      <w:r>
        <w:rPr>
          <w:spacing w:val="-25"/>
        </w:rPr>
        <w:t>、</w:t>
      </w:r>
      <w:r>
        <w:rPr/>
        <w:t>无</w:t>
      </w:r>
      <w:r>
        <w:rPr>
          <w:spacing w:val="-3"/>
        </w:rPr>
        <w:t>法</w:t>
      </w:r>
      <w:r>
        <w:rPr/>
        <w:t>避</w:t>
      </w:r>
      <w:r>
        <w:rPr>
          <w:spacing w:val="-3"/>
        </w:rPr>
        <w:t>免且</w:t>
      </w:r>
      <w:r>
        <w:rPr/>
        <w:t>在本</w:t>
      </w:r>
      <w:r>
        <w:rPr>
          <w:spacing w:val="-3"/>
        </w:rPr>
        <w:t>合</w:t>
      </w:r>
      <w:r>
        <w:rPr/>
        <w:t>同由基金</w:t>
      </w:r>
      <w:r>
        <w:rPr>
          <w:spacing w:val="-3"/>
        </w:rPr>
        <w:t>托</w:t>
      </w:r>
      <w:r>
        <w:rPr/>
        <w:t>管</w:t>
      </w:r>
      <w:r>
        <w:rPr>
          <w:spacing w:val="-3"/>
        </w:rPr>
        <w:t>人</w:t>
      </w:r>
      <w:r>
        <w:rPr>
          <w:spacing w:val="-22"/>
        </w:rPr>
        <w:t>、</w:t>
      </w:r>
      <w:r>
        <w:rPr>
          <w:spacing w:val="-3"/>
        </w:rPr>
        <w:t>基</w:t>
      </w:r>
      <w:r>
        <w:rPr/>
        <w:t>金</w:t>
      </w:r>
      <w:r>
        <w:rPr>
          <w:spacing w:val="-3"/>
        </w:rPr>
        <w:t>管</w:t>
      </w:r>
      <w:r>
        <w:rPr/>
        <w:t>理</w:t>
      </w:r>
      <w:r>
        <w:rPr>
          <w:spacing w:val="-3"/>
        </w:rPr>
        <w:t>人</w:t>
      </w:r>
      <w:r>
        <w:rPr/>
        <w:t>签署</w:t>
      </w:r>
      <w:r>
        <w:rPr>
          <w:spacing w:val="-3"/>
        </w:rPr>
        <w:t>之</w:t>
      </w:r>
      <w:r>
        <w:rPr/>
        <w:t>日</w:t>
      </w:r>
      <w:r>
        <w:rPr>
          <w:spacing w:val="-3"/>
        </w:rPr>
        <w:t>后</w:t>
      </w:r>
      <w:r>
        <w:rPr/>
        <w:t>发</w:t>
      </w:r>
      <w:r>
        <w:rPr>
          <w:spacing w:val="-3"/>
        </w:rPr>
        <w:t>生</w:t>
      </w:r>
      <w:r>
        <w:rPr/>
        <w:t>的</w:t>
      </w:r>
      <w:r>
        <w:rPr>
          <w:spacing w:val="-25"/>
        </w:rPr>
        <w:t>，</w:t>
      </w:r>
      <w:r>
        <w:rPr/>
        <w:t>使</w:t>
      </w:r>
      <w:r>
        <w:rPr>
          <w:spacing w:val="-3"/>
        </w:rPr>
        <w:t>本</w:t>
      </w:r>
      <w:r>
        <w:rPr/>
        <w:t>合同</w:t>
      </w:r>
      <w:r>
        <w:rPr>
          <w:spacing w:val="-3"/>
        </w:rPr>
        <w:t>当</w:t>
      </w:r>
      <w:r>
        <w:rPr/>
        <w:t>事人无法</w:t>
      </w:r>
      <w:r>
        <w:rPr>
          <w:spacing w:val="-3"/>
        </w:rPr>
        <w:t>全</w:t>
      </w:r>
      <w:r>
        <w:rPr/>
        <w:t>部</w:t>
      </w:r>
      <w:r>
        <w:rPr>
          <w:spacing w:val="-3"/>
        </w:rPr>
        <w:t>履</w:t>
      </w:r>
      <w:r>
        <w:rPr/>
        <w:t>行</w:t>
      </w:r>
      <w:r>
        <w:rPr>
          <w:spacing w:val="-3"/>
        </w:rPr>
        <w:t>或</w:t>
      </w:r>
      <w:r>
        <w:rPr/>
        <w:t>无</w:t>
      </w:r>
      <w:r>
        <w:rPr>
          <w:spacing w:val="-3"/>
        </w:rPr>
        <w:t>法</w:t>
      </w:r>
      <w:r>
        <w:rPr/>
        <w:t>部</w:t>
      </w:r>
      <w:r>
        <w:rPr>
          <w:spacing w:val="-3"/>
        </w:rPr>
        <w:t>分</w:t>
      </w:r>
      <w:r>
        <w:rPr/>
        <w:t>履行</w:t>
      </w:r>
      <w:r>
        <w:rPr>
          <w:spacing w:val="-3"/>
        </w:rPr>
        <w:t>本</w:t>
      </w:r>
      <w:r>
        <w:rPr/>
        <w:t>合</w:t>
      </w:r>
      <w:r>
        <w:rPr>
          <w:spacing w:val="-3"/>
        </w:rPr>
        <w:t>同</w:t>
      </w:r>
      <w:r>
        <w:rPr/>
        <w:t>的</w:t>
      </w:r>
      <w:r>
        <w:rPr>
          <w:spacing w:val="-3"/>
        </w:rPr>
        <w:t>任</w:t>
      </w:r>
      <w:r>
        <w:rPr/>
        <w:t>何</w:t>
      </w:r>
      <w:r>
        <w:rPr>
          <w:spacing w:val="-3"/>
        </w:rPr>
        <w:t>事</w:t>
      </w:r>
      <w:r>
        <w:rPr/>
        <w:t>件</w:t>
      </w:r>
      <w:r>
        <w:rPr>
          <w:spacing w:val="-46"/>
        </w:rPr>
        <w:t>，</w:t>
      </w:r>
      <w:r>
        <w:rPr/>
        <w:t>包括</w:t>
      </w:r>
      <w:r>
        <w:rPr>
          <w:spacing w:val="-3"/>
        </w:rPr>
        <w:t>但</w:t>
      </w:r>
      <w:r>
        <w:rPr/>
        <w:t>不限于洪</w:t>
      </w:r>
      <w:r>
        <w:rPr>
          <w:spacing w:val="-3"/>
        </w:rPr>
        <w:t>水</w:t>
      </w:r>
      <w:r>
        <w:rPr>
          <w:spacing w:val="-32"/>
        </w:rPr>
        <w:t>、</w:t>
      </w:r>
      <w:r>
        <w:rPr/>
        <w:t>地</w:t>
      </w:r>
      <w:r>
        <w:rPr>
          <w:spacing w:val="-3"/>
        </w:rPr>
        <w:t>震</w:t>
      </w:r>
      <w:r>
        <w:rPr/>
        <w:t>及</w:t>
      </w:r>
      <w:r>
        <w:rPr>
          <w:spacing w:val="-3"/>
        </w:rPr>
        <w:t>其</w:t>
      </w:r>
      <w:r>
        <w:rPr/>
        <w:t>他</w:t>
      </w:r>
      <w:r>
        <w:rPr>
          <w:spacing w:val="-3"/>
        </w:rPr>
        <w:t>自然</w:t>
      </w:r>
      <w:r>
        <w:rPr/>
        <w:t>灾</w:t>
      </w:r>
      <w:r>
        <w:rPr>
          <w:spacing w:val="-3"/>
        </w:rPr>
        <w:t>害</w:t>
      </w:r>
      <w:r>
        <w:rPr>
          <w:spacing w:val="-29"/>
        </w:rPr>
        <w:t>、</w:t>
      </w:r>
      <w:r>
        <w:rPr>
          <w:spacing w:val="-3"/>
        </w:rPr>
        <w:t>战</w:t>
      </w:r>
      <w:r>
        <w:rPr/>
        <w:t>争</w:t>
      </w:r>
      <w:r>
        <w:rPr>
          <w:spacing w:val="-32"/>
        </w:rPr>
        <w:t>、</w:t>
      </w:r>
      <w:r>
        <w:rPr/>
        <w:t>骚</w:t>
      </w:r>
      <w:r>
        <w:rPr>
          <w:spacing w:val="-3"/>
        </w:rPr>
        <w:t>乱</w:t>
      </w:r>
      <w:r>
        <w:rPr>
          <w:spacing w:val="-32"/>
        </w:rPr>
        <w:t>、</w:t>
      </w:r>
      <w:r>
        <w:rPr/>
        <w:t>火</w:t>
      </w:r>
      <w:r>
        <w:rPr>
          <w:spacing w:val="-3"/>
        </w:rPr>
        <w:t>灾</w:t>
      </w:r>
      <w:r>
        <w:rPr>
          <w:spacing w:val="-32"/>
        </w:rPr>
        <w:t>、</w:t>
      </w:r>
      <w:r>
        <w:rPr/>
        <w:t>政府</w:t>
      </w:r>
      <w:r>
        <w:rPr>
          <w:spacing w:val="-3"/>
        </w:rPr>
        <w:t>征</w:t>
      </w:r>
      <w:r>
        <w:rPr/>
        <w:t>用、没收</w:t>
      </w:r>
      <w:r>
        <w:rPr>
          <w:spacing w:val="-17"/>
        </w:rPr>
        <w:t>、</w:t>
      </w:r>
      <w:r>
        <w:rPr/>
        <w:t>法</w:t>
      </w:r>
      <w:r>
        <w:rPr>
          <w:spacing w:val="-3"/>
        </w:rPr>
        <w:t>律</w:t>
      </w:r>
      <w:r>
        <w:rPr/>
        <w:t>法</w:t>
      </w:r>
      <w:r>
        <w:rPr>
          <w:spacing w:val="-3"/>
        </w:rPr>
        <w:t>规</w:t>
      </w:r>
      <w:r>
        <w:rPr/>
        <w:t>变</w:t>
      </w:r>
      <w:r>
        <w:rPr>
          <w:spacing w:val="-3"/>
        </w:rPr>
        <w:t>化</w:t>
      </w:r>
      <w:r>
        <w:rPr>
          <w:spacing w:val="-15"/>
        </w:rPr>
        <w:t>、</w:t>
      </w:r>
      <w:r>
        <w:rPr>
          <w:spacing w:val="-3"/>
        </w:rPr>
        <w:t>突</w:t>
      </w:r>
      <w:r>
        <w:rPr/>
        <w:t>发停</w:t>
      </w:r>
      <w:r>
        <w:rPr>
          <w:spacing w:val="-3"/>
        </w:rPr>
        <w:t>电</w:t>
      </w:r>
      <w:r>
        <w:rPr/>
        <w:t>或</w:t>
      </w:r>
      <w:r>
        <w:rPr>
          <w:spacing w:val="-3"/>
        </w:rPr>
        <w:t>其</w:t>
      </w:r>
      <w:r>
        <w:rPr/>
        <w:t>他</w:t>
      </w:r>
      <w:r>
        <w:rPr>
          <w:spacing w:val="-3"/>
        </w:rPr>
        <w:t>突</w:t>
      </w:r>
      <w:r>
        <w:rPr/>
        <w:t>发</w:t>
      </w:r>
      <w:r>
        <w:rPr>
          <w:spacing w:val="-3"/>
        </w:rPr>
        <w:t>事</w:t>
      </w:r>
      <w:r>
        <w:rPr/>
        <w:t>件</w:t>
      </w:r>
      <w:r>
        <w:rPr>
          <w:spacing w:val="-17"/>
        </w:rPr>
        <w:t>、</w:t>
      </w:r>
      <w:r>
        <w:rPr/>
        <w:t>证券</w:t>
      </w:r>
      <w:r>
        <w:rPr>
          <w:spacing w:val="-3"/>
        </w:rPr>
        <w:t>交</w:t>
      </w:r>
      <w:r>
        <w:rPr/>
        <w:t>易所</w:t>
      </w:r>
    </w:p>
    <w:p>
      <w:pPr>
        <w:pStyle w:val="BodyText"/>
        <w:spacing w:line="269" w:lineRule="exact"/>
        <w:ind w:left="3519"/>
      </w:pPr>
      <w:r>
        <w:rPr/>
        <w:t>非正常暂停或停止交易</w:t>
      </w:r>
    </w:p>
    <w:p>
      <w:pPr>
        <w:pStyle w:val="BodyText"/>
        <w:tabs>
          <w:tab w:pos="3572" w:val="left" w:leader="none"/>
        </w:tabs>
        <w:spacing w:before="100"/>
        <w:ind w:left="840"/>
      </w:pPr>
      <w:r>
        <w:rPr/>
        <w:t>流动</w:t>
      </w:r>
      <w:r>
        <w:rPr>
          <w:spacing w:val="-3"/>
        </w:rPr>
        <w:t>性</w:t>
      </w:r>
      <w:r>
        <w:rPr/>
        <w:t>风</w:t>
      </w:r>
      <w:r>
        <w:rPr>
          <w:spacing w:val="-3"/>
        </w:rPr>
        <w:t>险</w:t>
      </w:r>
      <w:r>
        <w:rPr/>
        <w:t>管</w:t>
      </w:r>
      <w:r>
        <w:rPr>
          <w:spacing w:val="-3"/>
        </w:rPr>
        <w:t>理</w:t>
      </w:r>
      <w:r>
        <w:rPr/>
        <w:t>规定</w:t>
        <w:tab/>
      </w:r>
      <w:r>
        <w:rPr>
          <w:spacing w:val="-3"/>
        </w:rPr>
        <w:t>指</w:t>
      </w:r>
      <w:r>
        <w:rPr/>
        <w:t>《</w:t>
      </w:r>
      <w:r>
        <w:rPr>
          <w:spacing w:val="-3"/>
        </w:rPr>
        <w:t>公</w:t>
      </w:r>
      <w:r>
        <w:rPr/>
        <w:t>开</w:t>
      </w:r>
      <w:r>
        <w:rPr>
          <w:spacing w:val="-3"/>
        </w:rPr>
        <w:t>募</w:t>
      </w:r>
      <w:r>
        <w:rPr/>
        <w:t>集</w:t>
      </w:r>
      <w:r>
        <w:rPr>
          <w:spacing w:val="-3"/>
        </w:rPr>
        <w:t>开</w:t>
      </w:r>
      <w:r>
        <w:rPr/>
        <w:t>放</w:t>
      </w:r>
      <w:r>
        <w:rPr>
          <w:spacing w:val="-3"/>
        </w:rPr>
        <w:t>式证</w:t>
      </w:r>
      <w:r>
        <w:rPr/>
        <w:t>券投</w:t>
      </w:r>
      <w:r>
        <w:rPr>
          <w:spacing w:val="-3"/>
        </w:rPr>
        <w:t>资</w:t>
      </w:r>
      <w:r>
        <w:rPr/>
        <w:t>基</w:t>
      </w:r>
      <w:r>
        <w:rPr>
          <w:spacing w:val="-3"/>
        </w:rPr>
        <w:t>金</w:t>
      </w:r>
      <w:r>
        <w:rPr/>
        <w:t>流</w:t>
      </w:r>
      <w:r>
        <w:rPr>
          <w:spacing w:val="-3"/>
        </w:rPr>
        <w:t>动</w:t>
      </w:r>
      <w:r>
        <w:rPr/>
        <w:t>性</w:t>
      </w:r>
      <w:r>
        <w:rPr>
          <w:spacing w:val="-3"/>
        </w:rPr>
        <w:t>风</w:t>
      </w:r>
      <w:r>
        <w:rPr/>
        <w:t>险</w:t>
      </w:r>
      <w:r>
        <w:rPr>
          <w:spacing w:val="-3"/>
        </w:rPr>
        <w:t>管</w:t>
      </w:r>
      <w:r>
        <w:rPr/>
        <w:t>理规</w:t>
      </w:r>
      <w:r>
        <w:rPr>
          <w:spacing w:val="-3"/>
        </w:rPr>
        <w:t>定</w:t>
      </w:r>
      <w:r>
        <w:rPr/>
        <w:t>》</w:t>
      </w:r>
    </w:p>
    <w:p>
      <w:pPr>
        <w:pStyle w:val="BodyText"/>
        <w:tabs>
          <w:tab w:pos="3572" w:val="left" w:leader="none"/>
        </w:tabs>
        <w:spacing w:before="139"/>
        <w:ind w:left="840"/>
        <w:jc w:val="both"/>
      </w:pPr>
      <w:r>
        <w:rPr/>
        <w:t>流动</w:t>
      </w:r>
      <w:r>
        <w:rPr>
          <w:spacing w:val="-3"/>
        </w:rPr>
        <w:t>性</w:t>
      </w:r>
      <w:r>
        <w:rPr/>
        <w:t>受</w:t>
      </w:r>
      <w:r>
        <w:rPr>
          <w:spacing w:val="-3"/>
        </w:rPr>
        <w:t>限</w:t>
      </w:r>
      <w:r>
        <w:rPr/>
        <w:t>资产</w:t>
        <w:tab/>
      </w:r>
      <w:r>
        <w:rPr>
          <w:spacing w:val="-3"/>
        </w:rPr>
        <w:t>指</w:t>
      </w:r>
      <w:r>
        <w:rPr/>
        <w:t>由</w:t>
      </w:r>
      <w:r>
        <w:rPr>
          <w:spacing w:val="-3"/>
        </w:rPr>
        <w:t>于</w:t>
      </w:r>
      <w:r>
        <w:rPr/>
        <w:t>法</w:t>
      </w:r>
      <w:r>
        <w:rPr>
          <w:spacing w:val="-3"/>
        </w:rPr>
        <w:t>律</w:t>
      </w:r>
      <w:r>
        <w:rPr/>
        <w:t>法规</w:t>
      </w:r>
      <w:r>
        <w:rPr>
          <w:spacing w:val="-51"/>
        </w:rPr>
        <w:t>、</w:t>
      </w:r>
      <w:r>
        <w:rPr/>
        <w:t>监</w:t>
      </w:r>
      <w:r>
        <w:rPr>
          <w:spacing w:val="-3"/>
        </w:rPr>
        <w:t>管</w:t>
      </w:r>
      <w:r>
        <w:rPr>
          <w:spacing w:val="-48"/>
        </w:rPr>
        <w:t>、</w:t>
      </w:r>
      <w:r>
        <w:rPr/>
        <w:t>合</w:t>
      </w:r>
      <w:r>
        <w:rPr>
          <w:spacing w:val="-3"/>
        </w:rPr>
        <w:t>同</w:t>
      </w:r>
      <w:r>
        <w:rPr/>
        <w:t>或</w:t>
      </w:r>
      <w:r>
        <w:rPr>
          <w:spacing w:val="-3"/>
        </w:rPr>
        <w:t>操</w:t>
      </w:r>
      <w:r>
        <w:rPr/>
        <w:t>作</w:t>
      </w:r>
      <w:r>
        <w:rPr>
          <w:spacing w:val="-3"/>
        </w:rPr>
        <w:t>障</w:t>
      </w:r>
      <w:r>
        <w:rPr/>
        <w:t>碍</w:t>
      </w:r>
      <w:r>
        <w:rPr>
          <w:spacing w:val="-3"/>
        </w:rPr>
        <w:t>等</w:t>
      </w:r>
      <w:r>
        <w:rPr/>
        <w:t>原</w:t>
      </w:r>
      <w:r>
        <w:rPr>
          <w:spacing w:val="-3"/>
        </w:rPr>
        <w:t>因</w:t>
      </w:r>
      <w:r>
        <w:rPr/>
        <w:t>无法</w:t>
      </w:r>
      <w:r>
        <w:rPr>
          <w:spacing w:val="-3"/>
        </w:rPr>
        <w:t>以</w:t>
      </w:r>
      <w:r>
        <w:rPr/>
        <w:t>合</w:t>
      </w:r>
      <w:r>
        <w:rPr>
          <w:spacing w:val="-3"/>
        </w:rPr>
        <w:t>理</w:t>
      </w:r>
      <w:r>
        <w:rPr/>
        <w:t>价</w:t>
      </w:r>
    </w:p>
    <w:p>
      <w:pPr>
        <w:pStyle w:val="BodyText"/>
        <w:spacing w:line="364" w:lineRule="auto" w:before="139"/>
        <w:ind w:left="3817" w:right="891"/>
        <w:jc w:val="both"/>
      </w:pPr>
      <w:r>
        <w:rPr>
          <w:spacing w:val="-8"/>
        </w:rPr>
        <w:t>格予以变现的资产，包括但不限于到期日在 </w:t>
      </w:r>
      <w:r>
        <w:rPr/>
        <w:t>10</w:t>
      </w:r>
      <w:r>
        <w:rPr>
          <w:spacing w:val="-9"/>
        </w:rPr>
        <w:t> 个交易日以上的逆回购与银行定期存款（含协议约定有条件提前支取</w:t>
      </w:r>
      <w:r>
        <w:rPr>
          <w:spacing w:val="-6"/>
        </w:rPr>
        <w:t>的银行存款</w:t>
      </w:r>
      <w:r>
        <w:rPr>
          <w:spacing w:val="-106"/>
        </w:rPr>
        <w:t>）</w:t>
      </w:r>
      <w:r>
        <w:rPr>
          <w:spacing w:val="-7"/>
        </w:rPr>
        <w:t>、停牌股票、流通受限的新股及非公开发行股票、资产支持证券、因发行人债务违约无法进行转让或交</w:t>
      </w:r>
      <w:r>
        <w:rPr>
          <w:spacing w:val="-4"/>
        </w:rPr>
        <w:t>易的债券等</w:t>
      </w:r>
    </w:p>
    <w:p>
      <w:pPr>
        <w:pStyle w:val="BodyText"/>
        <w:tabs>
          <w:tab w:pos="3780" w:val="left" w:leader="none"/>
        </w:tabs>
        <w:spacing w:line="417" w:lineRule="auto" w:before="96"/>
        <w:ind w:left="3817" w:right="892" w:hanging="2977"/>
        <w:jc w:val="both"/>
      </w:pPr>
      <w:r>
        <w:rPr/>
        <w:t>摆动</w:t>
      </w:r>
      <w:r>
        <w:rPr>
          <w:spacing w:val="-3"/>
        </w:rPr>
        <w:t>定</w:t>
      </w:r>
      <w:r>
        <w:rPr/>
        <w:t>价</w:t>
      </w:r>
      <w:r>
        <w:rPr>
          <w:spacing w:val="-3"/>
        </w:rPr>
        <w:t>机</w:t>
      </w:r>
      <w:r>
        <w:rPr/>
        <w:t>制</w:t>
        <w:tab/>
        <w:t>指</w:t>
      </w:r>
      <w:r>
        <w:rPr>
          <w:spacing w:val="-3"/>
        </w:rPr>
        <w:t>当</w:t>
      </w:r>
      <w:r>
        <w:rPr/>
        <w:t>开</w:t>
      </w:r>
      <w:r>
        <w:rPr>
          <w:spacing w:val="-3"/>
        </w:rPr>
        <w:t>放</w:t>
      </w:r>
      <w:r>
        <w:rPr/>
        <w:t>式</w:t>
      </w:r>
      <w:r>
        <w:rPr>
          <w:spacing w:val="-3"/>
        </w:rPr>
        <w:t>基</w:t>
      </w:r>
      <w:r>
        <w:rPr/>
        <w:t>金</w:t>
      </w:r>
      <w:r>
        <w:rPr>
          <w:spacing w:val="-3"/>
        </w:rPr>
        <w:t>遭遇</w:t>
      </w:r>
      <w:r>
        <w:rPr/>
        <w:t>大额</w:t>
      </w:r>
      <w:r>
        <w:rPr>
          <w:spacing w:val="-3"/>
        </w:rPr>
        <w:t>申</w:t>
      </w:r>
      <w:r>
        <w:rPr/>
        <w:t>购</w:t>
      </w:r>
      <w:r>
        <w:rPr>
          <w:spacing w:val="-3"/>
        </w:rPr>
        <w:t>赎</w:t>
      </w:r>
      <w:r>
        <w:rPr/>
        <w:t>回</w:t>
      </w:r>
      <w:r>
        <w:rPr>
          <w:spacing w:val="-3"/>
        </w:rPr>
        <w:t>时</w:t>
      </w:r>
      <w:r>
        <w:rPr>
          <w:spacing w:val="-97"/>
        </w:rPr>
        <w:t>，</w:t>
      </w:r>
      <w:r>
        <w:rPr/>
        <w:t>通</w:t>
      </w:r>
      <w:r>
        <w:rPr>
          <w:spacing w:val="-3"/>
        </w:rPr>
        <w:t>过</w:t>
      </w:r>
      <w:r>
        <w:rPr/>
        <w:t>调</w:t>
      </w:r>
      <w:r>
        <w:rPr>
          <w:spacing w:val="-3"/>
        </w:rPr>
        <w:t>整</w:t>
      </w:r>
      <w:r>
        <w:rPr/>
        <w:t>基金</w:t>
      </w:r>
      <w:r>
        <w:rPr>
          <w:spacing w:val="-3"/>
        </w:rPr>
        <w:t>份</w:t>
      </w:r>
      <w:r>
        <w:rPr/>
        <w:t>额净值的方式，将基金调整投资组合的市场冲击成本分配给实际申购、赎回的投资者，从而减少对存量基金份额持有人利益的不利影响，确保投资者的合法权益不受损害并得到</w:t>
      </w:r>
    </w:p>
    <w:p>
      <w:pPr>
        <w:spacing w:after="0" w:line="417" w:lineRule="auto"/>
        <w:jc w:val="both"/>
        <w:sectPr>
          <w:pgSz w:w="11910" w:h="16840"/>
          <w:pgMar w:header="877" w:footer="995" w:top="1100" w:bottom="1180" w:left="960" w:right="900"/>
        </w:sectPr>
      </w:pPr>
    </w:p>
    <w:p>
      <w:pPr>
        <w:pStyle w:val="BodyText"/>
        <w:spacing w:before="4"/>
        <w:rPr>
          <w:sz w:val="27"/>
        </w:rPr>
      </w:pPr>
    </w:p>
    <w:p>
      <w:pPr>
        <w:pStyle w:val="BodyText"/>
        <w:spacing w:before="71"/>
        <w:ind w:left="1298" w:right="2865"/>
        <w:jc w:val="center"/>
      </w:pPr>
      <w:r>
        <w:rPr/>
        <w:t>公平对待</w:t>
      </w:r>
    </w:p>
    <w:p>
      <w:pPr>
        <w:spacing w:after="0"/>
        <w:jc w:val="center"/>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51"/>
      </w:pPr>
      <w:bookmarkStart w:name="_TOC_250021" w:id="3"/>
      <w:bookmarkEnd w:id="3"/>
      <w:r>
        <w:rPr/>
        <w:t>三、基金管理人</w:t>
      </w:r>
    </w:p>
    <w:p>
      <w:pPr>
        <w:pStyle w:val="BodyText"/>
        <w:rPr>
          <w:rFonts w:ascii="黑体"/>
          <w:b/>
          <w:sz w:val="20"/>
        </w:rPr>
      </w:pPr>
    </w:p>
    <w:p>
      <w:pPr>
        <w:pStyle w:val="BodyText"/>
        <w:spacing w:before="4"/>
        <w:rPr>
          <w:rFonts w:ascii="黑体"/>
          <w:b/>
          <w:sz w:val="16"/>
        </w:rPr>
      </w:pPr>
    </w:p>
    <w:p>
      <w:pPr>
        <w:pStyle w:val="BodyText"/>
        <w:spacing w:before="72"/>
        <w:ind w:left="840"/>
      </w:pPr>
      <w:r>
        <w:rPr/>
        <w:t>一、基金管理人概况</w:t>
      </w:r>
    </w:p>
    <w:p>
      <w:pPr>
        <w:pStyle w:val="BodyText"/>
        <w:spacing w:before="7"/>
        <w:rPr>
          <w:sz w:val="15"/>
        </w:rPr>
      </w:pPr>
    </w:p>
    <w:p>
      <w:pPr>
        <w:pStyle w:val="BodyText"/>
        <w:ind w:left="1260"/>
      </w:pPr>
      <w:r>
        <w:rPr/>
        <w:t>名称：景顺长城基金管理有限公司</w:t>
      </w:r>
    </w:p>
    <w:p>
      <w:pPr>
        <w:pStyle w:val="BodyText"/>
        <w:spacing w:before="6"/>
        <w:rPr>
          <w:sz w:val="15"/>
        </w:rPr>
      </w:pPr>
    </w:p>
    <w:p>
      <w:pPr>
        <w:pStyle w:val="BodyText"/>
        <w:ind w:left="1260"/>
      </w:pPr>
      <w:r>
        <w:rPr/>
        <w:t>住所：深圳市福田区中心四路 1 号嘉里建设广场第 1 座 21 层</w:t>
      </w:r>
    </w:p>
    <w:p>
      <w:pPr>
        <w:pStyle w:val="BodyText"/>
        <w:spacing w:before="7"/>
        <w:rPr>
          <w:sz w:val="15"/>
        </w:rPr>
      </w:pPr>
    </w:p>
    <w:p>
      <w:pPr>
        <w:pStyle w:val="BodyText"/>
        <w:spacing w:line="417" w:lineRule="auto"/>
        <w:ind w:left="1260" w:right="6102"/>
      </w:pPr>
      <w:r>
        <w:rPr>
          <w:spacing w:val="-1"/>
        </w:rPr>
        <w:t>设立日期：</w:t>
      </w:r>
      <w:r>
        <w:rPr/>
        <w:t>2003</w:t>
      </w:r>
      <w:r>
        <w:rPr>
          <w:spacing w:val="-36"/>
        </w:rPr>
        <w:t> 年 </w:t>
      </w:r>
      <w:r>
        <w:rPr/>
        <w:t>6</w:t>
      </w:r>
      <w:r>
        <w:rPr>
          <w:spacing w:val="-35"/>
        </w:rPr>
        <w:t> 月 </w:t>
      </w:r>
      <w:r>
        <w:rPr/>
        <w:t>12</w:t>
      </w:r>
      <w:r>
        <w:rPr>
          <w:spacing w:val="-32"/>
        </w:rPr>
        <w:t> 日</w:t>
      </w:r>
      <w:r>
        <w:rPr>
          <w:spacing w:val="-3"/>
        </w:rPr>
        <w:t>法定代表人：李进</w:t>
      </w:r>
    </w:p>
    <w:p>
      <w:pPr>
        <w:pStyle w:val="BodyText"/>
        <w:ind w:left="1260"/>
      </w:pPr>
      <w:r>
        <w:rPr/>
        <w:t>注册资本：1.3 亿元人民币</w:t>
      </w:r>
    </w:p>
    <w:p>
      <w:pPr>
        <w:pStyle w:val="BodyText"/>
        <w:spacing w:before="7"/>
        <w:rPr>
          <w:sz w:val="15"/>
        </w:rPr>
      </w:pPr>
    </w:p>
    <w:p>
      <w:pPr>
        <w:pStyle w:val="BodyText"/>
        <w:ind w:left="1260"/>
      </w:pPr>
      <w:r>
        <w:rPr/>
        <w:t>批准设立文号：证监基金字［2003］76 号</w:t>
      </w:r>
    </w:p>
    <w:p>
      <w:pPr>
        <w:pStyle w:val="BodyText"/>
        <w:spacing w:before="7"/>
        <w:rPr>
          <w:sz w:val="15"/>
        </w:rPr>
      </w:pPr>
    </w:p>
    <w:p>
      <w:pPr>
        <w:pStyle w:val="BodyText"/>
        <w:spacing w:line="417" w:lineRule="auto"/>
        <w:ind w:left="1260" w:right="2792"/>
      </w:pPr>
      <w:r>
        <w:rPr>
          <w:spacing w:val="-6"/>
        </w:rPr>
        <w:t>办公地址：深圳市福田区中心四路 </w:t>
      </w:r>
      <w:r>
        <w:rPr/>
        <w:t>1</w:t>
      </w:r>
      <w:r>
        <w:rPr>
          <w:spacing w:val="-13"/>
        </w:rPr>
        <w:t> 号嘉里建设广场第 </w:t>
      </w:r>
      <w:r>
        <w:rPr/>
        <w:t>1</w:t>
      </w:r>
      <w:r>
        <w:rPr>
          <w:spacing w:val="-33"/>
        </w:rPr>
        <w:t> 座 </w:t>
      </w:r>
      <w:r>
        <w:rPr/>
        <w:t>21</w:t>
      </w:r>
      <w:r>
        <w:rPr>
          <w:spacing w:val="-25"/>
        </w:rPr>
        <w:t> 层电话：0755-82370388</w:t>
      </w:r>
    </w:p>
    <w:p>
      <w:pPr>
        <w:pStyle w:val="BodyText"/>
        <w:spacing w:line="417" w:lineRule="auto"/>
        <w:ind w:left="1260" w:right="6052"/>
      </w:pPr>
      <w:r>
        <w:rPr>
          <w:spacing w:val="-2"/>
        </w:rPr>
        <w:t>客户服务电话：</w:t>
      </w:r>
      <w:r>
        <w:rPr/>
        <w:t>400</w:t>
      </w:r>
      <w:r>
        <w:rPr>
          <w:spacing w:val="3"/>
        </w:rPr>
        <w:t> </w:t>
      </w:r>
      <w:r>
        <w:rPr/>
        <w:t>8888</w:t>
      </w:r>
      <w:r>
        <w:rPr>
          <w:spacing w:val="1"/>
        </w:rPr>
        <w:t> </w:t>
      </w:r>
      <w:r>
        <w:rPr>
          <w:spacing w:val="-5"/>
        </w:rPr>
        <w:t>606 </w:t>
      </w:r>
      <w:r>
        <w:rPr/>
        <w:t>传真：0755-22381339</w:t>
      </w:r>
    </w:p>
    <w:p>
      <w:pPr>
        <w:pStyle w:val="BodyText"/>
        <w:ind w:left="1260"/>
      </w:pPr>
      <w:r>
        <w:rPr/>
        <w:t>联系人：杨皞阳</w:t>
      </w:r>
    </w:p>
    <w:p>
      <w:pPr>
        <w:pStyle w:val="BodyText"/>
        <w:spacing w:before="6"/>
        <w:rPr>
          <w:sz w:val="15"/>
        </w:rPr>
      </w:pPr>
    </w:p>
    <w:p>
      <w:pPr>
        <w:pStyle w:val="BodyText"/>
        <w:ind w:left="1260"/>
      </w:pPr>
      <w:r>
        <w:rPr/>
        <w:t>股东名称及出资比例：</w:t>
      </w:r>
    </w:p>
    <w:p>
      <w:pPr>
        <w:pStyle w:val="BodyText"/>
        <w:spacing w:before="10"/>
        <w:rPr>
          <w:sz w:val="7"/>
        </w:rPr>
      </w:pPr>
    </w:p>
    <w:tbl>
      <w:tblPr>
        <w:tblW w:w="0" w:type="auto"/>
        <w:jc w:val="left"/>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4155"/>
        <w:gridCol w:w="1678"/>
      </w:tblGrid>
      <w:tr>
        <w:trPr>
          <w:trHeight w:val="467" w:hRule="atLeast"/>
        </w:trPr>
        <w:tc>
          <w:tcPr>
            <w:tcW w:w="914" w:type="dxa"/>
          </w:tcPr>
          <w:p>
            <w:pPr>
              <w:pStyle w:val="TableParagraph"/>
              <w:spacing w:before="99"/>
              <w:ind w:left="228" w:right="216"/>
              <w:jc w:val="center"/>
              <w:rPr>
                <w:sz w:val="21"/>
              </w:rPr>
            </w:pPr>
            <w:r>
              <w:rPr>
                <w:sz w:val="21"/>
              </w:rPr>
              <w:t>序号</w:t>
            </w:r>
          </w:p>
        </w:tc>
        <w:tc>
          <w:tcPr>
            <w:tcW w:w="4155" w:type="dxa"/>
          </w:tcPr>
          <w:p>
            <w:pPr>
              <w:pStyle w:val="TableParagraph"/>
              <w:spacing w:before="99"/>
              <w:ind w:left="1638" w:right="1627"/>
              <w:jc w:val="center"/>
              <w:rPr>
                <w:sz w:val="21"/>
              </w:rPr>
            </w:pPr>
            <w:r>
              <w:rPr>
                <w:sz w:val="21"/>
              </w:rPr>
              <w:t>股东名称</w:t>
            </w:r>
          </w:p>
        </w:tc>
        <w:tc>
          <w:tcPr>
            <w:tcW w:w="1678" w:type="dxa"/>
          </w:tcPr>
          <w:p>
            <w:pPr>
              <w:pStyle w:val="TableParagraph"/>
              <w:spacing w:before="99"/>
              <w:ind w:right="405"/>
              <w:jc w:val="right"/>
              <w:rPr>
                <w:sz w:val="21"/>
              </w:rPr>
            </w:pPr>
            <w:r>
              <w:rPr>
                <w:sz w:val="21"/>
              </w:rPr>
              <w:t>出资比例</w:t>
            </w:r>
          </w:p>
        </w:tc>
      </w:tr>
      <w:tr>
        <w:trPr>
          <w:trHeight w:val="467" w:hRule="atLeast"/>
        </w:trPr>
        <w:tc>
          <w:tcPr>
            <w:tcW w:w="914" w:type="dxa"/>
          </w:tcPr>
          <w:p>
            <w:pPr>
              <w:pStyle w:val="TableParagraph"/>
              <w:spacing w:before="99"/>
              <w:ind w:left="46"/>
              <w:jc w:val="center"/>
              <w:rPr>
                <w:sz w:val="21"/>
              </w:rPr>
            </w:pPr>
            <w:r>
              <w:rPr>
                <w:w w:val="100"/>
                <w:sz w:val="21"/>
              </w:rPr>
              <w:t>1</w:t>
            </w:r>
          </w:p>
        </w:tc>
        <w:tc>
          <w:tcPr>
            <w:tcW w:w="4155" w:type="dxa"/>
          </w:tcPr>
          <w:p>
            <w:pPr>
              <w:pStyle w:val="TableParagraph"/>
              <w:spacing w:before="99"/>
              <w:ind w:left="1268"/>
              <w:rPr>
                <w:sz w:val="21"/>
              </w:rPr>
            </w:pPr>
            <w:r>
              <w:rPr>
                <w:sz w:val="21"/>
              </w:rPr>
              <w:t>长城证券股份有限公司</w:t>
            </w:r>
          </w:p>
        </w:tc>
        <w:tc>
          <w:tcPr>
            <w:tcW w:w="1678" w:type="dxa"/>
          </w:tcPr>
          <w:p>
            <w:pPr>
              <w:pStyle w:val="TableParagraph"/>
              <w:spacing w:before="99"/>
              <w:ind w:right="428"/>
              <w:jc w:val="right"/>
              <w:rPr>
                <w:sz w:val="21"/>
              </w:rPr>
            </w:pPr>
            <w:r>
              <w:rPr>
                <w:sz w:val="21"/>
              </w:rPr>
              <w:t>49%</w:t>
            </w:r>
          </w:p>
        </w:tc>
      </w:tr>
      <w:tr>
        <w:trPr>
          <w:trHeight w:val="469" w:hRule="atLeast"/>
        </w:trPr>
        <w:tc>
          <w:tcPr>
            <w:tcW w:w="914" w:type="dxa"/>
          </w:tcPr>
          <w:p>
            <w:pPr>
              <w:pStyle w:val="TableParagraph"/>
              <w:spacing w:before="102"/>
              <w:ind w:left="46"/>
              <w:jc w:val="center"/>
              <w:rPr>
                <w:sz w:val="21"/>
              </w:rPr>
            </w:pPr>
            <w:r>
              <w:rPr>
                <w:w w:val="100"/>
                <w:sz w:val="21"/>
              </w:rPr>
              <w:t>2</w:t>
            </w:r>
          </w:p>
        </w:tc>
        <w:tc>
          <w:tcPr>
            <w:tcW w:w="4155" w:type="dxa"/>
          </w:tcPr>
          <w:p>
            <w:pPr>
              <w:pStyle w:val="TableParagraph"/>
              <w:spacing w:before="102"/>
              <w:ind w:left="1268"/>
              <w:rPr>
                <w:sz w:val="21"/>
              </w:rPr>
            </w:pPr>
            <w:r>
              <w:rPr>
                <w:sz w:val="21"/>
              </w:rPr>
              <w:t>景顺资产管理有限公司</w:t>
            </w:r>
          </w:p>
        </w:tc>
        <w:tc>
          <w:tcPr>
            <w:tcW w:w="1678" w:type="dxa"/>
          </w:tcPr>
          <w:p>
            <w:pPr>
              <w:pStyle w:val="TableParagraph"/>
              <w:spacing w:before="102"/>
              <w:ind w:right="428"/>
              <w:jc w:val="right"/>
              <w:rPr>
                <w:sz w:val="21"/>
              </w:rPr>
            </w:pPr>
            <w:r>
              <w:rPr>
                <w:sz w:val="21"/>
              </w:rPr>
              <w:t>49%</w:t>
            </w:r>
          </w:p>
        </w:tc>
      </w:tr>
      <w:tr>
        <w:trPr>
          <w:trHeight w:val="467" w:hRule="atLeast"/>
        </w:trPr>
        <w:tc>
          <w:tcPr>
            <w:tcW w:w="914" w:type="dxa"/>
          </w:tcPr>
          <w:p>
            <w:pPr>
              <w:pStyle w:val="TableParagraph"/>
              <w:spacing w:before="99"/>
              <w:ind w:left="46"/>
              <w:jc w:val="center"/>
              <w:rPr>
                <w:sz w:val="21"/>
              </w:rPr>
            </w:pPr>
            <w:r>
              <w:rPr>
                <w:w w:val="100"/>
                <w:sz w:val="21"/>
              </w:rPr>
              <w:t>3</w:t>
            </w:r>
          </w:p>
        </w:tc>
        <w:tc>
          <w:tcPr>
            <w:tcW w:w="4155" w:type="dxa"/>
          </w:tcPr>
          <w:p>
            <w:pPr>
              <w:pStyle w:val="TableParagraph"/>
              <w:spacing w:before="99"/>
              <w:ind w:left="1056"/>
              <w:rPr>
                <w:sz w:val="21"/>
              </w:rPr>
            </w:pPr>
            <w:r>
              <w:rPr>
                <w:sz w:val="21"/>
              </w:rPr>
              <w:t>开滦（集团）有限责任公司</w:t>
            </w:r>
          </w:p>
        </w:tc>
        <w:tc>
          <w:tcPr>
            <w:tcW w:w="1678" w:type="dxa"/>
          </w:tcPr>
          <w:p>
            <w:pPr>
              <w:pStyle w:val="TableParagraph"/>
              <w:spacing w:before="99"/>
              <w:ind w:right="482"/>
              <w:jc w:val="right"/>
              <w:rPr>
                <w:sz w:val="21"/>
              </w:rPr>
            </w:pPr>
            <w:r>
              <w:rPr>
                <w:sz w:val="21"/>
              </w:rPr>
              <w:t>1%</w:t>
            </w:r>
          </w:p>
        </w:tc>
      </w:tr>
      <w:tr>
        <w:trPr>
          <w:trHeight w:val="467" w:hRule="atLeast"/>
        </w:trPr>
        <w:tc>
          <w:tcPr>
            <w:tcW w:w="914" w:type="dxa"/>
          </w:tcPr>
          <w:p>
            <w:pPr>
              <w:pStyle w:val="TableParagraph"/>
              <w:spacing w:before="99"/>
              <w:ind w:left="46"/>
              <w:jc w:val="center"/>
              <w:rPr>
                <w:sz w:val="21"/>
              </w:rPr>
            </w:pPr>
            <w:r>
              <w:rPr>
                <w:w w:val="100"/>
                <w:sz w:val="21"/>
              </w:rPr>
              <w:t>4</w:t>
            </w:r>
          </w:p>
        </w:tc>
        <w:tc>
          <w:tcPr>
            <w:tcW w:w="4155" w:type="dxa"/>
          </w:tcPr>
          <w:p>
            <w:pPr>
              <w:pStyle w:val="TableParagraph"/>
              <w:spacing w:before="99"/>
              <w:ind w:left="1268"/>
              <w:rPr>
                <w:sz w:val="21"/>
              </w:rPr>
            </w:pPr>
            <w:r>
              <w:rPr>
                <w:sz w:val="21"/>
              </w:rPr>
              <w:t>大连实德集团有限公司</w:t>
            </w:r>
          </w:p>
        </w:tc>
        <w:tc>
          <w:tcPr>
            <w:tcW w:w="1678" w:type="dxa"/>
          </w:tcPr>
          <w:p>
            <w:pPr>
              <w:pStyle w:val="TableParagraph"/>
              <w:spacing w:before="99"/>
              <w:ind w:right="482"/>
              <w:jc w:val="right"/>
              <w:rPr>
                <w:sz w:val="21"/>
              </w:rPr>
            </w:pPr>
            <w:r>
              <w:rPr>
                <w:sz w:val="21"/>
              </w:rPr>
              <w:t>1%</w:t>
            </w:r>
          </w:p>
        </w:tc>
      </w:tr>
      <w:tr>
        <w:trPr>
          <w:trHeight w:val="468" w:hRule="atLeast"/>
        </w:trPr>
        <w:tc>
          <w:tcPr>
            <w:tcW w:w="5069" w:type="dxa"/>
            <w:gridSpan w:val="2"/>
          </w:tcPr>
          <w:p>
            <w:pPr>
              <w:pStyle w:val="TableParagraph"/>
              <w:spacing w:before="100"/>
              <w:ind w:left="2544" w:right="2054"/>
              <w:jc w:val="center"/>
              <w:rPr>
                <w:sz w:val="21"/>
              </w:rPr>
            </w:pPr>
            <w:r>
              <w:rPr>
                <w:sz w:val="21"/>
              </w:rPr>
              <w:t>合计</w:t>
            </w:r>
          </w:p>
        </w:tc>
        <w:tc>
          <w:tcPr>
            <w:tcW w:w="1678" w:type="dxa"/>
          </w:tcPr>
          <w:p>
            <w:pPr>
              <w:pStyle w:val="TableParagraph"/>
              <w:spacing w:before="100"/>
              <w:ind w:right="374"/>
              <w:jc w:val="right"/>
              <w:rPr>
                <w:sz w:val="21"/>
              </w:rPr>
            </w:pPr>
            <w:r>
              <w:rPr>
                <w:sz w:val="21"/>
              </w:rPr>
              <w:t>100%</w:t>
            </w:r>
          </w:p>
        </w:tc>
      </w:tr>
    </w:tbl>
    <w:p>
      <w:pPr>
        <w:pStyle w:val="BodyText"/>
        <w:rPr>
          <w:sz w:val="20"/>
        </w:rPr>
      </w:pPr>
    </w:p>
    <w:p>
      <w:pPr>
        <w:pStyle w:val="BodyText"/>
        <w:spacing w:before="3"/>
        <w:rPr>
          <w:sz w:val="24"/>
        </w:rPr>
      </w:pPr>
    </w:p>
    <w:p>
      <w:pPr>
        <w:pStyle w:val="BodyText"/>
        <w:spacing w:before="1"/>
        <w:ind w:left="840"/>
      </w:pPr>
      <w:r>
        <w:rPr/>
        <w:t>二、主要人员情况</w:t>
      </w:r>
    </w:p>
    <w:p>
      <w:pPr>
        <w:pStyle w:val="BodyText"/>
        <w:spacing w:before="6"/>
        <w:rPr>
          <w:sz w:val="15"/>
        </w:rPr>
      </w:pPr>
    </w:p>
    <w:p>
      <w:pPr>
        <w:pStyle w:val="BodyText"/>
        <w:ind w:left="1260"/>
      </w:pPr>
      <w:r>
        <w:rPr/>
        <w:t>1、基金管理人董事会成员</w:t>
      </w:r>
    </w:p>
    <w:p>
      <w:pPr>
        <w:pStyle w:val="BodyText"/>
        <w:spacing w:before="7"/>
        <w:rPr>
          <w:sz w:val="15"/>
        </w:rPr>
      </w:pPr>
    </w:p>
    <w:p>
      <w:pPr>
        <w:pStyle w:val="BodyText"/>
        <w:spacing w:line="417" w:lineRule="auto"/>
        <w:ind w:left="840" w:right="850" w:firstLine="419"/>
        <w:jc w:val="both"/>
      </w:pPr>
      <w:r>
        <w:rPr>
          <w:spacing w:val="-3"/>
        </w:rPr>
        <w:t>李进先生，董事长，经济学硕士。</w:t>
      </w:r>
      <w:r>
        <w:rPr/>
        <w:t>1989</w:t>
      </w:r>
      <w:r>
        <w:rPr>
          <w:spacing w:val="3"/>
        </w:rPr>
        <w:t> 年至 </w:t>
      </w:r>
      <w:r>
        <w:rPr/>
        <w:t>1994</w:t>
      </w:r>
      <w:r>
        <w:rPr>
          <w:spacing w:val="-3"/>
        </w:rPr>
        <w:t> 年于中国科技财务公司工作</w:t>
      </w:r>
      <w:r>
        <w:rPr/>
        <w:t>；1994 </w:t>
      </w:r>
      <w:r>
        <w:rPr>
          <w:spacing w:val="-12"/>
        </w:rPr>
        <w:t>年至 </w:t>
      </w:r>
      <w:r>
        <w:rPr/>
        <w:t>2000</w:t>
      </w:r>
      <w:r>
        <w:rPr>
          <w:spacing w:val="-7"/>
        </w:rPr>
        <w:t> 年先后担任中国华能财务公司上海营业部副主任、综合计划部副经理、计划部副</w:t>
      </w:r>
      <w:r>
        <w:rPr>
          <w:spacing w:val="-5"/>
        </w:rPr>
        <w:t>经理、综合计划部经理</w:t>
      </w:r>
      <w:r>
        <w:rPr/>
        <w:t>；2000</w:t>
      </w:r>
      <w:r>
        <w:rPr>
          <w:spacing w:val="-23"/>
        </w:rPr>
        <w:t> 年至 </w:t>
      </w:r>
      <w:r>
        <w:rPr/>
        <w:t>2005</w:t>
      </w:r>
      <w:r>
        <w:rPr>
          <w:spacing w:val="-8"/>
        </w:rPr>
        <w:t> 年先后担任中国华能财务有限责任公司副总经理、</w:t>
      </w:r>
      <w:r>
        <w:rPr>
          <w:spacing w:val="-7"/>
        </w:rPr>
        <w:t>党组成员、总经理；</w:t>
      </w:r>
      <w:r>
        <w:rPr>
          <w:spacing w:val="-4"/>
        </w:rPr>
        <w:t>2005</w:t>
      </w:r>
      <w:r>
        <w:rPr>
          <w:spacing w:val="-23"/>
        </w:rPr>
        <w:t> 年至 </w:t>
      </w:r>
      <w:r>
        <w:rPr/>
        <w:t>2006</w:t>
      </w:r>
      <w:r>
        <w:rPr>
          <w:spacing w:val="-9"/>
        </w:rPr>
        <w:t> 年先后担任永诚财产保险股份有限公司总经理、党委委员；2006</w:t>
      </w:r>
      <w:r>
        <w:rPr>
          <w:spacing w:val="-22"/>
        </w:rPr>
        <w:t> 年至 </w:t>
      </w:r>
      <w:r>
        <w:rPr/>
        <w:t>2016</w:t>
      </w:r>
      <w:r>
        <w:rPr>
          <w:spacing w:val="-8"/>
        </w:rPr>
        <w:t> 年先后担任华能资本服务有限公司副总经理、党组成员、总法律顾问、</w:t>
      </w:r>
    </w:p>
    <w:p>
      <w:pPr>
        <w:spacing w:after="0" w:line="417" w:lineRule="auto"/>
        <w:jc w:val="both"/>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52"/>
        <w:jc w:val="both"/>
      </w:pPr>
      <w:r>
        <w:rPr>
          <w:spacing w:val="-3"/>
          <w:w w:val="100"/>
        </w:rPr>
        <w:t>纪检组组长、工会主席、副总经理（主持经营工作</w:t>
      </w:r>
      <w:r>
        <w:rPr>
          <w:spacing w:val="-108"/>
          <w:w w:val="100"/>
        </w:rPr>
        <w:t>）</w:t>
      </w:r>
      <w:r>
        <w:rPr>
          <w:w w:val="100"/>
        </w:rPr>
        <w:t>，20</w:t>
      </w:r>
      <w:r>
        <w:rPr>
          <w:spacing w:val="-3"/>
          <w:w w:val="100"/>
        </w:rPr>
        <w:t>1</w:t>
      </w:r>
      <w:r>
        <w:rPr>
          <w:w w:val="100"/>
        </w:rPr>
        <w:t>1</w:t>
      </w:r>
      <w:r>
        <w:rPr/>
        <w:t> </w:t>
      </w:r>
      <w:r>
        <w:rPr>
          <w:spacing w:val="-2"/>
          <w:w w:val="100"/>
        </w:rPr>
        <w:t>年至</w:t>
      </w:r>
      <w:r>
        <w:rPr>
          <w:spacing w:val="-2"/>
        </w:rPr>
        <w:t> </w:t>
      </w:r>
      <w:r>
        <w:rPr>
          <w:spacing w:val="-3"/>
          <w:w w:val="100"/>
        </w:rPr>
        <w:t>2</w:t>
      </w:r>
      <w:r>
        <w:rPr>
          <w:w w:val="100"/>
        </w:rPr>
        <w:t>016</w:t>
      </w:r>
      <w:r>
        <w:rPr/>
        <w:t> </w:t>
      </w:r>
      <w:r>
        <w:rPr>
          <w:spacing w:val="-3"/>
          <w:w w:val="100"/>
        </w:rPr>
        <w:t>年兼任华能贵诚信托</w:t>
      </w:r>
      <w:r>
        <w:rPr>
          <w:spacing w:val="-3"/>
        </w:rPr>
        <w:t>有限公司董事长；</w:t>
      </w:r>
      <w:r>
        <w:rPr/>
        <w:t>2016</w:t>
      </w:r>
      <w:r>
        <w:rPr>
          <w:spacing w:val="-23"/>
        </w:rPr>
        <w:t> 年至 </w:t>
      </w:r>
      <w:r>
        <w:rPr/>
        <w:t>2020</w:t>
      </w:r>
      <w:r>
        <w:rPr>
          <w:spacing w:val="-9"/>
        </w:rPr>
        <w:t> 年先后担任华能资本服务有限公司总经理、党组副书记、</w:t>
      </w:r>
      <w:r>
        <w:rPr>
          <w:spacing w:val="-11"/>
        </w:rPr>
        <w:t>党委副书记。现任华能资本服务有限公司党委书记、副董事长，景顺长城基金管理有限公司</w:t>
      </w:r>
      <w:r>
        <w:rPr>
          <w:spacing w:val="-7"/>
        </w:rPr>
        <w:t>董事长。</w:t>
      </w:r>
    </w:p>
    <w:p>
      <w:pPr>
        <w:pStyle w:val="BodyText"/>
        <w:spacing w:line="417" w:lineRule="auto"/>
        <w:ind w:left="840" w:right="786" w:firstLine="419"/>
      </w:pPr>
      <w:r>
        <w:rPr>
          <w:spacing w:val="-17"/>
        </w:rPr>
        <w:t>康乐先生，董事、总经理，经济学硕士。曾任中国人寿资产管理有限公司研究部研究员、</w:t>
      </w:r>
      <w:r>
        <w:rPr>
          <w:spacing w:val="-13"/>
        </w:rPr>
        <w:t>组合管理部投资经理、国际业务部投资经理，景顺投资管理有限公司市场销售部经理、北京</w:t>
      </w:r>
      <w:r>
        <w:rPr>
          <w:spacing w:val="-6"/>
        </w:rPr>
        <w:t>代表处首席代表，中国国际金融有限公司销售交易部副总经理。</w:t>
      </w:r>
      <w:r>
        <w:rPr/>
        <w:t>2011</w:t>
      </w:r>
      <w:r>
        <w:rPr>
          <w:spacing w:val="-17"/>
        </w:rPr>
        <w:t> 年 </w:t>
      </w:r>
      <w:r>
        <w:rPr/>
        <w:t>7</w:t>
      </w:r>
      <w:r>
        <w:rPr>
          <w:spacing w:val="-6"/>
        </w:rPr>
        <w:t> 月加入本公司， </w:t>
      </w:r>
      <w:r>
        <w:rPr>
          <w:spacing w:val="-4"/>
        </w:rPr>
        <w:t>现任公司董事兼总经理。</w:t>
      </w:r>
    </w:p>
    <w:p>
      <w:pPr>
        <w:pStyle w:val="BodyText"/>
        <w:spacing w:line="417" w:lineRule="auto"/>
        <w:ind w:left="840" w:right="891" w:firstLine="419"/>
        <w:jc w:val="both"/>
      </w:pPr>
      <w:r>
        <w:rPr>
          <w:spacing w:val="-12"/>
        </w:rPr>
        <w:t>罗德城先生，董事，工商管理硕士。曾任大通银行信用分析师、花旗银行投资管理部副</w:t>
      </w:r>
      <w:r>
        <w:rPr>
          <w:spacing w:val="-9"/>
        </w:rPr>
        <w:t>总裁、</w:t>
      </w:r>
      <w:r>
        <w:rPr/>
        <w:t>Capital House</w:t>
      </w:r>
      <w:r>
        <w:rPr>
          <w:spacing w:val="-8"/>
        </w:rPr>
        <w:t> 亚洲分公司的董事总经理。</w:t>
      </w:r>
      <w:r>
        <w:rPr/>
        <w:t>1992</w:t>
      </w:r>
      <w:r>
        <w:rPr>
          <w:spacing w:val="-30"/>
        </w:rPr>
        <w:t> 至 </w:t>
      </w:r>
      <w:r>
        <w:rPr/>
        <w:t>1996</w:t>
      </w:r>
      <w:r>
        <w:rPr>
          <w:spacing w:val="-8"/>
        </w:rPr>
        <w:t> 年间出任香港投资基金公会</w:t>
      </w:r>
      <w:r>
        <w:rPr>
          <w:spacing w:val="-11"/>
        </w:rPr>
        <w:t>管理委员会成员，并于 </w:t>
      </w:r>
      <w:r>
        <w:rPr/>
        <w:t>1996</w:t>
      </w:r>
      <w:r>
        <w:rPr>
          <w:spacing w:val="-33"/>
        </w:rPr>
        <w:t> 至 </w:t>
      </w:r>
      <w:r>
        <w:rPr/>
        <w:t>1997</w:t>
      </w:r>
      <w:r>
        <w:rPr>
          <w:spacing w:val="-10"/>
        </w:rPr>
        <w:t> 年间担任公会主席。</w:t>
      </w:r>
      <w:r>
        <w:rPr/>
        <w:t>1997</w:t>
      </w:r>
      <w:r>
        <w:rPr>
          <w:spacing w:val="-34"/>
        </w:rPr>
        <w:t> 至 </w:t>
      </w:r>
      <w:r>
        <w:rPr/>
        <w:t>2000</w:t>
      </w:r>
      <w:r>
        <w:rPr>
          <w:spacing w:val="-9"/>
        </w:rPr>
        <w:t> 年间，担任香港联交</w:t>
      </w:r>
    </w:p>
    <w:p>
      <w:pPr>
        <w:pStyle w:val="BodyText"/>
        <w:spacing w:line="417" w:lineRule="auto"/>
        <w:ind w:left="840" w:right="893"/>
        <w:jc w:val="both"/>
      </w:pPr>
      <w:r>
        <w:rPr>
          <w:spacing w:val="-12"/>
        </w:rPr>
        <w:t>所委员会成员，并在 </w:t>
      </w:r>
      <w:r>
        <w:rPr/>
        <w:t>1997</w:t>
      </w:r>
      <w:r>
        <w:rPr>
          <w:spacing w:val="-30"/>
        </w:rPr>
        <w:t> 至 </w:t>
      </w:r>
      <w:r>
        <w:rPr/>
        <w:t>2001</w:t>
      </w:r>
      <w:r>
        <w:rPr>
          <w:spacing w:val="-12"/>
        </w:rPr>
        <w:t> 年间担任香港证监会顾问委员会成员。现任景顺集团亚太</w:t>
      </w:r>
      <w:r>
        <w:rPr>
          <w:spacing w:val="-6"/>
        </w:rPr>
        <w:t>区首席执行官。</w:t>
      </w:r>
    </w:p>
    <w:p>
      <w:pPr>
        <w:pStyle w:val="BodyText"/>
        <w:spacing w:line="417" w:lineRule="auto"/>
        <w:ind w:left="840" w:right="891" w:firstLine="419"/>
        <w:jc w:val="both"/>
      </w:pPr>
      <w:r>
        <w:rPr>
          <w:spacing w:val="-12"/>
        </w:rPr>
        <w:t>李翔先生，董事，高级管理人员工商管理硕士。曾任长城证券股份有限公司人事部副总经理、人事监察部总经理、营业部总经理、公司营销总监、营销管理部总经理、副总裁兼党</w:t>
      </w:r>
      <w:r>
        <w:rPr>
          <w:spacing w:val="-6"/>
        </w:rPr>
        <w:t>委委员，现任长城证券股份有限公司总裁兼党委副书记。</w:t>
      </w:r>
    </w:p>
    <w:p>
      <w:pPr>
        <w:pStyle w:val="BodyText"/>
        <w:spacing w:line="417" w:lineRule="auto"/>
        <w:ind w:left="840" w:right="891" w:firstLine="419"/>
        <w:jc w:val="both"/>
      </w:pPr>
      <w:r>
        <w:rPr>
          <w:spacing w:val="-3"/>
          <w:w w:val="100"/>
        </w:rPr>
        <w:t>伍同明先生，独立董事，文学学士。香港会计师公会会员（</w:t>
      </w:r>
      <w:r>
        <w:rPr>
          <w:w w:val="100"/>
        </w:rPr>
        <w:t>HKI</w:t>
      </w:r>
      <w:r>
        <w:rPr>
          <w:spacing w:val="-3"/>
          <w:w w:val="100"/>
        </w:rPr>
        <w:t>C</w:t>
      </w:r>
      <w:r>
        <w:rPr>
          <w:w w:val="100"/>
        </w:rPr>
        <w:t>P</w:t>
      </w:r>
      <w:r>
        <w:rPr>
          <w:spacing w:val="-1"/>
          <w:w w:val="100"/>
        </w:rPr>
        <w:t>A</w:t>
      </w:r>
      <w:r>
        <w:rPr>
          <w:spacing w:val="-106"/>
          <w:w w:val="100"/>
        </w:rPr>
        <w:t>）</w:t>
      </w:r>
      <w:r>
        <w:rPr>
          <w:spacing w:val="-3"/>
          <w:w w:val="100"/>
        </w:rPr>
        <w:t>、英国特许公认会计师</w:t>
      </w:r>
      <w:r>
        <w:rPr>
          <w:spacing w:val="-1"/>
          <w:w w:val="100"/>
        </w:rPr>
        <w:t>（</w:t>
      </w:r>
      <w:r>
        <w:rPr>
          <w:spacing w:val="-3"/>
          <w:w w:val="100"/>
        </w:rPr>
        <w:t>A</w:t>
      </w:r>
      <w:r>
        <w:rPr>
          <w:w w:val="100"/>
        </w:rPr>
        <w:t>CC</w:t>
      </w:r>
      <w:r>
        <w:rPr>
          <w:spacing w:val="-1"/>
          <w:w w:val="100"/>
        </w:rPr>
        <w:t>A</w:t>
      </w:r>
      <w:r>
        <w:rPr>
          <w:spacing w:val="-106"/>
          <w:w w:val="100"/>
        </w:rPr>
        <w:t>）</w:t>
      </w:r>
      <w:r>
        <w:rPr>
          <w:spacing w:val="-3"/>
          <w:w w:val="100"/>
        </w:rPr>
        <w:t>、香港执业会计师</w:t>
      </w:r>
      <w:r>
        <w:rPr>
          <w:w w:val="100"/>
        </w:rPr>
        <w:t>（</w:t>
      </w:r>
      <w:r>
        <w:rPr>
          <w:spacing w:val="-3"/>
          <w:w w:val="100"/>
        </w:rPr>
        <w:t>C</w:t>
      </w:r>
      <w:r>
        <w:rPr>
          <w:w w:val="100"/>
        </w:rPr>
        <w:t>P</w:t>
      </w:r>
      <w:r>
        <w:rPr>
          <w:spacing w:val="-1"/>
          <w:w w:val="100"/>
        </w:rPr>
        <w:t>A</w:t>
      </w:r>
      <w:r>
        <w:rPr>
          <w:spacing w:val="-106"/>
          <w:w w:val="100"/>
        </w:rPr>
        <w:t>）</w:t>
      </w:r>
      <w:r>
        <w:rPr>
          <w:spacing w:val="-3"/>
          <w:w w:val="100"/>
        </w:rPr>
        <w:t>、加拿大公认管理会计师</w:t>
      </w:r>
      <w:r>
        <w:rPr>
          <w:w w:val="100"/>
        </w:rPr>
        <w:t>（</w:t>
      </w:r>
      <w:r>
        <w:rPr>
          <w:spacing w:val="-3"/>
          <w:w w:val="100"/>
        </w:rPr>
        <w:t>C</w:t>
      </w:r>
      <w:r>
        <w:rPr>
          <w:w w:val="100"/>
        </w:rPr>
        <w:t>M</w:t>
      </w:r>
      <w:r>
        <w:rPr>
          <w:spacing w:val="-1"/>
          <w:w w:val="100"/>
        </w:rPr>
        <w:t>A</w:t>
      </w:r>
      <w:r>
        <w:rPr>
          <w:spacing w:val="-106"/>
          <w:w w:val="100"/>
        </w:rPr>
        <w:t>）</w:t>
      </w:r>
      <w:r>
        <w:rPr>
          <w:spacing w:val="-3"/>
          <w:w w:val="100"/>
        </w:rPr>
        <w:t>。拥有超过二十年以</w:t>
      </w:r>
      <w:r>
        <w:rPr>
          <w:spacing w:val="-6"/>
        </w:rPr>
        <w:t>上的会计、审核、管治税务的专业经验及知识，</w:t>
      </w:r>
      <w:r>
        <w:rPr/>
        <w:t>1972-1977</w:t>
      </w:r>
      <w:r>
        <w:rPr>
          <w:spacing w:val="-8"/>
        </w:rPr>
        <w:t> 受训于国际知名会计师楼“毕马</w:t>
      </w:r>
      <w:r>
        <w:rPr>
          <w:spacing w:val="-5"/>
        </w:rPr>
        <w:t>威会计师行”[</w:t>
      </w:r>
      <w:r>
        <w:rPr/>
        <w:t>KPMG</w:t>
      </w:r>
      <w:r>
        <w:rPr>
          <w:spacing w:val="-3"/>
        </w:rPr>
        <w:t>]。现为“伍同明会计师行”所有者。</w:t>
      </w:r>
    </w:p>
    <w:p>
      <w:pPr>
        <w:pStyle w:val="BodyText"/>
        <w:spacing w:line="417" w:lineRule="auto"/>
        <w:ind w:left="840" w:right="891" w:firstLine="419"/>
        <w:jc w:val="both"/>
      </w:pPr>
      <w:r>
        <w:rPr>
          <w:spacing w:val="-11"/>
        </w:rPr>
        <w:t>靳庆军先生，独立董事，法学硕士。曾任中信律师事务所涉外专职律师，在香港马士打</w:t>
      </w:r>
      <w:r>
        <w:rPr>
          <w:spacing w:val="-13"/>
        </w:rPr>
        <w:t>律师行、英国律师行 </w:t>
      </w:r>
      <w:r>
        <w:rPr/>
        <w:t>C1yde＆Co.</w:t>
      </w:r>
      <w:r>
        <w:rPr>
          <w:spacing w:val="-2"/>
        </w:rPr>
        <w:t> 从事律师工作，</w:t>
      </w:r>
      <w:r>
        <w:rPr>
          <w:spacing w:val="-8"/>
        </w:rPr>
        <w:t>1993</w:t>
      </w:r>
      <w:r>
        <w:rPr>
          <w:spacing w:val="-10"/>
        </w:rPr>
        <w:t> 年发起设立信达律师事务所，担任执</w:t>
      </w:r>
      <w:r>
        <w:rPr>
          <w:spacing w:val="-5"/>
        </w:rPr>
        <w:t>行合伙人。现任金杜律师事务所合伙人。</w:t>
      </w:r>
    </w:p>
    <w:p>
      <w:pPr>
        <w:pStyle w:val="BodyText"/>
        <w:spacing w:line="417" w:lineRule="auto"/>
        <w:ind w:left="840" w:right="786" w:firstLine="419"/>
      </w:pPr>
      <w:r>
        <w:rPr>
          <w:spacing w:val="-17"/>
        </w:rPr>
        <w:t>闵路浩先生，独立董事，经济学硕士。曾任中国人民银行金融管理公司科员、主任科员； </w:t>
      </w:r>
      <w:r>
        <w:rPr>
          <w:spacing w:val="-12"/>
        </w:rPr>
        <w:t>中国人民银行非银行金融机构监管司副处长、处长；中国银行业监督管理委员会非银行金融机构监管部处长、副巡视员、巡视员；中国小额贷款公司协会会长；重庆富民银行行长。现</w:t>
      </w:r>
      <w:r>
        <w:rPr>
          <w:spacing w:val="-6"/>
        </w:rPr>
        <w:t>任北京中泰创汇股权投资基金管理有限公司总裁。</w:t>
      </w:r>
    </w:p>
    <w:p>
      <w:pPr>
        <w:pStyle w:val="BodyText"/>
        <w:spacing w:line="268" w:lineRule="exact"/>
        <w:ind w:left="1260"/>
      </w:pPr>
      <w:r>
        <w:rPr/>
        <w:t>2、基金管理人监事会成员</w:t>
      </w:r>
    </w:p>
    <w:p>
      <w:pPr>
        <w:pStyle w:val="BodyText"/>
        <w:spacing w:before="5"/>
        <w:rPr>
          <w:sz w:val="15"/>
        </w:rPr>
      </w:pPr>
    </w:p>
    <w:p>
      <w:pPr>
        <w:pStyle w:val="BodyText"/>
        <w:ind w:left="1260"/>
      </w:pPr>
      <w:r>
        <w:rPr/>
        <w:t>阮惠仙女士，监事，会计学硕士。现任长城证券股份有限公司财务部总经理。</w:t>
      </w:r>
    </w:p>
    <w:p>
      <w:pPr>
        <w:pStyle w:val="BodyText"/>
        <w:spacing w:before="7"/>
        <w:rPr>
          <w:sz w:val="15"/>
        </w:rPr>
      </w:pPr>
    </w:p>
    <w:p>
      <w:pPr>
        <w:pStyle w:val="BodyText"/>
        <w:ind w:left="1260"/>
      </w:pPr>
      <w:r>
        <w:rPr/>
        <w:t>郭慧娜女士，监事，管理理学硕士。曾任伦敦安永会计师事务所核数师，历任景顺投资</w:t>
      </w:r>
    </w:p>
    <w:p>
      <w:pPr>
        <w:spacing w:after="0"/>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pPr>
      <w:r>
        <w:rPr>
          <w:spacing w:val="-10"/>
        </w:rPr>
        <w:t>管理有限公司项目主管、业务发展部副经理、企业发展部经理、亚太区监察总监、亚太区首</w:t>
      </w:r>
      <w:r>
        <w:rPr>
          <w:spacing w:val="-5"/>
        </w:rPr>
        <w:t>席行政官。现任景顺投资管理有限公司亚太区首席营运总监。</w:t>
      </w:r>
    </w:p>
    <w:p>
      <w:pPr>
        <w:pStyle w:val="BodyText"/>
        <w:spacing w:line="417" w:lineRule="auto"/>
        <w:ind w:left="840" w:right="892" w:firstLine="419"/>
      </w:pPr>
      <w:r>
        <w:rPr>
          <w:spacing w:val="-9"/>
        </w:rPr>
        <w:t>邵媛媛女士，监事，管理学硕士。曾任职于深圳市天健</w:t>
      </w:r>
      <w:r>
        <w:rPr/>
        <w:t>（</w:t>
      </w:r>
      <w:r>
        <w:rPr>
          <w:spacing w:val="-2"/>
        </w:rPr>
        <w:t>信德</w:t>
      </w:r>
      <w:r>
        <w:rPr>
          <w:spacing w:val="-20"/>
        </w:rPr>
        <w:t>）</w:t>
      </w:r>
      <w:r>
        <w:rPr>
          <w:spacing w:val="-5"/>
        </w:rPr>
        <w:t>会计师事务所、福建兴</w:t>
      </w:r>
      <w:r>
        <w:rPr>
          <w:spacing w:val="-4"/>
        </w:rPr>
        <w:t>业银行深圳分行计财部。现任景顺长城基金管理有限公司基金事务部总监。</w:t>
      </w:r>
    </w:p>
    <w:p>
      <w:pPr>
        <w:pStyle w:val="BodyText"/>
        <w:spacing w:line="417" w:lineRule="auto"/>
        <w:ind w:left="840" w:right="891" w:firstLine="419"/>
      </w:pPr>
      <w:r>
        <w:rPr>
          <w:spacing w:val="-12"/>
        </w:rPr>
        <w:t>杨波先生，监事，工商管理硕士。曾任职于长城证券经纪业务管理部。现任景顺长城基</w:t>
      </w:r>
      <w:r>
        <w:rPr>
          <w:spacing w:val="-6"/>
        </w:rPr>
        <w:t>金管理有限公司交易管理部总监。</w:t>
      </w:r>
    </w:p>
    <w:p>
      <w:pPr>
        <w:pStyle w:val="BodyText"/>
        <w:spacing w:line="269" w:lineRule="exact"/>
        <w:ind w:left="1260"/>
      </w:pPr>
      <w:r>
        <w:rPr/>
        <w:t>3、高级管理人员</w:t>
      </w:r>
    </w:p>
    <w:p>
      <w:pPr>
        <w:pStyle w:val="BodyText"/>
        <w:spacing w:before="7"/>
        <w:rPr>
          <w:sz w:val="15"/>
        </w:rPr>
      </w:pPr>
    </w:p>
    <w:p>
      <w:pPr>
        <w:pStyle w:val="BodyText"/>
        <w:spacing w:line="417" w:lineRule="auto"/>
        <w:ind w:left="1260" w:right="5838"/>
      </w:pPr>
      <w:r>
        <w:rPr/>
        <w:t>李进先生，董事长，简历同上。康乐先生，总经理，简历同上。</w:t>
      </w:r>
    </w:p>
    <w:p>
      <w:pPr>
        <w:pStyle w:val="BodyText"/>
        <w:spacing w:line="417" w:lineRule="auto"/>
        <w:ind w:left="840" w:right="891" w:firstLine="419"/>
        <w:jc w:val="both"/>
      </w:pPr>
      <w:r>
        <w:rPr>
          <w:w w:val="100"/>
        </w:rPr>
        <w:t>CHEN</w:t>
      </w:r>
      <w:r>
        <w:rPr/>
        <w:t> </w:t>
      </w:r>
      <w:r>
        <w:rPr>
          <w:spacing w:val="-3"/>
          <w:w w:val="100"/>
        </w:rPr>
        <w:t>W</w:t>
      </w:r>
      <w:r>
        <w:rPr>
          <w:w w:val="100"/>
        </w:rPr>
        <w:t>ENY</w:t>
      </w:r>
      <w:r>
        <w:rPr>
          <w:spacing w:val="-3"/>
          <w:w w:val="100"/>
        </w:rPr>
        <w:t>U</w:t>
      </w:r>
      <w:r>
        <w:rPr>
          <w:w w:val="100"/>
        </w:rPr>
        <w:t>（</w:t>
      </w:r>
      <w:r>
        <w:rPr>
          <w:spacing w:val="-2"/>
          <w:w w:val="100"/>
        </w:rPr>
        <w:t>陈文宇先生</w:t>
      </w:r>
      <w:r>
        <w:rPr>
          <w:spacing w:val="-108"/>
          <w:w w:val="100"/>
        </w:rPr>
        <w:t>）</w:t>
      </w:r>
      <w:r>
        <w:rPr>
          <w:spacing w:val="-3"/>
          <w:w w:val="100"/>
        </w:rPr>
        <w:t>，副总经理，工商管理硕士。曾担任中国海口电视台每日新</w:t>
      </w:r>
      <w:r>
        <w:rPr>
          <w:spacing w:val="-7"/>
        </w:rPr>
        <w:t>闻记者及每周金融新闻节目制作人，安盛罗森堡投资管理公司</w:t>
      </w:r>
      <w:r>
        <w:rPr>
          <w:spacing w:val="-3"/>
        </w:rPr>
        <w:t>（</w:t>
      </w:r>
      <w:r>
        <w:rPr>
          <w:spacing w:val="-2"/>
        </w:rPr>
        <w:t>美国加州</w:t>
      </w:r>
      <w:r>
        <w:rPr>
          <w:spacing w:val="-34"/>
        </w:rPr>
        <w:t>）</w:t>
      </w:r>
      <w:r>
        <w:rPr>
          <w:spacing w:val="-2"/>
        </w:rPr>
        <w:t>美洲区副首席投</w:t>
      </w:r>
      <w:r>
        <w:rPr>
          <w:spacing w:val="-11"/>
        </w:rPr>
        <w:t>资官、以及研究、投资组合管理和策略等其他多个职位，安盛投资管理亚洲有限公司</w:t>
      </w:r>
      <w:r>
        <w:rPr>
          <w:spacing w:val="-3"/>
        </w:rPr>
        <w:t>（</w:t>
      </w:r>
      <w:r>
        <w:rPr/>
        <w:t>新加坡）</w:t>
      </w:r>
      <w:r>
        <w:rPr>
          <w:spacing w:val="-3"/>
        </w:rPr>
        <w:t>泛亚地区首席投资官，主要负责投资组合管理、研究、交易等相关业务。</w:t>
      </w:r>
      <w:r>
        <w:rPr/>
        <w:t>2018</w:t>
      </w:r>
      <w:r>
        <w:rPr>
          <w:spacing w:val="-14"/>
        </w:rPr>
        <w:t> 年 </w:t>
      </w:r>
      <w:r>
        <w:rPr/>
        <w:t>9</w:t>
      </w:r>
      <w:r>
        <w:rPr>
          <w:spacing w:val="-10"/>
        </w:rPr>
        <w:t> 月</w:t>
      </w:r>
      <w:r>
        <w:rPr>
          <w:spacing w:val="-5"/>
        </w:rPr>
        <w:t>加入本公司，现任公司副总经理。</w:t>
      </w:r>
    </w:p>
    <w:p>
      <w:pPr>
        <w:pStyle w:val="BodyText"/>
        <w:spacing w:line="417" w:lineRule="auto"/>
        <w:ind w:left="840" w:right="891" w:firstLine="419"/>
        <w:jc w:val="both"/>
      </w:pPr>
      <w:r>
        <w:rPr>
          <w:spacing w:val="-10"/>
        </w:rPr>
        <w:t>毛从容女士，副总经理，经济学硕士。曾任职于交通银行深圳市分行国际业务部，担任</w:t>
      </w:r>
      <w:r>
        <w:rPr>
          <w:spacing w:val="-5"/>
        </w:rPr>
        <w:t>长城证券金融研究所高级分析师、债券小组组长。</w:t>
      </w:r>
      <w:r>
        <w:rPr/>
        <w:t>2003</w:t>
      </w:r>
      <w:r>
        <w:rPr>
          <w:spacing w:val="-13"/>
        </w:rPr>
        <w:t> 年 </w:t>
      </w:r>
      <w:r>
        <w:rPr/>
        <w:t>3</w:t>
      </w:r>
      <w:r>
        <w:rPr>
          <w:spacing w:val="-5"/>
        </w:rPr>
        <w:t> 月加入本公司，现任公司副总经理。</w:t>
      </w:r>
    </w:p>
    <w:p>
      <w:pPr>
        <w:pStyle w:val="BodyText"/>
        <w:spacing w:line="417" w:lineRule="auto"/>
        <w:ind w:left="840" w:right="891" w:firstLine="419"/>
        <w:jc w:val="both"/>
      </w:pPr>
      <w:r>
        <w:rPr>
          <w:spacing w:val="-11"/>
        </w:rPr>
        <w:t>黎海威先生，副总经理，经济学硕士。曾担任美国穆迪 </w:t>
      </w:r>
      <w:r>
        <w:rPr/>
        <w:t>KMV</w:t>
      </w:r>
      <w:r>
        <w:rPr>
          <w:spacing w:val="-9"/>
        </w:rPr>
        <w:t> 公司研究员，美国贝莱德集</w:t>
      </w:r>
      <w:r>
        <w:rPr>
          <w:spacing w:val="-25"/>
        </w:rPr>
        <w:t>团</w:t>
      </w:r>
      <w:r>
        <w:rPr/>
        <w:t>（</w:t>
      </w:r>
      <w:r>
        <w:rPr>
          <w:spacing w:val="-3"/>
        </w:rPr>
        <w:t>原巴克莱国际投资管理有限公司</w:t>
      </w:r>
      <w:r>
        <w:rPr>
          <w:spacing w:val="-25"/>
        </w:rPr>
        <w:t>）</w:t>
      </w:r>
      <w:r>
        <w:rPr>
          <w:spacing w:val="-8"/>
        </w:rPr>
        <w:t>基金经理、主动股票部副总裁，香港海通国际资产管</w:t>
      </w:r>
      <w:r>
        <w:rPr>
          <w:spacing w:val="-5"/>
        </w:rPr>
        <w:t>理有限公司(海通国际投资管理有限公司)量化总监。</w:t>
      </w:r>
      <w:r>
        <w:rPr/>
        <w:t>2012</w:t>
      </w:r>
      <w:r>
        <w:rPr>
          <w:spacing w:val="-13"/>
        </w:rPr>
        <w:t> 年 </w:t>
      </w:r>
      <w:r>
        <w:rPr/>
        <w:t>8</w:t>
      </w:r>
      <w:r>
        <w:rPr>
          <w:spacing w:val="-5"/>
        </w:rPr>
        <w:t> 月加入本公司，现任公司副</w:t>
      </w:r>
      <w:r>
        <w:rPr>
          <w:spacing w:val="-4"/>
        </w:rPr>
        <w:t>总经理。</w:t>
      </w:r>
    </w:p>
    <w:p>
      <w:pPr>
        <w:pStyle w:val="BodyText"/>
        <w:spacing w:line="417" w:lineRule="auto"/>
        <w:ind w:left="840" w:right="788" w:firstLine="419"/>
      </w:pPr>
      <w:r>
        <w:rPr>
          <w:spacing w:val="-17"/>
        </w:rPr>
        <w:t>赵代中先生，副总经理，理学硕士。曾担任深圳发展银行北京分行金融同业部投资经理、</w:t>
      </w:r>
      <w:r>
        <w:rPr>
          <w:spacing w:val="-11"/>
        </w:rPr>
        <w:t>宁夏嘉川集团项目部项目负责人、全国社会保障基金理事会境外投资部全球股票处处长、浙</w:t>
      </w:r>
      <w:r>
        <w:rPr>
          <w:spacing w:val="-7"/>
        </w:rPr>
        <w:t>江大钧资产管理有限公司合伙人兼副总经理。</w:t>
      </w:r>
      <w:r>
        <w:rPr/>
        <w:t>2016</w:t>
      </w:r>
      <w:r>
        <w:rPr>
          <w:spacing w:val="-28"/>
        </w:rPr>
        <w:t> 年 </w:t>
      </w:r>
      <w:r>
        <w:rPr/>
        <w:t>3</w:t>
      </w:r>
      <w:r>
        <w:rPr>
          <w:spacing w:val="-10"/>
        </w:rPr>
        <w:t> 月加入本公司，现任公司副总经理。</w:t>
      </w:r>
    </w:p>
    <w:p>
      <w:pPr>
        <w:pStyle w:val="BodyText"/>
        <w:spacing w:line="417" w:lineRule="auto"/>
        <w:ind w:left="840" w:right="891" w:firstLine="419"/>
        <w:jc w:val="both"/>
      </w:pPr>
      <w:r>
        <w:rPr>
          <w:spacing w:val="-11"/>
        </w:rPr>
        <w:t>李黎女士，副总经理，经济学硕士。曾任职于广发证券深圳业务总部机构客户中心、景顺长城基金管理有限公司市场部，之后加入国投瑞银基金市场服务部担任副总监职务。</w:t>
      </w:r>
      <w:r>
        <w:rPr/>
        <w:t>2009 </w:t>
      </w:r>
      <w:r>
        <w:rPr>
          <w:spacing w:val="-27"/>
        </w:rPr>
        <w:t>年 </w:t>
      </w:r>
      <w:r>
        <w:rPr/>
        <w:t>6</w:t>
      </w:r>
      <w:r>
        <w:rPr>
          <w:spacing w:val="-9"/>
        </w:rPr>
        <w:t> 月再次加入本公司，现任公司副总经理。</w:t>
      </w:r>
    </w:p>
    <w:p>
      <w:pPr>
        <w:pStyle w:val="BodyText"/>
        <w:spacing w:line="417" w:lineRule="auto"/>
        <w:ind w:left="840" w:right="788" w:firstLine="419"/>
      </w:pPr>
      <w:r>
        <w:rPr>
          <w:spacing w:val="-17"/>
        </w:rPr>
        <w:t>吴建军先生，副总经理，经济学硕士。曾担任海南汇通国际信托投资公司证券部副经理， </w:t>
      </w:r>
      <w:r>
        <w:rPr>
          <w:spacing w:val="-7"/>
        </w:rPr>
        <w:t>长城证券股份有限公司机构管理部总经理、公司总裁助理。</w:t>
      </w:r>
      <w:r>
        <w:rPr/>
        <w:t>2003</w:t>
      </w:r>
      <w:r>
        <w:rPr>
          <w:spacing w:val="-17"/>
        </w:rPr>
        <w:t> 年 </w:t>
      </w:r>
      <w:r>
        <w:rPr/>
        <w:t>3</w:t>
      </w:r>
      <w:r>
        <w:rPr>
          <w:spacing w:val="-6"/>
        </w:rPr>
        <w:t> 月加入本公司，现任</w:t>
      </w:r>
      <w:r>
        <w:rPr>
          <w:spacing w:val="-4"/>
        </w:rPr>
        <w:t>公司副总经理。</w:t>
      </w:r>
    </w:p>
    <w:p>
      <w:pPr>
        <w:spacing w:after="0" w:line="417" w:lineRule="auto"/>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firstLine="419"/>
        <w:jc w:val="both"/>
      </w:pPr>
      <w:r>
        <w:rPr>
          <w:spacing w:val="-10"/>
        </w:rPr>
        <w:t>刘焕喜先生，副总经理，投资与金融系博士。曾担任武汉大学教师工作处副科长、武汉</w:t>
      </w:r>
      <w:r>
        <w:rPr>
          <w:spacing w:val="-13"/>
        </w:rPr>
        <w:t>大学成人教育学院讲师，《证券时报》社编辑记者，长城证券研发中心研究员、总裁办副主</w:t>
      </w:r>
      <w:r>
        <w:rPr>
          <w:spacing w:val="-6"/>
        </w:rPr>
        <w:t>任、行政部副总经理。</w:t>
      </w:r>
      <w:r>
        <w:rPr/>
        <w:t>2003</w:t>
      </w:r>
      <w:r>
        <w:rPr>
          <w:spacing w:val="-36"/>
        </w:rPr>
        <w:t> 年 </w:t>
      </w:r>
      <w:r>
        <w:rPr/>
        <w:t>3</w:t>
      </w:r>
      <w:r>
        <w:rPr>
          <w:spacing w:val="-9"/>
        </w:rPr>
        <w:t> 月加入本公司，现任公司副总经理。</w:t>
      </w:r>
    </w:p>
    <w:p>
      <w:pPr>
        <w:pStyle w:val="BodyText"/>
        <w:spacing w:line="417" w:lineRule="auto"/>
        <w:ind w:left="840" w:right="797" w:firstLine="419"/>
      </w:pPr>
      <w:r>
        <w:rPr/>
        <w:t>杨皞阳先生，督察长，法学硕士。曾担任黑龙江省大庆市红岗区人民法院助理审判员， 南方基金管理有限公司监察稽核部监察稽核经理、监察稽核高级经理、总监助理。2008 年10 月加入本公司，现任公司督察长。</w:t>
      </w:r>
    </w:p>
    <w:p>
      <w:pPr>
        <w:pStyle w:val="BodyText"/>
        <w:spacing w:line="417" w:lineRule="auto"/>
        <w:ind w:left="840" w:right="891" w:firstLine="419"/>
        <w:jc w:val="both"/>
      </w:pPr>
      <w:r>
        <w:rPr>
          <w:spacing w:val="-12"/>
        </w:rPr>
        <w:t>张明先生，首席信息官，工商管理硕士。曾先后担任平安证券股份有限公司信息技术部</w:t>
      </w:r>
      <w:r>
        <w:rPr>
          <w:spacing w:val="-6"/>
        </w:rPr>
        <w:t>架构与开发支持组经理、信息技术中心技术开发部执行总经理等职务。</w:t>
      </w:r>
      <w:r>
        <w:rPr/>
        <w:t>2020</w:t>
      </w:r>
      <w:r>
        <w:rPr>
          <w:spacing w:val="-13"/>
        </w:rPr>
        <w:t> 年 </w:t>
      </w:r>
      <w:r>
        <w:rPr/>
        <w:t>3</w:t>
      </w:r>
      <w:r>
        <w:rPr>
          <w:spacing w:val="-5"/>
        </w:rPr>
        <w:t> 月加入本</w:t>
      </w:r>
      <w:r>
        <w:rPr>
          <w:spacing w:val="-4"/>
        </w:rPr>
        <w:t>公司，现任公司首席信息官。</w:t>
      </w:r>
    </w:p>
    <w:p>
      <w:pPr>
        <w:pStyle w:val="BodyText"/>
        <w:ind w:left="1260"/>
      </w:pPr>
      <w:r>
        <w:rPr/>
        <w:t>4、本基金现任基金经理简历</w:t>
      </w:r>
    </w:p>
    <w:p>
      <w:pPr>
        <w:pStyle w:val="BodyText"/>
        <w:spacing w:before="6"/>
        <w:rPr>
          <w:sz w:val="15"/>
        </w:rPr>
      </w:pPr>
    </w:p>
    <w:p>
      <w:pPr>
        <w:pStyle w:val="BodyText"/>
        <w:spacing w:line="417" w:lineRule="auto"/>
        <w:ind w:left="840" w:right="891" w:firstLine="419"/>
      </w:pPr>
      <w:r>
        <w:rPr>
          <w:spacing w:val="-9"/>
        </w:rPr>
        <w:t>本公司采用团队投资方式，即通过整个投资部门全体人员的共同努力，争取良好投资业</w:t>
      </w:r>
      <w:r>
        <w:rPr>
          <w:spacing w:val="-5"/>
        </w:rPr>
        <w:t>绩。本基金现任基金经理如下：</w:t>
      </w:r>
    </w:p>
    <w:p>
      <w:pPr>
        <w:pStyle w:val="BodyText"/>
        <w:spacing w:line="417" w:lineRule="auto"/>
        <w:ind w:left="840" w:right="788" w:firstLine="419"/>
      </w:pPr>
      <w:r>
        <w:rPr>
          <w:spacing w:val="-16"/>
        </w:rPr>
        <w:t>刘彦春先生，管理学硕士。曾担任汉唐证券研究员，香港中信投资研究有限公司研究员， </w:t>
      </w:r>
      <w:r>
        <w:rPr>
          <w:spacing w:val="-7"/>
        </w:rPr>
        <w:t>博时基金研究员、基金经理助理、基金经理等职务。</w:t>
      </w:r>
      <w:r>
        <w:rPr/>
        <w:t>2015</w:t>
      </w:r>
      <w:r>
        <w:rPr>
          <w:spacing w:val="-32"/>
        </w:rPr>
        <w:t> 年 </w:t>
      </w:r>
      <w:r>
        <w:rPr/>
        <w:t>1</w:t>
      </w:r>
      <w:r>
        <w:rPr>
          <w:spacing w:val="-12"/>
        </w:rPr>
        <w:t> 月加入本公司，自 </w:t>
      </w:r>
      <w:r>
        <w:rPr/>
        <w:t>2015</w:t>
      </w:r>
      <w:r>
        <w:rPr>
          <w:spacing w:val="-32"/>
        </w:rPr>
        <w:t> 年 </w:t>
      </w:r>
      <w:r>
        <w:rPr/>
        <w:t>4 </w:t>
      </w:r>
      <w:r>
        <w:rPr>
          <w:spacing w:val="-9"/>
        </w:rPr>
        <w:t>月起担任股票投资部基金经理，现任总经理助理兼研究部总监兼股票投资部基金经理。具有17 年证券、基金行业从业经验。</w:t>
      </w:r>
    </w:p>
    <w:p>
      <w:pPr>
        <w:pStyle w:val="BodyText"/>
        <w:spacing w:line="269" w:lineRule="exact"/>
        <w:ind w:left="1260"/>
      </w:pPr>
      <w:r>
        <w:rPr/>
        <w:t>5、本基金现任基金经理曾管理的基金名称及管理时间</w:t>
      </w:r>
    </w:p>
    <w:p>
      <w:pPr>
        <w:pStyle w:val="BodyText"/>
        <w:spacing w:before="6"/>
        <w:rPr>
          <w:sz w:val="15"/>
        </w:rPr>
      </w:pPr>
    </w:p>
    <w:p>
      <w:pPr>
        <w:pStyle w:val="BodyText"/>
        <w:spacing w:before="1"/>
        <w:ind w:left="1260"/>
      </w:pPr>
      <w:r>
        <w:rPr>
          <w:spacing w:val="-7"/>
        </w:rPr>
        <w:t>本基金现任基金经理刘彦春先生曾于 </w:t>
      </w:r>
      <w:r>
        <w:rPr/>
        <w:t>2008</w:t>
      </w:r>
      <w:r>
        <w:rPr>
          <w:spacing w:val="-41"/>
        </w:rPr>
        <w:t> 年 </w:t>
      </w:r>
      <w:r>
        <w:rPr/>
        <w:t>7</w:t>
      </w:r>
      <w:r>
        <w:rPr>
          <w:spacing w:val="-32"/>
        </w:rPr>
        <w:t> 月至 </w:t>
      </w:r>
      <w:r>
        <w:rPr/>
        <w:t>2011</w:t>
      </w:r>
      <w:r>
        <w:rPr>
          <w:spacing w:val="-41"/>
        </w:rPr>
        <w:t> 年 </w:t>
      </w:r>
      <w:r>
        <w:rPr/>
        <w:t>4</w:t>
      </w:r>
      <w:r>
        <w:rPr>
          <w:spacing w:val="-9"/>
        </w:rPr>
        <w:t> 月管理博时基金管理有限</w:t>
      </w:r>
    </w:p>
    <w:p>
      <w:pPr>
        <w:pStyle w:val="BodyText"/>
        <w:spacing w:before="6"/>
        <w:rPr>
          <w:sz w:val="15"/>
        </w:rPr>
      </w:pPr>
    </w:p>
    <w:p>
      <w:pPr>
        <w:pStyle w:val="BodyText"/>
        <w:ind w:left="840"/>
      </w:pPr>
      <w:r>
        <w:rPr>
          <w:spacing w:val="-4"/>
        </w:rPr>
        <w:t>公司博时新兴成长股票型证券投资基金；</w:t>
      </w:r>
      <w:r>
        <w:rPr>
          <w:spacing w:val="-9"/>
        </w:rPr>
        <w:t>2010</w:t>
      </w:r>
      <w:r>
        <w:rPr>
          <w:spacing w:val="-33"/>
        </w:rPr>
        <w:t> 年 </w:t>
      </w:r>
      <w:r>
        <w:rPr/>
        <w:t>8</w:t>
      </w:r>
      <w:r>
        <w:rPr>
          <w:spacing w:val="-25"/>
        </w:rPr>
        <w:t> 月至 </w:t>
      </w:r>
      <w:r>
        <w:rPr/>
        <w:t>2014</w:t>
      </w:r>
      <w:r>
        <w:rPr>
          <w:spacing w:val="-33"/>
        </w:rPr>
        <w:t> 年 </w:t>
      </w:r>
      <w:r>
        <w:rPr/>
        <w:t>6</w:t>
      </w:r>
      <w:r>
        <w:rPr>
          <w:spacing w:val="-9"/>
        </w:rPr>
        <w:t> 月管理博时基金管理有限</w:t>
      </w:r>
    </w:p>
    <w:p>
      <w:pPr>
        <w:pStyle w:val="BodyText"/>
        <w:spacing w:before="7"/>
        <w:rPr>
          <w:sz w:val="15"/>
        </w:rPr>
      </w:pPr>
    </w:p>
    <w:p>
      <w:pPr>
        <w:pStyle w:val="BodyText"/>
        <w:ind w:left="840"/>
      </w:pPr>
      <w:r>
        <w:rPr>
          <w:spacing w:val="-3"/>
        </w:rPr>
        <w:t>公司博时第三产业成长股票证券投资基金</w:t>
      </w:r>
      <w:r>
        <w:rPr/>
        <w:t>；2015</w:t>
      </w:r>
      <w:r>
        <w:rPr>
          <w:spacing w:val="-27"/>
        </w:rPr>
        <w:t> 年 </w:t>
      </w:r>
      <w:r>
        <w:rPr/>
        <w:t>7</w:t>
      </w:r>
      <w:r>
        <w:rPr>
          <w:spacing w:val="-20"/>
        </w:rPr>
        <w:t> 月至 </w:t>
      </w:r>
      <w:r>
        <w:rPr/>
        <w:t>2016</w:t>
      </w:r>
      <w:r>
        <w:rPr>
          <w:spacing w:val="-27"/>
        </w:rPr>
        <w:t> 年 </w:t>
      </w:r>
      <w:r>
        <w:rPr/>
        <w:t>11</w:t>
      </w:r>
      <w:r>
        <w:rPr>
          <w:spacing w:val="-8"/>
        </w:rPr>
        <w:t> 月管理景顺长城动力</w:t>
      </w:r>
    </w:p>
    <w:p>
      <w:pPr>
        <w:pStyle w:val="BodyText"/>
        <w:spacing w:before="7"/>
        <w:rPr>
          <w:sz w:val="15"/>
        </w:rPr>
      </w:pPr>
    </w:p>
    <w:p>
      <w:pPr>
        <w:pStyle w:val="BodyText"/>
        <w:spacing w:line="417" w:lineRule="auto"/>
        <w:ind w:left="840" w:right="893"/>
      </w:pPr>
      <w:r>
        <w:rPr>
          <w:spacing w:val="-3"/>
        </w:rPr>
        <w:t>平衡证券投资基金；</w:t>
      </w:r>
      <w:r>
        <w:rPr/>
        <w:t>2015</w:t>
      </w:r>
      <w:r>
        <w:rPr>
          <w:spacing w:val="-27"/>
        </w:rPr>
        <w:t> 年 </w:t>
      </w:r>
      <w:r>
        <w:rPr/>
        <w:t>7</w:t>
      </w:r>
      <w:r>
        <w:rPr>
          <w:spacing w:val="-21"/>
        </w:rPr>
        <w:t> 月至 </w:t>
      </w:r>
      <w:r>
        <w:rPr/>
        <w:t>2016</w:t>
      </w:r>
      <w:r>
        <w:rPr>
          <w:spacing w:val="-27"/>
        </w:rPr>
        <w:t> 年 </w:t>
      </w:r>
      <w:r>
        <w:rPr/>
        <w:t>11</w:t>
      </w:r>
      <w:r>
        <w:rPr>
          <w:spacing w:val="-8"/>
        </w:rPr>
        <w:t> 月管理景顺长城优质成长股票型证券投资基金。</w:t>
      </w:r>
    </w:p>
    <w:p>
      <w:pPr>
        <w:pStyle w:val="BodyText"/>
        <w:ind w:left="1260"/>
      </w:pPr>
      <w:r>
        <w:rPr/>
        <w:t>6、本基金现任基金经理兼任其他基金基金经理的情况</w:t>
      </w:r>
    </w:p>
    <w:p>
      <w:pPr>
        <w:pStyle w:val="BodyText"/>
        <w:spacing w:before="7"/>
        <w:rPr>
          <w:sz w:val="15"/>
        </w:rPr>
      </w:pPr>
    </w:p>
    <w:p>
      <w:pPr>
        <w:pStyle w:val="BodyText"/>
        <w:spacing w:line="417" w:lineRule="auto"/>
        <w:ind w:left="840" w:right="797" w:firstLine="419"/>
      </w:pPr>
      <w:r>
        <w:rPr>
          <w:spacing w:val="-3"/>
        </w:rPr>
        <w:t>本基金现任基金经理刘彦春先生兼任景顺长城鼎益混合型证券投资基金</w:t>
      </w:r>
      <w:r>
        <w:rPr/>
        <w:t>（LOF）</w:t>
      </w:r>
      <w:r>
        <w:rPr>
          <w:spacing w:val="-2"/>
        </w:rPr>
        <w:t>基金经</w:t>
      </w:r>
      <w:r>
        <w:rPr>
          <w:spacing w:val="-3"/>
        </w:rPr>
        <w:t>理、景顺长城内需增长混合型证券投资基金、景顺长城内需增长贰号混合型证券投资基金、景顺长城集英成长两年定期开放混合型证券投资基金和景顺长城绩优成长混合型证券投资 基金基金经理。</w:t>
      </w:r>
    </w:p>
    <w:p>
      <w:pPr>
        <w:pStyle w:val="BodyText"/>
        <w:spacing w:line="268" w:lineRule="exact"/>
        <w:ind w:left="1260"/>
      </w:pPr>
      <w:r>
        <w:rPr>
          <w:rFonts w:ascii="Times New Roman" w:eastAsia="Times New Roman"/>
        </w:rPr>
        <w:t>7</w:t>
      </w:r>
      <w:r>
        <w:rPr/>
        <w:t>、本基金历任基金经理姓名及管理时间</w:t>
      </w:r>
    </w:p>
    <w:p>
      <w:pPr>
        <w:pStyle w:val="BodyText"/>
        <w:spacing w:before="9"/>
        <w:rPr>
          <w:sz w:val="7"/>
        </w:rPr>
      </w:pPr>
    </w:p>
    <w:tbl>
      <w:tblPr>
        <w:tblW w:w="0" w:type="auto"/>
        <w:jc w:val="left"/>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4321"/>
      </w:tblGrid>
      <w:tr>
        <w:trPr>
          <w:trHeight w:val="468" w:hRule="atLeast"/>
        </w:trPr>
        <w:tc>
          <w:tcPr>
            <w:tcW w:w="2701" w:type="dxa"/>
          </w:tcPr>
          <w:p>
            <w:pPr>
              <w:pStyle w:val="TableParagraph"/>
              <w:spacing w:before="99"/>
              <w:ind w:left="719"/>
              <w:rPr>
                <w:sz w:val="21"/>
              </w:rPr>
            </w:pPr>
            <w:r>
              <w:rPr>
                <w:sz w:val="21"/>
              </w:rPr>
              <w:t>基金经理姓名</w:t>
            </w:r>
          </w:p>
        </w:tc>
        <w:tc>
          <w:tcPr>
            <w:tcW w:w="4321" w:type="dxa"/>
          </w:tcPr>
          <w:p>
            <w:pPr>
              <w:pStyle w:val="TableParagraph"/>
              <w:spacing w:before="99"/>
              <w:ind w:left="319" w:right="308"/>
              <w:jc w:val="center"/>
              <w:rPr>
                <w:sz w:val="21"/>
              </w:rPr>
            </w:pPr>
            <w:r>
              <w:rPr>
                <w:sz w:val="21"/>
              </w:rPr>
              <w:t>管理时间</w:t>
            </w:r>
          </w:p>
        </w:tc>
      </w:tr>
    </w:tbl>
    <w:p>
      <w:pPr>
        <w:spacing w:after="0"/>
        <w:jc w:val="center"/>
        <w:rPr>
          <w:sz w:val="21"/>
        </w:rPr>
        <w:sectPr>
          <w:pgSz w:w="11910" w:h="16840"/>
          <w:pgMar w:header="877" w:footer="995" w:top="1100" w:bottom="1180" w:left="960" w:right="900"/>
        </w:sectPr>
      </w:pPr>
    </w:p>
    <w:p>
      <w:pPr>
        <w:pStyle w:val="BodyText"/>
        <w:spacing w:before="1"/>
        <w:rPr>
          <w:sz w:val="25"/>
        </w:rPr>
      </w:pPr>
    </w:p>
    <w:tbl>
      <w:tblPr>
        <w:tblW w:w="0" w:type="auto"/>
        <w:jc w:val="left"/>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4321"/>
      </w:tblGrid>
      <w:tr>
        <w:trPr>
          <w:trHeight w:val="468" w:hRule="atLeast"/>
        </w:trPr>
        <w:tc>
          <w:tcPr>
            <w:tcW w:w="2701" w:type="dxa"/>
          </w:tcPr>
          <w:p>
            <w:pPr>
              <w:pStyle w:val="TableParagraph"/>
              <w:spacing w:before="99"/>
              <w:ind w:left="752" w:right="744"/>
              <w:jc w:val="center"/>
              <w:rPr>
                <w:sz w:val="21"/>
              </w:rPr>
            </w:pPr>
            <w:r>
              <w:rPr>
                <w:sz w:val="21"/>
              </w:rPr>
              <w:t>李志嘉 先生</w:t>
            </w:r>
          </w:p>
        </w:tc>
        <w:tc>
          <w:tcPr>
            <w:tcW w:w="4321" w:type="dxa"/>
          </w:tcPr>
          <w:p>
            <w:pPr>
              <w:pStyle w:val="TableParagraph"/>
              <w:spacing w:before="99"/>
              <w:ind w:left="319" w:right="309"/>
              <w:jc w:val="center"/>
              <w:rPr>
                <w:sz w:val="21"/>
              </w:rPr>
            </w:pPr>
            <w:r>
              <w:rPr>
                <w:rFonts w:ascii="Times New Roman" w:eastAsia="Times New Roman"/>
                <w:sz w:val="21"/>
              </w:rPr>
              <w:t>2006 </w:t>
            </w:r>
            <w:r>
              <w:rPr>
                <w:sz w:val="21"/>
              </w:rPr>
              <w:t>年 </w:t>
            </w:r>
            <w:r>
              <w:rPr>
                <w:rFonts w:ascii="Times New Roman" w:eastAsia="Times New Roman"/>
                <w:sz w:val="21"/>
              </w:rPr>
              <w:t>6 </w:t>
            </w:r>
            <w:r>
              <w:rPr>
                <w:sz w:val="21"/>
              </w:rPr>
              <w:t>月 </w:t>
            </w:r>
            <w:r>
              <w:rPr>
                <w:rFonts w:ascii="Times New Roman" w:eastAsia="Times New Roman"/>
                <w:sz w:val="21"/>
              </w:rPr>
              <w:t>28 </w:t>
            </w:r>
            <w:r>
              <w:rPr>
                <w:sz w:val="21"/>
              </w:rPr>
              <w:t>日</w:t>
            </w:r>
            <w:r>
              <w:rPr>
                <w:rFonts w:ascii="Times New Roman" w:eastAsia="Times New Roman"/>
                <w:sz w:val="21"/>
              </w:rPr>
              <w:t>-2010 </w:t>
            </w:r>
            <w:r>
              <w:rPr>
                <w:sz w:val="21"/>
              </w:rPr>
              <w:t>年 </w:t>
            </w:r>
            <w:r>
              <w:rPr>
                <w:rFonts w:ascii="Times New Roman" w:eastAsia="Times New Roman"/>
                <w:sz w:val="21"/>
              </w:rPr>
              <w:t>5 </w:t>
            </w:r>
            <w:r>
              <w:rPr>
                <w:sz w:val="21"/>
              </w:rPr>
              <w:t>月 </w:t>
            </w:r>
            <w:r>
              <w:rPr>
                <w:rFonts w:ascii="Times New Roman" w:eastAsia="Times New Roman"/>
                <w:sz w:val="21"/>
              </w:rPr>
              <w:t>28 </w:t>
            </w:r>
            <w:r>
              <w:rPr>
                <w:sz w:val="21"/>
              </w:rPr>
              <w:t>日</w:t>
            </w:r>
          </w:p>
        </w:tc>
      </w:tr>
      <w:tr>
        <w:trPr>
          <w:trHeight w:val="467" w:hRule="atLeast"/>
        </w:trPr>
        <w:tc>
          <w:tcPr>
            <w:tcW w:w="2701" w:type="dxa"/>
          </w:tcPr>
          <w:p>
            <w:pPr>
              <w:pStyle w:val="TableParagraph"/>
              <w:spacing w:before="99"/>
              <w:ind w:left="752" w:right="744"/>
              <w:jc w:val="center"/>
              <w:rPr>
                <w:sz w:val="21"/>
              </w:rPr>
            </w:pPr>
            <w:r>
              <w:rPr>
                <w:sz w:val="21"/>
              </w:rPr>
              <w:t>邓春鸣 先生</w:t>
            </w:r>
          </w:p>
        </w:tc>
        <w:tc>
          <w:tcPr>
            <w:tcW w:w="4321" w:type="dxa"/>
          </w:tcPr>
          <w:p>
            <w:pPr>
              <w:pStyle w:val="TableParagraph"/>
              <w:spacing w:before="99"/>
              <w:ind w:left="319" w:right="309"/>
              <w:jc w:val="center"/>
              <w:rPr>
                <w:sz w:val="21"/>
              </w:rPr>
            </w:pPr>
            <w:r>
              <w:rPr>
                <w:rFonts w:ascii="Times New Roman" w:eastAsia="Times New Roman"/>
                <w:sz w:val="21"/>
              </w:rPr>
              <w:t>2010 </w:t>
            </w:r>
            <w:r>
              <w:rPr>
                <w:sz w:val="21"/>
              </w:rPr>
              <w:t>年 </w:t>
            </w:r>
            <w:r>
              <w:rPr>
                <w:rFonts w:ascii="Times New Roman" w:eastAsia="Times New Roman"/>
                <w:sz w:val="21"/>
              </w:rPr>
              <w:t>5 </w:t>
            </w:r>
            <w:r>
              <w:rPr>
                <w:sz w:val="21"/>
              </w:rPr>
              <w:t>月 </w:t>
            </w:r>
            <w:r>
              <w:rPr>
                <w:rFonts w:ascii="Times New Roman" w:eastAsia="Times New Roman"/>
                <w:sz w:val="21"/>
              </w:rPr>
              <w:t>29 </w:t>
            </w:r>
            <w:r>
              <w:rPr>
                <w:sz w:val="21"/>
              </w:rPr>
              <w:t>日</w:t>
            </w:r>
            <w:r>
              <w:rPr>
                <w:rFonts w:ascii="Times New Roman" w:eastAsia="Times New Roman"/>
                <w:sz w:val="21"/>
              </w:rPr>
              <w:t>-2014 </w:t>
            </w:r>
            <w:r>
              <w:rPr>
                <w:sz w:val="21"/>
              </w:rPr>
              <w:t>年 </w:t>
            </w:r>
            <w:r>
              <w:rPr>
                <w:rFonts w:ascii="Times New Roman" w:eastAsia="Times New Roman"/>
                <w:sz w:val="21"/>
              </w:rPr>
              <w:t>10 </w:t>
            </w:r>
            <w:r>
              <w:rPr>
                <w:sz w:val="21"/>
              </w:rPr>
              <w:t>月 </w:t>
            </w:r>
            <w:r>
              <w:rPr>
                <w:rFonts w:ascii="Times New Roman" w:eastAsia="Times New Roman"/>
                <w:sz w:val="21"/>
              </w:rPr>
              <w:t>30 </w:t>
            </w:r>
            <w:r>
              <w:rPr>
                <w:sz w:val="21"/>
              </w:rPr>
              <w:t>日</w:t>
            </w:r>
          </w:p>
        </w:tc>
      </w:tr>
      <w:tr>
        <w:trPr>
          <w:trHeight w:val="467" w:hRule="atLeast"/>
        </w:trPr>
        <w:tc>
          <w:tcPr>
            <w:tcW w:w="2701" w:type="dxa"/>
          </w:tcPr>
          <w:p>
            <w:pPr>
              <w:pStyle w:val="TableParagraph"/>
              <w:spacing w:before="99"/>
              <w:ind w:left="752" w:right="744"/>
              <w:jc w:val="center"/>
              <w:rPr>
                <w:sz w:val="21"/>
              </w:rPr>
            </w:pPr>
            <w:r>
              <w:rPr>
                <w:sz w:val="21"/>
              </w:rPr>
              <w:t>杨鹏 先生</w:t>
            </w:r>
          </w:p>
        </w:tc>
        <w:tc>
          <w:tcPr>
            <w:tcW w:w="4321" w:type="dxa"/>
          </w:tcPr>
          <w:p>
            <w:pPr>
              <w:pStyle w:val="TableParagraph"/>
              <w:spacing w:before="99"/>
              <w:ind w:left="318" w:right="310"/>
              <w:jc w:val="center"/>
              <w:rPr>
                <w:sz w:val="21"/>
              </w:rPr>
            </w:pPr>
            <w:r>
              <w:rPr>
                <w:rFonts w:ascii="Times New Roman" w:eastAsia="Times New Roman"/>
                <w:sz w:val="21"/>
              </w:rPr>
              <w:t>2014 </w:t>
            </w:r>
            <w:r>
              <w:rPr>
                <w:sz w:val="21"/>
              </w:rPr>
              <w:t>年 </w:t>
            </w:r>
            <w:r>
              <w:rPr>
                <w:rFonts w:ascii="Times New Roman" w:eastAsia="Times New Roman"/>
                <w:sz w:val="21"/>
              </w:rPr>
              <w:t>10 </w:t>
            </w:r>
            <w:r>
              <w:rPr>
                <w:sz w:val="21"/>
              </w:rPr>
              <w:t>月 </w:t>
            </w:r>
            <w:r>
              <w:rPr>
                <w:rFonts w:ascii="Times New Roman" w:eastAsia="Times New Roman"/>
                <w:sz w:val="21"/>
              </w:rPr>
              <w:t>31 </w:t>
            </w:r>
            <w:r>
              <w:rPr>
                <w:sz w:val="21"/>
              </w:rPr>
              <w:t>日</w:t>
            </w:r>
            <w:r>
              <w:rPr>
                <w:rFonts w:ascii="Times New Roman" w:eastAsia="Times New Roman"/>
                <w:sz w:val="21"/>
              </w:rPr>
              <w:t>-2016 </w:t>
            </w:r>
            <w:r>
              <w:rPr>
                <w:sz w:val="21"/>
              </w:rPr>
              <w:t>年 </w:t>
            </w:r>
            <w:r>
              <w:rPr>
                <w:rFonts w:ascii="Times New Roman" w:eastAsia="Times New Roman"/>
                <w:sz w:val="21"/>
              </w:rPr>
              <w:t>1 </w:t>
            </w:r>
            <w:r>
              <w:rPr>
                <w:sz w:val="21"/>
              </w:rPr>
              <w:t>月 </w:t>
            </w:r>
            <w:r>
              <w:rPr>
                <w:rFonts w:ascii="Times New Roman" w:eastAsia="Times New Roman"/>
                <w:sz w:val="21"/>
              </w:rPr>
              <w:t>27 </w:t>
            </w:r>
            <w:r>
              <w:rPr>
                <w:sz w:val="21"/>
              </w:rPr>
              <w:t>日</w:t>
            </w:r>
          </w:p>
        </w:tc>
      </w:tr>
      <w:tr>
        <w:trPr>
          <w:trHeight w:val="470" w:hRule="atLeast"/>
        </w:trPr>
        <w:tc>
          <w:tcPr>
            <w:tcW w:w="2701" w:type="dxa"/>
          </w:tcPr>
          <w:p>
            <w:pPr>
              <w:pStyle w:val="TableParagraph"/>
              <w:spacing w:before="102"/>
              <w:ind w:left="752" w:right="744"/>
              <w:jc w:val="center"/>
              <w:rPr>
                <w:sz w:val="21"/>
              </w:rPr>
            </w:pPr>
            <w:r>
              <w:rPr>
                <w:sz w:val="21"/>
              </w:rPr>
              <w:t>刘彦春 先生</w:t>
            </w:r>
          </w:p>
        </w:tc>
        <w:tc>
          <w:tcPr>
            <w:tcW w:w="4321" w:type="dxa"/>
          </w:tcPr>
          <w:p>
            <w:pPr>
              <w:pStyle w:val="TableParagraph"/>
              <w:spacing w:before="102"/>
              <w:ind w:left="315" w:right="310"/>
              <w:jc w:val="center"/>
              <w:rPr>
                <w:sz w:val="21"/>
              </w:rPr>
            </w:pPr>
            <w:r>
              <w:rPr>
                <w:rFonts w:ascii="Times New Roman" w:eastAsia="Times New Roman"/>
                <w:sz w:val="21"/>
              </w:rPr>
              <w:t>2015 </w:t>
            </w:r>
            <w:r>
              <w:rPr>
                <w:sz w:val="21"/>
              </w:rPr>
              <w:t>年 </w:t>
            </w:r>
            <w:r>
              <w:rPr>
                <w:rFonts w:ascii="Times New Roman" w:eastAsia="Times New Roman"/>
                <w:sz w:val="21"/>
              </w:rPr>
              <w:t>4 </w:t>
            </w:r>
            <w:r>
              <w:rPr>
                <w:sz w:val="21"/>
              </w:rPr>
              <w:t>月 </w:t>
            </w:r>
            <w:r>
              <w:rPr>
                <w:rFonts w:ascii="Times New Roman" w:eastAsia="Times New Roman"/>
                <w:sz w:val="21"/>
              </w:rPr>
              <w:t>9 </w:t>
            </w:r>
            <w:r>
              <w:rPr>
                <w:sz w:val="21"/>
              </w:rPr>
              <w:t>日</w:t>
            </w:r>
            <w:r>
              <w:rPr>
                <w:rFonts w:ascii="Times New Roman" w:eastAsia="Times New Roman"/>
                <w:sz w:val="21"/>
              </w:rPr>
              <w:t>-</w:t>
            </w:r>
            <w:r>
              <w:rPr>
                <w:sz w:val="21"/>
              </w:rPr>
              <w:t>至今</w:t>
            </w:r>
          </w:p>
        </w:tc>
      </w:tr>
    </w:tbl>
    <w:p>
      <w:pPr>
        <w:pStyle w:val="BodyText"/>
        <w:spacing w:before="99"/>
        <w:ind w:left="1260"/>
      </w:pPr>
      <w:r>
        <w:rPr>
          <w:rFonts w:ascii="Times New Roman" w:eastAsia="Times New Roman"/>
        </w:rPr>
        <w:t>8</w:t>
      </w:r>
      <w:r>
        <w:rPr/>
        <w:t>、投资决策委员会委员名单</w:t>
      </w:r>
    </w:p>
    <w:p>
      <w:pPr>
        <w:pStyle w:val="BodyText"/>
        <w:spacing w:before="7"/>
        <w:rPr>
          <w:sz w:val="15"/>
        </w:rPr>
      </w:pPr>
    </w:p>
    <w:p>
      <w:pPr>
        <w:pStyle w:val="BodyText"/>
        <w:spacing w:line="417" w:lineRule="auto"/>
        <w:ind w:left="840" w:right="788" w:firstLine="419"/>
      </w:pPr>
      <w:r>
        <w:rPr>
          <w:spacing w:val="-12"/>
        </w:rPr>
        <w:t>本公司的投资决策委员会由公司总经理、分管投资的副总经理、各投资总监、研究总监、</w:t>
      </w:r>
      <w:r>
        <w:rPr>
          <w:spacing w:val="-6"/>
        </w:rPr>
        <w:t>基金经理代表等组成。</w:t>
      </w:r>
    </w:p>
    <w:p>
      <w:pPr>
        <w:pStyle w:val="BodyText"/>
        <w:spacing w:line="417" w:lineRule="auto"/>
        <w:ind w:left="1260" w:right="4578"/>
      </w:pPr>
      <w:r>
        <w:rPr/>
        <w:t>公司的投资决策委员会成员姓名及职务如下： 康乐先生，总经理；</w:t>
      </w:r>
    </w:p>
    <w:p>
      <w:pPr>
        <w:pStyle w:val="BodyText"/>
        <w:spacing w:line="417" w:lineRule="auto"/>
        <w:ind w:left="1260" w:right="4753"/>
      </w:pPr>
      <w:r>
        <w:rPr>
          <w:rFonts w:ascii="Times New Roman" w:eastAsia="Times New Roman"/>
          <w:w w:val="100"/>
        </w:rPr>
        <w:t>C</w:t>
      </w:r>
      <w:r>
        <w:rPr>
          <w:rFonts w:ascii="Times New Roman" w:eastAsia="Times New Roman"/>
          <w:spacing w:val="-2"/>
          <w:w w:val="100"/>
        </w:rPr>
        <w:t>H</w:t>
      </w:r>
      <w:r>
        <w:rPr>
          <w:rFonts w:ascii="Times New Roman" w:eastAsia="Times New Roman"/>
          <w:spacing w:val="-2"/>
          <w:w w:val="100"/>
        </w:rPr>
        <w:t>E</w:t>
      </w:r>
      <w:r>
        <w:rPr>
          <w:rFonts w:ascii="Times New Roman" w:eastAsia="Times New Roman"/>
          <w:w w:val="100"/>
        </w:rPr>
        <w:t>N</w:t>
      </w:r>
      <w:r>
        <w:rPr>
          <w:rFonts w:ascii="Times New Roman" w:eastAsia="Times New Roman"/>
        </w:rPr>
        <w:t> </w:t>
      </w:r>
      <w:r>
        <w:rPr>
          <w:rFonts w:ascii="Times New Roman" w:eastAsia="Times New Roman"/>
          <w:w w:val="100"/>
        </w:rPr>
        <w:t>W</w:t>
      </w:r>
      <w:r>
        <w:rPr>
          <w:rFonts w:ascii="Times New Roman" w:eastAsia="Times New Roman"/>
          <w:spacing w:val="-3"/>
          <w:w w:val="100"/>
        </w:rPr>
        <w:t>E</w:t>
      </w:r>
      <w:r>
        <w:rPr>
          <w:rFonts w:ascii="Times New Roman" w:eastAsia="Times New Roman"/>
          <w:spacing w:val="-2"/>
          <w:w w:val="100"/>
        </w:rPr>
        <w:t>NY</w:t>
      </w:r>
      <w:r>
        <w:rPr>
          <w:rFonts w:ascii="Times New Roman" w:eastAsia="Times New Roman"/>
          <w:spacing w:val="1"/>
          <w:w w:val="100"/>
        </w:rPr>
        <w:t>U</w:t>
      </w:r>
      <w:r>
        <w:rPr>
          <w:spacing w:val="-3"/>
          <w:w w:val="100"/>
        </w:rPr>
        <w:t>（陈文宇先生</w:t>
      </w:r>
      <w:r>
        <w:rPr>
          <w:spacing w:val="-106"/>
          <w:w w:val="100"/>
        </w:rPr>
        <w:t>）</w:t>
      </w:r>
      <w:r>
        <w:rPr>
          <w:spacing w:val="-3"/>
          <w:w w:val="100"/>
        </w:rPr>
        <w:t>，副总经理；</w:t>
      </w:r>
      <w:r>
        <w:rPr>
          <w:spacing w:val="-3"/>
        </w:rPr>
        <w:t>毛从容女士，副总经理；</w:t>
      </w:r>
    </w:p>
    <w:p>
      <w:pPr>
        <w:pStyle w:val="BodyText"/>
        <w:spacing w:line="417" w:lineRule="auto"/>
        <w:ind w:left="1260" w:right="3738"/>
      </w:pPr>
      <w:r>
        <w:rPr/>
        <w:t>黎海威先生，副总经理兼量化及指数投资部投资总监； 余广先生，总经理助理兼股票投资部投资总监；</w:t>
      </w:r>
    </w:p>
    <w:p>
      <w:pPr>
        <w:pStyle w:val="BodyText"/>
        <w:spacing w:line="417" w:lineRule="auto"/>
        <w:ind w:left="1260" w:right="4998"/>
      </w:pPr>
      <w:r>
        <w:rPr>
          <w:spacing w:val="-4"/>
        </w:rPr>
        <w:t>刘彦春先生，总经理助理兼研究部总监； </w:t>
      </w:r>
      <w:r>
        <w:rPr>
          <w:spacing w:val="-3"/>
        </w:rPr>
        <w:t>彭成军先生，固定收益部投资总监；</w:t>
      </w:r>
    </w:p>
    <w:p>
      <w:pPr>
        <w:pStyle w:val="BodyText"/>
        <w:spacing w:line="417" w:lineRule="auto"/>
        <w:ind w:left="1260" w:right="3949"/>
      </w:pPr>
      <w:r>
        <w:rPr>
          <w:spacing w:val="-4"/>
        </w:rPr>
        <w:t>李怡文女士，固定收益部稳定收益业务投资负责人； </w:t>
      </w:r>
      <w:r>
        <w:rPr>
          <w:spacing w:val="-2"/>
        </w:rPr>
        <w:t>崔俊杰先生，</w:t>
      </w:r>
      <w:r>
        <w:rPr>
          <w:rFonts w:ascii="Times New Roman" w:eastAsia="Times New Roman"/>
        </w:rPr>
        <w:t>ETF</w:t>
      </w:r>
      <w:r>
        <w:rPr>
          <w:rFonts w:ascii="Times New Roman" w:eastAsia="Times New Roman"/>
          <w:spacing w:val="-4"/>
        </w:rPr>
        <w:t> </w:t>
      </w:r>
      <w:r>
        <w:rPr>
          <w:spacing w:val="-2"/>
        </w:rPr>
        <w:t>投资部投资总监。</w:t>
      </w:r>
    </w:p>
    <w:p>
      <w:pPr>
        <w:pStyle w:val="BodyText"/>
        <w:spacing w:line="269" w:lineRule="exact"/>
        <w:ind w:left="1260"/>
      </w:pPr>
      <w:r>
        <w:rPr>
          <w:rFonts w:ascii="Times New Roman" w:eastAsia="Times New Roman"/>
        </w:rPr>
        <w:t>9</w:t>
      </w:r>
      <w:r>
        <w:rPr/>
        <w:t>、上述人员之间不存在近亲属关系。</w:t>
      </w:r>
    </w:p>
    <w:p>
      <w:pPr>
        <w:pStyle w:val="BodyText"/>
        <w:rPr>
          <w:sz w:val="22"/>
        </w:rPr>
      </w:pPr>
    </w:p>
    <w:p>
      <w:pPr>
        <w:pStyle w:val="BodyText"/>
        <w:rPr>
          <w:sz w:val="30"/>
        </w:rPr>
      </w:pPr>
    </w:p>
    <w:p>
      <w:pPr>
        <w:pStyle w:val="Heading4"/>
      </w:pPr>
      <w:r>
        <w:rPr/>
        <w:t>三、基金管理人的权利和义务</w:t>
      </w:r>
    </w:p>
    <w:p>
      <w:pPr>
        <w:pStyle w:val="BodyText"/>
        <w:spacing w:before="7"/>
        <w:rPr>
          <w:b/>
          <w:sz w:val="15"/>
        </w:rPr>
      </w:pPr>
    </w:p>
    <w:p>
      <w:pPr>
        <w:pStyle w:val="BodyText"/>
        <w:ind w:left="840"/>
      </w:pPr>
      <w:r>
        <w:rPr>
          <w:rFonts w:ascii="Times New Roman" w:eastAsia="Times New Roman"/>
        </w:rPr>
        <w:t>1</w:t>
      </w:r>
      <w:r>
        <w:rPr/>
        <w:t>、基金管理人的权利</w:t>
      </w:r>
    </w:p>
    <w:p>
      <w:pPr>
        <w:pStyle w:val="BodyText"/>
        <w:spacing w:before="7"/>
        <w:rPr>
          <w:sz w:val="15"/>
        </w:rPr>
      </w:pPr>
    </w:p>
    <w:p>
      <w:pPr>
        <w:pStyle w:val="BodyText"/>
        <w:ind w:left="1260"/>
      </w:pPr>
      <w:r>
        <w:rPr/>
        <w:t>根据《基金法》、《运作办法》及其他有关规定，基金管理人的权利包括但不限于：</w:t>
      </w:r>
    </w:p>
    <w:p>
      <w:pPr>
        <w:pStyle w:val="BodyText"/>
        <w:spacing w:before="7"/>
        <w:rPr>
          <w:sz w:val="15"/>
        </w:rPr>
      </w:pPr>
    </w:p>
    <w:p>
      <w:pPr>
        <w:pStyle w:val="ListParagraph"/>
        <w:numPr>
          <w:ilvl w:val="0"/>
          <w:numId w:val="1"/>
        </w:numPr>
        <w:tabs>
          <w:tab w:pos="1790" w:val="left" w:leader="none"/>
        </w:tabs>
        <w:spacing w:line="240" w:lineRule="auto" w:before="0" w:after="0"/>
        <w:ind w:left="1789" w:right="0" w:hanging="530"/>
        <w:jc w:val="left"/>
        <w:rPr>
          <w:sz w:val="21"/>
        </w:rPr>
      </w:pPr>
      <w:r>
        <w:rPr>
          <w:spacing w:val="-3"/>
          <w:sz w:val="21"/>
        </w:rPr>
        <w:t>依法募集基金；</w:t>
      </w:r>
    </w:p>
    <w:p>
      <w:pPr>
        <w:pStyle w:val="BodyText"/>
        <w:spacing w:before="6"/>
        <w:rPr>
          <w:sz w:val="15"/>
        </w:rPr>
      </w:pPr>
    </w:p>
    <w:p>
      <w:pPr>
        <w:pStyle w:val="ListParagraph"/>
        <w:numPr>
          <w:ilvl w:val="0"/>
          <w:numId w:val="1"/>
        </w:numPr>
        <w:tabs>
          <w:tab w:pos="1790" w:val="left" w:leader="none"/>
        </w:tabs>
        <w:spacing w:line="417" w:lineRule="auto" w:before="1" w:after="0"/>
        <w:ind w:left="840" w:right="894" w:firstLine="419"/>
        <w:jc w:val="left"/>
        <w:rPr>
          <w:sz w:val="21"/>
        </w:rPr>
      </w:pPr>
      <w:r>
        <w:rPr>
          <w:spacing w:val="-3"/>
          <w:sz w:val="21"/>
        </w:rPr>
        <w:t>自《基金合同》生效之日起，根据法律法规和《基金合同》独立运用并管理基金财产，包括依照有关规定行使因基金财产投资于证券所产生的权利；</w:t>
      </w:r>
    </w:p>
    <w:p>
      <w:pPr>
        <w:pStyle w:val="ListParagraph"/>
        <w:numPr>
          <w:ilvl w:val="0"/>
          <w:numId w:val="1"/>
        </w:numPr>
        <w:tabs>
          <w:tab w:pos="1790" w:val="left" w:leader="none"/>
        </w:tabs>
        <w:spacing w:line="417" w:lineRule="auto" w:before="0" w:after="0"/>
        <w:ind w:left="840" w:right="894" w:firstLine="419"/>
        <w:jc w:val="left"/>
        <w:rPr>
          <w:sz w:val="21"/>
        </w:rPr>
      </w:pPr>
      <w:r>
        <w:rPr>
          <w:spacing w:val="-3"/>
          <w:sz w:val="21"/>
        </w:rPr>
        <w:t>依《基金合同》约定获得基金管理费、其他法定收入和其他法律法规允许或监管部门批准的约定收入；</w:t>
      </w:r>
    </w:p>
    <w:p>
      <w:pPr>
        <w:pStyle w:val="ListParagraph"/>
        <w:numPr>
          <w:ilvl w:val="0"/>
          <w:numId w:val="1"/>
        </w:numPr>
        <w:tabs>
          <w:tab w:pos="1790" w:val="left" w:leader="none"/>
        </w:tabs>
        <w:spacing w:line="269" w:lineRule="exact" w:before="0" w:after="0"/>
        <w:ind w:left="1789" w:right="0" w:hanging="530"/>
        <w:jc w:val="left"/>
        <w:rPr>
          <w:sz w:val="21"/>
        </w:rPr>
      </w:pPr>
      <w:r>
        <w:rPr>
          <w:spacing w:val="-3"/>
          <w:sz w:val="21"/>
        </w:rPr>
        <w:t>销售基金份额；</w:t>
      </w:r>
    </w:p>
    <w:p>
      <w:pPr>
        <w:pStyle w:val="BodyText"/>
        <w:spacing w:before="6"/>
        <w:rPr>
          <w:sz w:val="15"/>
        </w:rPr>
      </w:pPr>
    </w:p>
    <w:p>
      <w:pPr>
        <w:pStyle w:val="ListParagraph"/>
        <w:numPr>
          <w:ilvl w:val="0"/>
          <w:numId w:val="1"/>
        </w:numPr>
        <w:tabs>
          <w:tab w:pos="1790" w:val="left" w:leader="none"/>
        </w:tabs>
        <w:spacing w:line="240" w:lineRule="auto" w:before="0" w:after="0"/>
        <w:ind w:left="1789" w:right="0" w:hanging="530"/>
        <w:jc w:val="left"/>
        <w:rPr>
          <w:sz w:val="21"/>
        </w:rPr>
      </w:pPr>
      <w:r>
        <w:rPr>
          <w:spacing w:val="-3"/>
          <w:sz w:val="21"/>
        </w:rPr>
        <w:t>召集基金份额持有人大会；</w:t>
      </w:r>
    </w:p>
    <w:p>
      <w:pPr>
        <w:spacing w:after="0" w:line="240"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1"/>
        </w:numPr>
        <w:tabs>
          <w:tab w:pos="1790" w:val="left" w:leader="none"/>
        </w:tabs>
        <w:spacing w:line="417" w:lineRule="auto" w:before="78" w:after="0"/>
        <w:ind w:left="840" w:right="89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1"/>
        </w:numPr>
        <w:tabs>
          <w:tab w:pos="1790" w:val="left" w:leader="none"/>
        </w:tabs>
        <w:spacing w:line="269" w:lineRule="exact" w:before="0" w:after="0"/>
        <w:ind w:left="1789" w:right="0" w:hanging="530"/>
        <w:jc w:val="left"/>
        <w:rPr>
          <w:sz w:val="21"/>
        </w:rPr>
      </w:pPr>
      <w:r>
        <w:rPr>
          <w:spacing w:val="-3"/>
          <w:sz w:val="21"/>
        </w:rPr>
        <w:t>在基金托管人更换时，提名新的基金托管人；</w:t>
      </w:r>
    </w:p>
    <w:p>
      <w:pPr>
        <w:pStyle w:val="BodyText"/>
        <w:spacing w:before="7"/>
        <w:rPr>
          <w:sz w:val="15"/>
        </w:rPr>
      </w:pPr>
    </w:p>
    <w:p>
      <w:pPr>
        <w:pStyle w:val="ListParagraph"/>
        <w:numPr>
          <w:ilvl w:val="0"/>
          <w:numId w:val="1"/>
        </w:numPr>
        <w:tabs>
          <w:tab w:pos="1790" w:val="left" w:leader="none"/>
        </w:tabs>
        <w:spacing w:line="240" w:lineRule="auto" w:before="0" w:after="0"/>
        <w:ind w:left="1789" w:right="0" w:hanging="530"/>
        <w:jc w:val="left"/>
        <w:rPr>
          <w:sz w:val="21"/>
        </w:rPr>
      </w:pPr>
      <w:r>
        <w:rPr>
          <w:spacing w:val="-3"/>
          <w:sz w:val="21"/>
        </w:rPr>
        <w:t>选择、委托、更换基金代销机构，对基金代销机构的相关行为进行监督和处理；</w:t>
      </w:r>
    </w:p>
    <w:p>
      <w:pPr>
        <w:pStyle w:val="BodyText"/>
        <w:spacing w:before="6"/>
        <w:rPr>
          <w:sz w:val="15"/>
        </w:rPr>
      </w:pPr>
    </w:p>
    <w:p>
      <w:pPr>
        <w:pStyle w:val="ListParagraph"/>
        <w:numPr>
          <w:ilvl w:val="0"/>
          <w:numId w:val="1"/>
        </w:numPr>
        <w:tabs>
          <w:tab w:pos="1790" w:val="left" w:leader="none"/>
        </w:tabs>
        <w:spacing w:line="240" w:lineRule="auto" w:before="1" w:after="0"/>
        <w:ind w:left="1789" w:right="0" w:hanging="530"/>
        <w:jc w:val="left"/>
        <w:rPr>
          <w:sz w:val="21"/>
        </w:rPr>
      </w:pPr>
      <w:r>
        <w:rPr>
          <w:spacing w:val="-3"/>
          <w:sz w:val="21"/>
        </w:rPr>
        <w:t>依据《基金合同》及有关法律法规决定基金收益的分配方案；</w:t>
      </w:r>
    </w:p>
    <w:p>
      <w:pPr>
        <w:pStyle w:val="BodyText"/>
        <w:spacing w:before="6"/>
        <w:rPr>
          <w:sz w:val="15"/>
        </w:rPr>
      </w:pPr>
    </w:p>
    <w:p>
      <w:pPr>
        <w:pStyle w:val="ListParagraph"/>
        <w:numPr>
          <w:ilvl w:val="0"/>
          <w:numId w:val="1"/>
        </w:numPr>
        <w:tabs>
          <w:tab w:pos="1895" w:val="left" w:leader="none"/>
        </w:tabs>
        <w:spacing w:line="240" w:lineRule="auto" w:before="0" w:after="0"/>
        <w:ind w:left="1895" w:right="0" w:hanging="635"/>
        <w:jc w:val="left"/>
        <w:rPr>
          <w:sz w:val="21"/>
        </w:rPr>
      </w:pPr>
      <w:r>
        <w:rPr>
          <w:spacing w:val="-3"/>
          <w:sz w:val="21"/>
        </w:rPr>
        <w:t>在《基金合同》约定的范围内，拒绝或暂停受理申购与赎回申请；</w:t>
      </w:r>
    </w:p>
    <w:p>
      <w:pPr>
        <w:pStyle w:val="BodyText"/>
        <w:spacing w:before="8"/>
        <w:rPr>
          <w:sz w:val="15"/>
        </w:rPr>
      </w:pPr>
    </w:p>
    <w:p>
      <w:pPr>
        <w:pStyle w:val="ListParagraph"/>
        <w:numPr>
          <w:ilvl w:val="0"/>
          <w:numId w:val="1"/>
        </w:numPr>
        <w:tabs>
          <w:tab w:pos="1886" w:val="left" w:leader="none"/>
        </w:tabs>
        <w:spacing w:line="240" w:lineRule="auto" w:before="0" w:after="0"/>
        <w:ind w:left="1885" w:right="0" w:hanging="626"/>
        <w:jc w:val="left"/>
        <w:rPr>
          <w:sz w:val="21"/>
        </w:rPr>
      </w:pPr>
      <w:r>
        <w:rPr>
          <w:spacing w:val="-13"/>
          <w:sz w:val="21"/>
        </w:rPr>
        <w:t>在符合有关法律法规和《基金合同》的前提下，制订和调整开放式基金业务规则；</w:t>
      </w:r>
    </w:p>
    <w:p>
      <w:pPr>
        <w:pStyle w:val="BodyText"/>
        <w:spacing w:before="6"/>
        <w:rPr>
          <w:sz w:val="15"/>
        </w:rPr>
      </w:pPr>
    </w:p>
    <w:p>
      <w:pPr>
        <w:pStyle w:val="ListParagraph"/>
        <w:numPr>
          <w:ilvl w:val="0"/>
          <w:numId w:val="1"/>
        </w:numPr>
        <w:tabs>
          <w:tab w:pos="1895" w:val="left" w:leader="none"/>
        </w:tabs>
        <w:spacing w:line="417" w:lineRule="auto" w:before="1" w:after="0"/>
        <w:ind w:left="840" w:right="89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1"/>
        </w:numPr>
        <w:tabs>
          <w:tab w:pos="1895" w:val="left" w:leader="none"/>
        </w:tabs>
        <w:spacing w:line="269" w:lineRule="exact" w:before="0" w:after="0"/>
        <w:ind w:left="1895" w:right="0" w:hanging="635"/>
        <w:jc w:val="left"/>
        <w:rPr>
          <w:sz w:val="21"/>
        </w:rPr>
      </w:pPr>
      <w:r>
        <w:rPr>
          <w:spacing w:val="-3"/>
          <w:sz w:val="21"/>
        </w:rPr>
        <w:t>在法律法规允许的前提下，为基金的利益依法为基金进行融资；</w:t>
      </w:r>
    </w:p>
    <w:p>
      <w:pPr>
        <w:pStyle w:val="BodyText"/>
        <w:spacing w:before="6"/>
        <w:rPr>
          <w:sz w:val="15"/>
        </w:rPr>
      </w:pPr>
    </w:p>
    <w:p>
      <w:pPr>
        <w:pStyle w:val="ListParagraph"/>
        <w:numPr>
          <w:ilvl w:val="0"/>
          <w:numId w:val="1"/>
        </w:numPr>
        <w:tabs>
          <w:tab w:pos="1895" w:val="left" w:leader="none"/>
        </w:tabs>
        <w:spacing w:line="417" w:lineRule="auto" w:before="0" w:after="0"/>
        <w:ind w:left="840" w:right="89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1"/>
        </w:numPr>
        <w:tabs>
          <w:tab w:pos="1895" w:val="left" w:leader="none"/>
        </w:tabs>
        <w:spacing w:line="269" w:lineRule="exact" w:before="0" w:after="0"/>
        <w:ind w:left="1895" w:right="0" w:hanging="635"/>
        <w:jc w:val="left"/>
        <w:rPr>
          <w:sz w:val="21"/>
        </w:rPr>
      </w:pPr>
      <w:r>
        <w:rPr>
          <w:spacing w:val="-3"/>
          <w:sz w:val="21"/>
        </w:rPr>
        <w:t>选择、更换律师、审计师、证券经纪商或其他为基金提供服务的外部机构；</w:t>
      </w:r>
    </w:p>
    <w:p>
      <w:pPr>
        <w:pStyle w:val="BodyText"/>
        <w:spacing w:before="7"/>
        <w:rPr>
          <w:sz w:val="15"/>
        </w:rPr>
      </w:pPr>
    </w:p>
    <w:p>
      <w:pPr>
        <w:pStyle w:val="ListParagraph"/>
        <w:numPr>
          <w:ilvl w:val="0"/>
          <w:numId w:val="1"/>
        </w:numPr>
        <w:tabs>
          <w:tab w:pos="1895" w:val="left" w:leader="none"/>
        </w:tabs>
        <w:spacing w:line="240" w:lineRule="auto" w:before="0" w:after="0"/>
        <w:ind w:left="1895" w:right="0" w:hanging="635"/>
        <w:jc w:val="left"/>
        <w:rPr>
          <w:sz w:val="21"/>
        </w:rPr>
      </w:pPr>
      <w:r>
        <w:rPr>
          <w:spacing w:val="-3"/>
          <w:sz w:val="21"/>
        </w:rPr>
        <w:t>法律法规和《基金合同》规定的其他权利。</w:t>
      </w:r>
    </w:p>
    <w:p>
      <w:pPr>
        <w:pStyle w:val="BodyText"/>
        <w:spacing w:before="7"/>
        <w:rPr>
          <w:sz w:val="15"/>
        </w:rPr>
      </w:pPr>
    </w:p>
    <w:p>
      <w:pPr>
        <w:pStyle w:val="BodyText"/>
        <w:ind w:left="840"/>
      </w:pPr>
      <w:r>
        <w:rPr>
          <w:rFonts w:ascii="Times New Roman" w:eastAsia="Times New Roman"/>
        </w:rPr>
        <w:t>2</w:t>
      </w:r>
      <w:r>
        <w:rPr/>
        <w:t>、基金管理人的义务</w:t>
      </w:r>
    </w:p>
    <w:p>
      <w:pPr>
        <w:pStyle w:val="BodyText"/>
        <w:spacing w:before="7"/>
        <w:rPr>
          <w:sz w:val="15"/>
        </w:rPr>
      </w:pPr>
    </w:p>
    <w:p>
      <w:pPr>
        <w:pStyle w:val="BodyText"/>
        <w:ind w:left="1260"/>
      </w:pPr>
      <w:r>
        <w:rPr/>
        <w:t>根据《基金法》、《运作办法》及其他有关规定，基金管理人的义务包括但不限于：</w:t>
      </w:r>
    </w:p>
    <w:p>
      <w:pPr>
        <w:pStyle w:val="BodyText"/>
        <w:spacing w:before="6"/>
        <w:rPr>
          <w:sz w:val="15"/>
        </w:rPr>
      </w:pPr>
    </w:p>
    <w:p>
      <w:pPr>
        <w:pStyle w:val="ListParagraph"/>
        <w:numPr>
          <w:ilvl w:val="0"/>
          <w:numId w:val="2"/>
        </w:numPr>
        <w:tabs>
          <w:tab w:pos="1790" w:val="left" w:leader="none"/>
        </w:tabs>
        <w:spacing w:line="240" w:lineRule="auto" w:before="1" w:after="0"/>
        <w:ind w:left="1789" w:right="0" w:hanging="530"/>
        <w:jc w:val="left"/>
        <w:rPr>
          <w:sz w:val="21"/>
        </w:rPr>
      </w:pPr>
      <w:r>
        <w:rPr>
          <w:spacing w:val="-3"/>
          <w:sz w:val="21"/>
        </w:rPr>
        <w:t>办理基金备案手续；</w:t>
      </w:r>
    </w:p>
    <w:p>
      <w:pPr>
        <w:pStyle w:val="BodyText"/>
        <w:spacing w:before="6"/>
        <w:rPr>
          <w:sz w:val="15"/>
        </w:rPr>
      </w:pPr>
    </w:p>
    <w:p>
      <w:pPr>
        <w:pStyle w:val="ListParagraph"/>
        <w:numPr>
          <w:ilvl w:val="0"/>
          <w:numId w:val="2"/>
        </w:numPr>
        <w:tabs>
          <w:tab w:pos="1790" w:val="left" w:leader="none"/>
        </w:tabs>
        <w:spacing w:line="240" w:lineRule="auto" w:before="0" w:after="0"/>
        <w:ind w:left="1789" w:right="0" w:hanging="530"/>
        <w:jc w:val="left"/>
        <w:rPr>
          <w:sz w:val="21"/>
        </w:rPr>
      </w:pPr>
      <w:r>
        <w:rPr>
          <w:spacing w:val="-3"/>
          <w:sz w:val="21"/>
        </w:rPr>
        <w:t>自基金合同生效之日起</w:t>
      </w:r>
      <w:r>
        <w:rPr>
          <w:rFonts w:ascii="Times New Roman" w:eastAsia="Times New Roman"/>
          <w:sz w:val="21"/>
        </w:rPr>
        <w:t>,</w:t>
      </w:r>
      <w:r>
        <w:rPr>
          <w:spacing w:val="-3"/>
          <w:sz w:val="21"/>
        </w:rPr>
        <w:t>以诚实信用、勤勉尽责的原则管理和运用基金财产；</w:t>
      </w:r>
    </w:p>
    <w:p>
      <w:pPr>
        <w:pStyle w:val="BodyText"/>
        <w:spacing w:before="7"/>
        <w:rPr>
          <w:sz w:val="15"/>
        </w:rPr>
      </w:pPr>
    </w:p>
    <w:p>
      <w:pPr>
        <w:pStyle w:val="ListParagraph"/>
        <w:numPr>
          <w:ilvl w:val="0"/>
          <w:numId w:val="2"/>
        </w:numPr>
        <w:tabs>
          <w:tab w:pos="1790" w:val="left" w:leader="none"/>
        </w:tabs>
        <w:spacing w:line="417" w:lineRule="auto" w:before="0" w:after="0"/>
        <w:ind w:left="840" w:right="89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2"/>
        </w:numPr>
        <w:tabs>
          <w:tab w:pos="1790" w:val="left" w:leader="none"/>
        </w:tabs>
        <w:spacing w:line="417" w:lineRule="auto" w:before="0" w:after="0"/>
        <w:ind w:left="840" w:right="891" w:firstLine="419"/>
        <w:jc w:val="both"/>
        <w:rPr>
          <w:sz w:val="21"/>
        </w:rPr>
      </w:pPr>
      <w:r>
        <w:rPr>
          <w:spacing w:val="-3"/>
          <w:sz w:val="21"/>
        </w:rPr>
        <w:t>依法募集基金，办理或者委托经国务院证券监督管理机构认定的其他机构代为办</w:t>
      </w:r>
      <w:r>
        <w:rPr>
          <w:spacing w:val="-6"/>
          <w:sz w:val="21"/>
        </w:rPr>
        <w:t>理基金份额的发售、申购、赎回和登记事宜；如认为基金代销机构违反本《基金合同》、基</w:t>
      </w:r>
      <w:r>
        <w:rPr>
          <w:spacing w:val="-8"/>
          <w:sz w:val="21"/>
        </w:rPr>
        <w:t>金销售与服务代理协议及有关国家法律法规的规定，应呈报中国证监会和其他监管部门，并</w:t>
      </w:r>
      <w:r>
        <w:rPr>
          <w:spacing w:val="-5"/>
          <w:sz w:val="21"/>
        </w:rPr>
        <w:t>采取必要措施保护基金投资者的利益；</w:t>
      </w:r>
    </w:p>
    <w:p>
      <w:pPr>
        <w:pStyle w:val="ListParagraph"/>
        <w:numPr>
          <w:ilvl w:val="0"/>
          <w:numId w:val="2"/>
        </w:numPr>
        <w:tabs>
          <w:tab w:pos="1790" w:val="left" w:leader="none"/>
        </w:tabs>
        <w:spacing w:line="417" w:lineRule="auto" w:before="0" w:after="0"/>
        <w:ind w:left="840" w:right="894" w:firstLine="419"/>
        <w:jc w:val="both"/>
        <w:rPr>
          <w:sz w:val="21"/>
        </w:rPr>
      </w:pPr>
      <w:r>
        <w:rPr>
          <w:spacing w:val="-3"/>
          <w:sz w:val="21"/>
        </w:rPr>
        <w:t>建立健全内部风险控制、监察与稽核、财务管理及人事管理等制度，保证所管理的基金财产和基金管理人的财产相互独立</w:t>
      </w:r>
      <w:r>
        <w:rPr>
          <w:rFonts w:ascii="Times New Roman" w:eastAsia="Times New Roman"/>
          <w:sz w:val="21"/>
        </w:rPr>
        <w:t>,</w:t>
      </w:r>
      <w:r>
        <w:rPr>
          <w:spacing w:val="-1"/>
          <w:sz w:val="21"/>
        </w:rPr>
        <w:t>对所管理的不同基金分别管理，分别记账，进行证券投资；</w:t>
      </w:r>
    </w:p>
    <w:p>
      <w:pPr>
        <w:pStyle w:val="ListParagraph"/>
        <w:numPr>
          <w:ilvl w:val="0"/>
          <w:numId w:val="2"/>
        </w:numPr>
        <w:tabs>
          <w:tab w:pos="1787" w:val="left" w:leader="none"/>
        </w:tabs>
        <w:spacing w:line="417" w:lineRule="auto" w:before="0" w:after="0"/>
        <w:ind w:left="840" w:right="896" w:firstLine="419"/>
        <w:jc w:val="left"/>
        <w:rPr>
          <w:sz w:val="21"/>
        </w:rPr>
      </w:pPr>
      <w:r>
        <w:rPr>
          <w:spacing w:val="-19"/>
          <w:sz w:val="21"/>
        </w:rPr>
        <w:t>除依据《基金法》、《基金合同》及其他有关规定外</w:t>
      </w:r>
      <w:r>
        <w:rPr>
          <w:rFonts w:ascii="Times New Roman" w:eastAsia="Times New Roman"/>
          <w:spacing w:val="-3"/>
          <w:sz w:val="21"/>
        </w:rPr>
        <w:t>,</w:t>
      </w:r>
      <w:r>
        <w:rPr>
          <w:spacing w:val="-3"/>
          <w:sz w:val="21"/>
        </w:rPr>
        <w:t>不得利用基金资产为自己及任何第三人谋取利益，不得委托第三人运作基金财产；</w:t>
      </w:r>
    </w:p>
    <w:p>
      <w:pPr>
        <w:spacing w:after="0" w:line="417"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2"/>
        </w:numPr>
        <w:tabs>
          <w:tab w:pos="1790" w:val="left" w:leader="none"/>
        </w:tabs>
        <w:spacing w:line="240" w:lineRule="auto" w:before="78" w:after="0"/>
        <w:ind w:left="1789" w:right="0" w:hanging="530"/>
        <w:jc w:val="left"/>
        <w:rPr>
          <w:sz w:val="21"/>
        </w:rPr>
      </w:pPr>
      <w:r>
        <w:rPr>
          <w:spacing w:val="-3"/>
          <w:sz w:val="21"/>
        </w:rPr>
        <w:t>依法接受基金托管人的监督；</w:t>
      </w:r>
    </w:p>
    <w:p>
      <w:pPr>
        <w:pStyle w:val="BodyText"/>
        <w:spacing w:before="7"/>
        <w:rPr>
          <w:sz w:val="15"/>
        </w:rPr>
      </w:pPr>
    </w:p>
    <w:p>
      <w:pPr>
        <w:pStyle w:val="ListParagraph"/>
        <w:numPr>
          <w:ilvl w:val="0"/>
          <w:numId w:val="2"/>
        </w:numPr>
        <w:tabs>
          <w:tab w:pos="1790" w:val="left" w:leader="none"/>
        </w:tabs>
        <w:spacing w:line="417" w:lineRule="auto" w:before="0" w:after="0"/>
        <w:ind w:left="840" w:right="89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2"/>
        </w:numPr>
        <w:tabs>
          <w:tab w:pos="1790" w:val="left" w:leader="none"/>
        </w:tabs>
        <w:spacing w:line="269" w:lineRule="exact" w:before="0" w:after="0"/>
        <w:ind w:left="1789" w:right="0" w:hanging="530"/>
        <w:jc w:val="left"/>
        <w:rPr>
          <w:sz w:val="21"/>
        </w:rPr>
      </w:pPr>
      <w:r>
        <w:rPr>
          <w:spacing w:val="-3"/>
          <w:sz w:val="21"/>
        </w:rPr>
        <w:t>进行基金会计核算并编制基金财务会计报告；</w:t>
      </w:r>
    </w:p>
    <w:p>
      <w:pPr>
        <w:pStyle w:val="BodyText"/>
        <w:spacing w:before="6"/>
        <w:rPr>
          <w:sz w:val="15"/>
        </w:rPr>
      </w:pPr>
    </w:p>
    <w:p>
      <w:pPr>
        <w:pStyle w:val="ListParagraph"/>
        <w:numPr>
          <w:ilvl w:val="0"/>
          <w:numId w:val="2"/>
        </w:numPr>
        <w:tabs>
          <w:tab w:pos="1895" w:val="left" w:leader="none"/>
        </w:tabs>
        <w:spacing w:line="240" w:lineRule="auto" w:before="1" w:after="0"/>
        <w:ind w:left="1895" w:right="0" w:hanging="635"/>
        <w:jc w:val="left"/>
        <w:rPr>
          <w:sz w:val="21"/>
        </w:rPr>
      </w:pPr>
      <w:r>
        <w:rPr>
          <w:spacing w:val="-3"/>
          <w:sz w:val="21"/>
        </w:rPr>
        <w:t>编制季度报告、中期报告和年度报告；</w:t>
      </w:r>
    </w:p>
    <w:p>
      <w:pPr>
        <w:pStyle w:val="BodyText"/>
        <w:spacing w:before="6"/>
        <w:rPr>
          <w:sz w:val="15"/>
        </w:rPr>
      </w:pPr>
    </w:p>
    <w:p>
      <w:pPr>
        <w:pStyle w:val="ListParagraph"/>
        <w:numPr>
          <w:ilvl w:val="0"/>
          <w:numId w:val="2"/>
        </w:numPr>
        <w:tabs>
          <w:tab w:pos="1886" w:val="left" w:leader="none"/>
        </w:tabs>
        <w:spacing w:line="240" w:lineRule="auto" w:before="0" w:after="0"/>
        <w:ind w:left="1885" w:right="0" w:hanging="626"/>
        <w:jc w:val="left"/>
        <w:rPr>
          <w:sz w:val="21"/>
        </w:rPr>
      </w:pPr>
      <w:r>
        <w:rPr>
          <w:spacing w:val="-17"/>
          <w:sz w:val="21"/>
        </w:rPr>
        <w:t>严格按照《基金法》、《基金合同》及其他有关规定，履行信息披露及报告义务；</w:t>
      </w:r>
    </w:p>
    <w:p>
      <w:pPr>
        <w:pStyle w:val="BodyText"/>
        <w:spacing w:before="8"/>
        <w:rPr>
          <w:sz w:val="15"/>
        </w:rPr>
      </w:pPr>
    </w:p>
    <w:p>
      <w:pPr>
        <w:pStyle w:val="ListParagraph"/>
        <w:numPr>
          <w:ilvl w:val="0"/>
          <w:numId w:val="2"/>
        </w:numPr>
        <w:tabs>
          <w:tab w:pos="1895" w:val="left" w:leader="none"/>
        </w:tabs>
        <w:spacing w:line="417" w:lineRule="auto" w:before="0" w:after="0"/>
        <w:ind w:left="840" w:right="89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2"/>
        </w:numPr>
        <w:tabs>
          <w:tab w:pos="1895" w:val="left" w:leader="none"/>
        </w:tabs>
        <w:spacing w:line="269" w:lineRule="exact" w:before="0" w:after="0"/>
        <w:ind w:left="1895" w:right="0" w:hanging="635"/>
        <w:jc w:val="left"/>
        <w:rPr>
          <w:sz w:val="21"/>
        </w:rPr>
      </w:pPr>
      <w:r>
        <w:rPr>
          <w:spacing w:val="-3"/>
          <w:sz w:val="21"/>
        </w:rPr>
        <w:t>按《基金合同》规定向基金份额持有人分配基金收益；</w:t>
      </w:r>
    </w:p>
    <w:p>
      <w:pPr>
        <w:pStyle w:val="BodyText"/>
        <w:spacing w:before="6"/>
        <w:rPr>
          <w:sz w:val="15"/>
        </w:rPr>
      </w:pPr>
    </w:p>
    <w:p>
      <w:pPr>
        <w:pStyle w:val="ListParagraph"/>
        <w:numPr>
          <w:ilvl w:val="0"/>
          <w:numId w:val="2"/>
        </w:numPr>
        <w:tabs>
          <w:tab w:pos="1895" w:val="left" w:leader="none"/>
        </w:tabs>
        <w:spacing w:line="240" w:lineRule="auto" w:before="1" w:after="0"/>
        <w:ind w:left="1895" w:right="0" w:hanging="635"/>
        <w:jc w:val="left"/>
        <w:rPr>
          <w:sz w:val="21"/>
        </w:rPr>
      </w:pPr>
      <w:r>
        <w:rPr>
          <w:spacing w:val="-3"/>
          <w:sz w:val="21"/>
        </w:rPr>
        <w:t>按规定受理申购与赎回申请，及时、足额支付赎回款项；</w:t>
      </w:r>
    </w:p>
    <w:p>
      <w:pPr>
        <w:pStyle w:val="BodyText"/>
        <w:spacing w:before="6"/>
        <w:rPr>
          <w:sz w:val="15"/>
        </w:rPr>
      </w:pPr>
    </w:p>
    <w:p>
      <w:pPr>
        <w:pStyle w:val="ListParagraph"/>
        <w:numPr>
          <w:ilvl w:val="0"/>
          <w:numId w:val="2"/>
        </w:numPr>
        <w:tabs>
          <w:tab w:pos="1895" w:val="left" w:leader="none"/>
        </w:tabs>
        <w:spacing w:line="417" w:lineRule="auto" w:before="0" w:after="0"/>
        <w:ind w:left="840" w:right="89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2"/>
        </w:numPr>
        <w:tabs>
          <w:tab w:pos="1895" w:val="left" w:leader="none"/>
        </w:tabs>
        <w:spacing w:line="269" w:lineRule="exact" w:before="0" w:after="0"/>
        <w:ind w:left="189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4"/>
        <w:rPr>
          <w:rFonts w:ascii="Times New Roman"/>
          <w:sz w:val="17"/>
        </w:rPr>
      </w:pPr>
    </w:p>
    <w:p>
      <w:pPr>
        <w:pStyle w:val="BodyText"/>
        <w:ind w:left="840"/>
      </w:pPr>
      <w:r>
        <w:rPr/>
        <w:t>年以上；</w:t>
      </w:r>
    </w:p>
    <w:p>
      <w:pPr>
        <w:pStyle w:val="BodyText"/>
        <w:spacing w:before="7"/>
        <w:rPr>
          <w:sz w:val="15"/>
        </w:rPr>
      </w:pPr>
    </w:p>
    <w:p>
      <w:pPr>
        <w:pStyle w:val="ListParagraph"/>
        <w:numPr>
          <w:ilvl w:val="0"/>
          <w:numId w:val="2"/>
        </w:numPr>
        <w:tabs>
          <w:tab w:pos="1895" w:val="left" w:leader="none"/>
        </w:tabs>
        <w:spacing w:line="417" w:lineRule="auto" w:before="0" w:after="0"/>
        <w:ind w:left="840" w:right="89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2"/>
        </w:numPr>
        <w:tabs>
          <w:tab w:pos="1893" w:val="left" w:leader="none"/>
        </w:tabs>
        <w:spacing w:line="269" w:lineRule="exact" w:before="0" w:after="0"/>
        <w:ind w:left="1892" w:right="0" w:hanging="633"/>
        <w:jc w:val="left"/>
        <w:rPr>
          <w:sz w:val="21"/>
        </w:rPr>
      </w:pPr>
      <w:r>
        <w:rPr>
          <w:spacing w:val="-3"/>
          <w:sz w:val="21"/>
        </w:rPr>
        <w:t>组织并参加基金财产清算小组</w:t>
      </w:r>
      <w:r>
        <w:rPr>
          <w:rFonts w:ascii="Times New Roman" w:eastAsia="Times New Roman"/>
          <w:sz w:val="21"/>
        </w:rPr>
        <w:t>,</w:t>
      </w:r>
      <w:r>
        <w:rPr>
          <w:spacing w:val="-6"/>
          <w:sz w:val="21"/>
        </w:rPr>
        <w:t>参与基金财产的保管、清理、估价、变现和分配；</w:t>
      </w:r>
    </w:p>
    <w:p>
      <w:pPr>
        <w:pStyle w:val="BodyText"/>
        <w:spacing w:before="6"/>
        <w:rPr>
          <w:sz w:val="15"/>
        </w:rPr>
      </w:pPr>
    </w:p>
    <w:p>
      <w:pPr>
        <w:pStyle w:val="ListParagraph"/>
        <w:numPr>
          <w:ilvl w:val="0"/>
          <w:numId w:val="2"/>
        </w:numPr>
        <w:tabs>
          <w:tab w:pos="1893" w:val="left" w:leader="none"/>
        </w:tabs>
        <w:spacing w:line="417" w:lineRule="auto" w:before="1" w:after="0"/>
        <w:ind w:left="840" w:right="89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2"/>
        </w:numPr>
        <w:tabs>
          <w:tab w:pos="1895" w:val="left" w:leader="none"/>
        </w:tabs>
        <w:spacing w:line="417" w:lineRule="auto" w:before="0" w:after="0"/>
        <w:ind w:left="840" w:right="89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2"/>
        </w:numPr>
        <w:tabs>
          <w:tab w:pos="1895" w:val="left" w:leader="none"/>
        </w:tabs>
        <w:spacing w:line="417" w:lineRule="auto" w:before="0" w:after="0"/>
        <w:ind w:left="840" w:right="891" w:firstLine="419"/>
        <w:jc w:val="left"/>
        <w:rPr>
          <w:sz w:val="21"/>
        </w:rPr>
      </w:pPr>
      <w:r>
        <w:rPr>
          <w:spacing w:val="-5"/>
          <w:sz w:val="21"/>
        </w:rPr>
        <w:t>监督基金托管人按法律法规和合同规定履行自己的义务，基金托管人违反基金 </w:t>
      </w:r>
      <w:r>
        <w:rPr>
          <w:spacing w:val="-4"/>
          <w:sz w:val="21"/>
        </w:rPr>
        <w:t>合同造成基金财产损失时，基金管理人应为基金份额持有人利益向基金托管人追偿；</w:t>
      </w:r>
    </w:p>
    <w:p>
      <w:pPr>
        <w:pStyle w:val="ListParagraph"/>
        <w:numPr>
          <w:ilvl w:val="0"/>
          <w:numId w:val="2"/>
        </w:numPr>
        <w:tabs>
          <w:tab w:pos="1893" w:val="left" w:leader="none"/>
        </w:tabs>
        <w:spacing w:line="269" w:lineRule="exact" w:before="0" w:after="0"/>
        <w:ind w:left="1892" w:right="0" w:hanging="633"/>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2"/>
        </w:numPr>
        <w:tabs>
          <w:tab w:pos="1895" w:val="left" w:leader="none"/>
        </w:tabs>
        <w:spacing w:line="417" w:lineRule="auto" w:before="0" w:after="0"/>
        <w:ind w:left="840" w:right="891" w:firstLine="419"/>
        <w:jc w:val="both"/>
        <w:rPr>
          <w:sz w:val="21"/>
        </w:rPr>
      </w:pPr>
      <w:r>
        <w:rPr>
          <w:spacing w:val="-8"/>
          <w:sz w:val="21"/>
        </w:rPr>
        <w:t>基金管理人在募集期间未能达到基金的备案条件，《基金合同》不能生效，基金</w:t>
      </w:r>
      <w:r>
        <w:rPr>
          <w:spacing w:val="-10"/>
          <w:sz w:val="21"/>
        </w:rPr>
        <w:t>管理人承担因募集而产生的债务和费用，将已募集资金并加计银行同期存款利息在募集期结</w:t>
      </w:r>
      <w:r>
        <w:rPr>
          <w:spacing w:val="-25"/>
          <w:sz w:val="21"/>
        </w:rPr>
        <w:t>束后 </w:t>
      </w:r>
      <w:r>
        <w:rPr>
          <w:rFonts w:ascii="Times New Roman" w:eastAsia="Times New Roman"/>
          <w:sz w:val="21"/>
        </w:rPr>
        <w:t>30 </w:t>
      </w:r>
      <w:r>
        <w:rPr>
          <w:spacing w:val="-3"/>
          <w:sz w:val="21"/>
        </w:rPr>
        <w:t>天内退还基金认购人；</w:t>
      </w:r>
    </w:p>
    <w:p>
      <w:pPr>
        <w:pStyle w:val="ListParagraph"/>
        <w:numPr>
          <w:ilvl w:val="0"/>
          <w:numId w:val="2"/>
        </w:numPr>
        <w:tabs>
          <w:tab w:pos="1895" w:val="left" w:leader="none"/>
        </w:tabs>
        <w:spacing w:line="240" w:lineRule="auto" w:before="0" w:after="0"/>
        <w:ind w:left="1895" w:right="0" w:hanging="635"/>
        <w:jc w:val="left"/>
        <w:rPr>
          <w:sz w:val="21"/>
        </w:rPr>
      </w:pPr>
      <w:r>
        <w:rPr>
          <w:spacing w:val="-3"/>
          <w:sz w:val="21"/>
        </w:rPr>
        <w:t>执行生效的基金份额持有人大会的决定；</w:t>
      </w:r>
    </w:p>
    <w:p>
      <w:pPr>
        <w:spacing w:after="0" w:line="240"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2"/>
        </w:numPr>
        <w:tabs>
          <w:tab w:pos="1895" w:val="left" w:leader="none"/>
        </w:tabs>
        <w:spacing w:line="240" w:lineRule="auto" w:before="78" w:after="0"/>
        <w:ind w:left="1895" w:right="0" w:hanging="635"/>
        <w:jc w:val="left"/>
        <w:rPr>
          <w:sz w:val="21"/>
        </w:rPr>
      </w:pPr>
      <w:r>
        <w:rPr>
          <w:spacing w:val="-3"/>
          <w:sz w:val="21"/>
        </w:rPr>
        <w:t>法律法规和《基金合同》规定的其他义务。</w:t>
      </w:r>
    </w:p>
    <w:p>
      <w:pPr>
        <w:pStyle w:val="BodyText"/>
        <w:rPr>
          <w:sz w:val="22"/>
        </w:rPr>
      </w:pPr>
    </w:p>
    <w:p>
      <w:pPr>
        <w:pStyle w:val="BodyText"/>
        <w:spacing w:before="1"/>
        <w:rPr>
          <w:sz w:val="30"/>
        </w:rPr>
      </w:pPr>
    </w:p>
    <w:p>
      <w:pPr>
        <w:pStyle w:val="Heading4"/>
      </w:pPr>
      <w:r>
        <w:rPr/>
        <w:t>四、基金管理人承诺</w:t>
      </w:r>
    </w:p>
    <w:p>
      <w:pPr>
        <w:pStyle w:val="BodyText"/>
        <w:spacing w:before="6"/>
        <w:rPr>
          <w:b/>
          <w:sz w:val="15"/>
        </w:rPr>
      </w:pPr>
    </w:p>
    <w:p>
      <w:pPr>
        <w:pStyle w:val="BodyText"/>
        <w:spacing w:line="417" w:lineRule="auto" w:before="1"/>
        <w:ind w:left="840" w:right="797" w:firstLine="419"/>
      </w:pPr>
      <w:r>
        <w:rPr>
          <w:rFonts w:ascii="Times New Roman" w:eastAsia="Times New Roman"/>
        </w:rPr>
        <w:t>1</w:t>
      </w:r>
      <w:r>
        <w:rPr>
          <w:spacing w:val="-3"/>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pPr>
        <w:pStyle w:val="BodyText"/>
        <w:spacing w:line="417" w:lineRule="auto"/>
        <w:ind w:left="840" w:right="894" w:firstLine="419"/>
      </w:pPr>
      <w:r>
        <w:rPr>
          <w:rFonts w:ascii="Times New Roman" w:eastAsia="Times New Roman"/>
        </w:rPr>
        <w:t>2</w:t>
      </w:r>
      <w:r>
        <w:rPr>
          <w:spacing w:val="-15"/>
        </w:rPr>
        <w:t>、本基金管理人承诺严格遵守《证券法》、《基金法》及有关法律法规，建立健全的内</w:t>
      </w:r>
      <w:r>
        <w:rPr>
          <w:spacing w:val="-7"/>
        </w:rPr>
        <w:t>部控制制度，采取有效措施，防止下列行为发生：</w:t>
      </w:r>
    </w:p>
    <w:p>
      <w:pPr>
        <w:pStyle w:val="ListParagraph"/>
        <w:numPr>
          <w:ilvl w:val="0"/>
          <w:numId w:val="3"/>
        </w:numPr>
        <w:tabs>
          <w:tab w:pos="1790" w:val="left" w:leader="none"/>
        </w:tabs>
        <w:spacing w:line="240" w:lineRule="auto" w:before="0" w:after="0"/>
        <w:ind w:left="178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3"/>
        </w:numPr>
        <w:tabs>
          <w:tab w:pos="1790" w:val="left" w:leader="none"/>
        </w:tabs>
        <w:spacing w:line="240" w:lineRule="auto" w:before="0" w:after="0"/>
        <w:ind w:left="1789" w:right="0" w:hanging="530"/>
        <w:jc w:val="left"/>
        <w:rPr>
          <w:sz w:val="21"/>
        </w:rPr>
      </w:pPr>
      <w:r>
        <w:rPr>
          <w:spacing w:val="-3"/>
          <w:sz w:val="21"/>
        </w:rPr>
        <w:t>不公平地对待其管理的不同基金财产；</w:t>
      </w:r>
    </w:p>
    <w:p>
      <w:pPr>
        <w:pStyle w:val="BodyText"/>
        <w:spacing w:before="7"/>
        <w:rPr>
          <w:sz w:val="15"/>
        </w:rPr>
      </w:pPr>
    </w:p>
    <w:p>
      <w:pPr>
        <w:pStyle w:val="ListParagraph"/>
        <w:numPr>
          <w:ilvl w:val="0"/>
          <w:numId w:val="3"/>
        </w:numPr>
        <w:tabs>
          <w:tab w:pos="1790" w:val="left" w:leader="none"/>
        </w:tabs>
        <w:spacing w:line="240" w:lineRule="auto" w:before="0" w:after="0"/>
        <w:ind w:left="1789" w:right="0" w:hanging="530"/>
        <w:jc w:val="left"/>
        <w:rPr>
          <w:sz w:val="21"/>
        </w:rPr>
      </w:pPr>
      <w:r>
        <w:rPr>
          <w:spacing w:val="-3"/>
          <w:sz w:val="21"/>
        </w:rPr>
        <w:t>利用基金财产为基金份额持有人以外的第三人谋取利益；</w:t>
      </w:r>
    </w:p>
    <w:p>
      <w:pPr>
        <w:pStyle w:val="BodyText"/>
        <w:spacing w:before="6"/>
        <w:rPr>
          <w:sz w:val="15"/>
        </w:rPr>
      </w:pPr>
    </w:p>
    <w:p>
      <w:pPr>
        <w:pStyle w:val="ListParagraph"/>
        <w:numPr>
          <w:ilvl w:val="0"/>
          <w:numId w:val="3"/>
        </w:numPr>
        <w:tabs>
          <w:tab w:pos="1790" w:val="left" w:leader="none"/>
        </w:tabs>
        <w:spacing w:line="240" w:lineRule="auto" w:before="1" w:after="0"/>
        <w:ind w:left="1789" w:right="0" w:hanging="530"/>
        <w:jc w:val="left"/>
        <w:rPr>
          <w:sz w:val="21"/>
        </w:rPr>
      </w:pPr>
      <w:r>
        <w:rPr>
          <w:spacing w:val="-3"/>
          <w:sz w:val="21"/>
        </w:rPr>
        <w:t>向基金份额持有人违规承诺收益或者承担损失；</w:t>
      </w:r>
    </w:p>
    <w:p>
      <w:pPr>
        <w:pStyle w:val="BodyText"/>
        <w:spacing w:before="6"/>
        <w:rPr>
          <w:sz w:val="15"/>
        </w:rPr>
      </w:pPr>
    </w:p>
    <w:p>
      <w:pPr>
        <w:pStyle w:val="ListParagraph"/>
        <w:numPr>
          <w:ilvl w:val="0"/>
          <w:numId w:val="3"/>
        </w:numPr>
        <w:tabs>
          <w:tab w:pos="1790" w:val="left" w:leader="none"/>
        </w:tabs>
        <w:spacing w:line="240" w:lineRule="auto" w:before="0" w:after="0"/>
        <w:ind w:left="1789" w:right="0" w:hanging="530"/>
        <w:jc w:val="left"/>
        <w:rPr>
          <w:sz w:val="21"/>
        </w:rPr>
      </w:pPr>
      <w:r>
        <w:rPr>
          <w:spacing w:val="-3"/>
          <w:sz w:val="21"/>
        </w:rPr>
        <w:t>法律法规或中国证监会禁止的其他行为。</w:t>
      </w:r>
    </w:p>
    <w:p>
      <w:pPr>
        <w:pStyle w:val="BodyText"/>
        <w:spacing w:before="7"/>
        <w:rPr>
          <w:sz w:val="15"/>
        </w:rPr>
      </w:pPr>
    </w:p>
    <w:p>
      <w:pPr>
        <w:pStyle w:val="BodyText"/>
        <w:spacing w:line="417" w:lineRule="auto"/>
        <w:ind w:left="840" w:right="893" w:firstLine="419"/>
      </w:pPr>
      <w:r>
        <w:rPr>
          <w:rFonts w:ascii="Times New Roman" w:eastAsia="Times New Roman"/>
        </w:rPr>
        <w:t>3</w:t>
      </w:r>
      <w:r>
        <w:rPr/>
        <w:t>、本基金管理人承诺加强人员管理，强化职业操守，督促和约束员工遵守国家有关法律、法规及行业规范，诚实信用、勤勉尽责，不从事以下活动：</w:t>
      </w:r>
    </w:p>
    <w:p>
      <w:pPr>
        <w:pStyle w:val="ListParagraph"/>
        <w:numPr>
          <w:ilvl w:val="0"/>
          <w:numId w:val="4"/>
        </w:numPr>
        <w:tabs>
          <w:tab w:pos="1790" w:val="left" w:leader="none"/>
        </w:tabs>
        <w:spacing w:line="240" w:lineRule="auto" w:before="0" w:after="0"/>
        <w:ind w:left="1789" w:right="0" w:hanging="530"/>
        <w:jc w:val="left"/>
        <w:rPr>
          <w:sz w:val="21"/>
        </w:rPr>
      </w:pPr>
      <w:r>
        <w:rPr>
          <w:spacing w:val="-3"/>
          <w:sz w:val="21"/>
        </w:rPr>
        <w:t>越权或违规经营；</w:t>
      </w:r>
    </w:p>
    <w:p>
      <w:pPr>
        <w:pStyle w:val="BodyText"/>
        <w:spacing w:before="7"/>
        <w:rPr>
          <w:sz w:val="15"/>
        </w:rPr>
      </w:pPr>
    </w:p>
    <w:p>
      <w:pPr>
        <w:pStyle w:val="ListParagraph"/>
        <w:numPr>
          <w:ilvl w:val="0"/>
          <w:numId w:val="4"/>
        </w:numPr>
        <w:tabs>
          <w:tab w:pos="1790" w:val="left" w:leader="none"/>
        </w:tabs>
        <w:spacing w:line="240" w:lineRule="auto" w:before="0" w:after="0"/>
        <w:ind w:left="1789" w:right="0" w:hanging="530"/>
        <w:jc w:val="left"/>
        <w:rPr>
          <w:sz w:val="21"/>
        </w:rPr>
      </w:pPr>
      <w:r>
        <w:rPr>
          <w:spacing w:val="-3"/>
          <w:sz w:val="21"/>
        </w:rPr>
        <w:t>违反基金合同或托管协议；</w:t>
      </w:r>
    </w:p>
    <w:p>
      <w:pPr>
        <w:pStyle w:val="BodyText"/>
        <w:spacing w:before="6"/>
        <w:rPr>
          <w:sz w:val="15"/>
        </w:rPr>
      </w:pPr>
    </w:p>
    <w:p>
      <w:pPr>
        <w:pStyle w:val="ListParagraph"/>
        <w:numPr>
          <w:ilvl w:val="0"/>
          <w:numId w:val="4"/>
        </w:numPr>
        <w:tabs>
          <w:tab w:pos="1790" w:val="left" w:leader="none"/>
        </w:tabs>
        <w:spacing w:line="240" w:lineRule="auto" w:before="1" w:after="0"/>
        <w:ind w:left="1789" w:right="0" w:hanging="530"/>
        <w:jc w:val="left"/>
        <w:rPr>
          <w:sz w:val="21"/>
        </w:rPr>
      </w:pPr>
      <w:r>
        <w:rPr>
          <w:spacing w:val="-3"/>
          <w:sz w:val="21"/>
        </w:rPr>
        <w:t>故意损害基金份额持有人或其他基金相关机构的合法利益；</w:t>
      </w:r>
    </w:p>
    <w:p>
      <w:pPr>
        <w:pStyle w:val="BodyText"/>
        <w:spacing w:before="6"/>
        <w:rPr>
          <w:sz w:val="15"/>
        </w:rPr>
      </w:pPr>
    </w:p>
    <w:p>
      <w:pPr>
        <w:pStyle w:val="ListParagraph"/>
        <w:numPr>
          <w:ilvl w:val="0"/>
          <w:numId w:val="4"/>
        </w:numPr>
        <w:tabs>
          <w:tab w:pos="1790" w:val="left" w:leader="none"/>
        </w:tabs>
        <w:spacing w:line="240" w:lineRule="auto" w:before="0" w:after="0"/>
        <w:ind w:left="1789" w:right="0" w:hanging="530"/>
        <w:jc w:val="left"/>
        <w:rPr>
          <w:sz w:val="21"/>
        </w:rPr>
      </w:pPr>
      <w:r>
        <w:rPr>
          <w:spacing w:val="-3"/>
          <w:sz w:val="21"/>
        </w:rPr>
        <w:t>在向中国证监会报送的资料中弄虚作假；</w:t>
      </w:r>
    </w:p>
    <w:p>
      <w:pPr>
        <w:pStyle w:val="BodyText"/>
        <w:spacing w:before="7"/>
        <w:rPr>
          <w:sz w:val="15"/>
        </w:rPr>
      </w:pPr>
    </w:p>
    <w:p>
      <w:pPr>
        <w:pStyle w:val="ListParagraph"/>
        <w:numPr>
          <w:ilvl w:val="0"/>
          <w:numId w:val="4"/>
        </w:numPr>
        <w:tabs>
          <w:tab w:pos="1790" w:val="left" w:leader="none"/>
        </w:tabs>
        <w:spacing w:line="240" w:lineRule="auto" w:before="0" w:after="0"/>
        <w:ind w:left="1789" w:right="0" w:hanging="530"/>
        <w:jc w:val="left"/>
        <w:rPr>
          <w:sz w:val="21"/>
        </w:rPr>
      </w:pPr>
      <w:r>
        <w:rPr>
          <w:spacing w:val="-3"/>
          <w:sz w:val="21"/>
        </w:rPr>
        <w:t>拒绝、干扰、阻挠或严重影响中国证监会依法监管；</w:t>
      </w:r>
    </w:p>
    <w:p>
      <w:pPr>
        <w:pStyle w:val="BodyText"/>
        <w:spacing w:before="7"/>
        <w:rPr>
          <w:sz w:val="15"/>
        </w:rPr>
      </w:pPr>
    </w:p>
    <w:p>
      <w:pPr>
        <w:pStyle w:val="ListParagraph"/>
        <w:numPr>
          <w:ilvl w:val="0"/>
          <w:numId w:val="4"/>
        </w:numPr>
        <w:tabs>
          <w:tab w:pos="1790" w:val="left" w:leader="none"/>
        </w:tabs>
        <w:spacing w:line="240" w:lineRule="auto" w:before="0" w:after="0"/>
        <w:ind w:left="1789" w:right="0" w:hanging="530"/>
        <w:jc w:val="left"/>
        <w:rPr>
          <w:sz w:val="21"/>
        </w:rPr>
      </w:pPr>
      <w:r>
        <w:rPr>
          <w:spacing w:val="-3"/>
          <w:sz w:val="21"/>
        </w:rPr>
        <w:t>玩忽职守、滥用职权；</w:t>
      </w:r>
    </w:p>
    <w:p>
      <w:pPr>
        <w:pStyle w:val="BodyText"/>
        <w:spacing w:before="7"/>
        <w:rPr>
          <w:sz w:val="15"/>
        </w:rPr>
      </w:pPr>
    </w:p>
    <w:p>
      <w:pPr>
        <w:pStyle w:val="ListParagraph"/>
        <w:numPr>
          <w:ilvl w:val="0"/>
          <w:numId w:val="4"/>
        </w:numPr>
        <w:tabs>
          <w:tab w:pos="1790" w:val="left" w:leader="none"/>
        </w:tabs>
        <w:spacing w:line="417" w:lineRule="auto" w:before="0" w:after="0"/>
        <w:ind w:left="840" w:right="893" w:firstLine="419"/>
        <w:jc w:val="both"/>
        <w:rPr>
          <w:sz w:val="21"/>
        </w:rPr>
      </w:pPr>
      <w:r>
        <w:rPr>
          <w:spacing w:val="-3"/>
          <w:sz w:val="21"/>
        </w:rPr>
        <w:t>违反现行有效的有关法律、法规、规章、基金合同和中国证监会的有关规定，泄</w:t>
      </w:r>
      <w:r>
        <w:rPr>
          <w:spacing w:val="-9"/>
          <w:sz w:val="21"/>
        </w:rPr>
        <w:t>漏在任职期间知悉的有关证券、基金的商业秘密，尚未依法公开的基金投资内容、基金投资</w:t>
      </w:r>
      <w:r>
        <w:rPr>
          <w:spacing w:val="-5"/>
          <w:sz w:val="21"/>
        </w:rPr>
        <w:t>计划等信息；</w:t>
      </w:r>
    </w:p>
    <w:p>
      <w:pPr>
        <w:pStyle w:val="ListParagraph"/>
        <w:numPr>
          <w:ilvl w:val="0"/>
          <w:numId w:val="4"/>
        </w:numPr>
        <w:tabs>
          <w:tab w:pos="1790" w:val="left" w:leader="none"/>
        </w:tabs>
        <w:spacing w:line="417" w:lineRule="auto" w:before="0" w:after="0"/>
        <w:ind w:left="840" w:right="894" w:firstLine="419"/>
        <w:jc w:val="left"/>
        <w:rPr>
          <w:sz w:val="21"/>
        </w:rPr>
      </w:pPr>
      <w:r>
        <w:rPr>
          <w:spacing w:val="-3"/>
          <w:sz w:val="21"/>
        </w:rPr>
        <w:t>违反证券交易场所业务规则，利用对敲、倒仓等手段操纵市场价格，扰乱市场秩序；</w:t>
      </w:r>
    </w:p>
    <w:p>
      <w:pPr>
        <w:pStyle w:val="ListParagraph"/>
        <w:numPr>
          <w:ilvl w:val="0"/>
          <w:numId w:val="4"/>
        </w:numPr>
        <w:tabs>
          <w:tab w:pos="1790" w:val="left" w:leader="none"/>
        </w:tabs>
        <w:spacing w:line="269" w:lineRule="exact" w:before="0" w:after="0"/>
        <w:ind w:left="1789" w:right="0" w:hanging="530"/>
        <w:jc w:val="left"/>
        <w:rPr>
          <w:sz w:val="21"/>
        </w:rPr>
      </w:pPr>
      <w:r>
        <w:rPr>
          <w:spacing w:val="-3"/>
          <w:sz w:val="21"/>
        </w:rPr>
        <w:t>贬损同行，以抬高自己；</w:t>
      </w:r>
    </w:p>
    <w:p>
      <w:pPr>
        <w:pStyle w:val="BodyText"/>
        <w:spacing w:before="6"/>
        <w:rPr>
          <w:sz w:val="15"/>
        </w:rPr>
      </w:pPr>
    </w:p>
    <w:p>
      <w:pPr>
        <w:pStyle w:val="ListParagraph"/>
        <w:numPr>
          <w:ilvl w:val="0"/>
          <w:numId w:val="4"/>
        </w:numPr>
        <w:tabs>
          <w:tab w:pos="1895" w:val="left" w:leader="none"/>
        </w:tabs>
        <w:spacing w:line="240" w:lineRule="auto" w:before="1" w:after="0"/>
        <w:ind w:left="1895" w:right="0" w:hanging="635"/>
        <w:jc w:val="left"/>
        <w:rPr>
          <w:sz w:val="21"/>
        </w:rPr>
      </w:pPr>
      <w:r>
        <w:rPr>
          <w:spacing w:val="-3"/>
          <w:sz w:val="21"/>
        </w:rPr>
        <w:t>以不正当手段谋求业务发展；</w:t>
      </w:r>
    </w:p>
    <w:p>
      <w:pPr>
        <w:pStyle w:val="BodyText"/>
        <w:spacing w:before="6"/>
        <w:rPr>
          <w:sz w:val="15"/>
        </w:rPr>
      </w:pPr>
    </w:p>
    <w:p>
      <w:pPr>
        <w:pStyle w:val="ListParagraph"/>
        <w:numPr>
          <w:ilvl w:val="0"/>
          <w:numId w:val="4"/>
        </w:numPr>
        <w:tabs>
          <w:tab w:pos="1886" w:val="left" w:leader="none"/>
        </w:tabs>
        <w:spacing w:line="240" w:lineRule="auto" w:before="1" w:after="0"/>
        <w:ind w:left="1885" w:right="0" w:hanging="626"/>
        <w:jc w:val="left"/>
        <w:rPr>
          <w:sz w:val="21"/>
        </w:rPr>
      </w:pPr>
      <w:r>
        <w:rPr>
          <w:spacing w:val="-3"/>
          <w:sz w:val="21"/>
        </w:rPr>
        <w:t>有悖社会公德，损害证券投资基金人员形象；</w:t>
      </w:r>
    </w:p>
    <w:p>
      <w:pPr>
        <w:pStyle w:val="BodyText"/>
        <w:spacing w:before="6"/>
        <w:rPr>
          <w:sz w:val="15"/>
        </w:rPr>
      </w:pPr>
    </w:p>
    <w:p>
      <w:pPr>
        <w:pStyle w:val="ListParagraph"/>
        <w:numPr>
          <w:ilvl w:val="0"/>
          <w:numId w:val="4"/>
        </w:numPr>
        <w:tabs>
          <w:tab w:pos="1895" w:val="left" w:leader="none"/>
        </w:tabs>
        <w:spacing w:line="240" w:lineRule="auto" w:before="0" w:after="0"/>
        <w:ind w:left="1895" w:right="0" w:hanging="635"/>
        <w:jc w:val="left"/>
        <w:rPr>
          <w:sz w:val="21"/>
        </w:rPr>
      </w:pPr>
      <w:r>
        <w:rPr>
          <w:spacing w:val="-3"/>
          <w:sz w:val="21"/>
        </w:rPr>
        <w:t>在公开信息披露和广告中故意含有虚假、误导、欺诈成分；</w:t>
      </w:r>
    </w:p>
    <w:p>
      <w:pPr>
        <w:spacing w:after="0" w:line="240"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4"/>
        </w:numPr>
        <w:tabs>
          <w:tab w:pos="1895" w:val="left" w:leader="none"/>
        </w:tabs>
        <w:spacing w:line="240" w:lineRule="auto" w:before="78" w:after="0"/>
        <w:ind w:left="1895" w:right="0" w:hanging="635"/>
        <w:jc w:val="left"/>
        <w:rPr>
          <w:sz w:val="21"/>
        </w:rPr>
      </w:pPr>
      <w:r>
        <w:rPr>
          <w:spacing w:val="-3"/>
          <w:sz w:val="21"/>
        </w:rPr>
        <w:t>其他法律、行政法规以及中国证监会禁止的行为。</w:t>
      </w:r>
    </w:p>
    <w:p>
      <w:pPr>
        <w:pStyle w:val="BodyText"/>
        <w:spacing w:before="7"/>
        <w:rPr>
          <w:sz w:val="15"/>
        </w:rPr>
      </w:pPr>
    </w:p>
    <w:p>
      <w:pPr>
        <w:pStyle w:val="BodyText"/>
        <w:ind w:left="1260"/>
      </w:pPr>
      <w:r>
        <w:rPr>
          <w:rFonts w:ascii="Times New Roman" w:eastAsia="Times New Roman"/>
        </w:rPr>
        <w:t>4</w:t>
      </w:r>
      <w:r>
        <w:rPr/>
        <w:t>、基金经理承诺</w:t>
      </w:r>
    </w:p>
    <w:p>
      <w:pPr>
        <w:pStyle w:val="BodyText"/>
        <w:spacing w:before="6"/>
        <w:rPr>
          <w:sz w:val="15"/>
        </w:rPr>
      </w:pPr>
    </w:p>
    <w:p>
      <w:pPr>
        <w:pStyle w:val="ListParagraph"/>
        <w:numPr>
          <w:ilvl w:val="0"/>
          <w:numId w:val="5"/>
        </w:numPr>
        <w:tabs>
          <w:tab w:pos="1790" w:val="left" w:leader="none"/>
        </w:tabs>
        <w:spacing w:line="417" w:lineRule="auto" w:before="1" w:after="0"/>
        <w:ind w:left="840" w:right="894" w:firstLine="419"/>
        <w:jc w:val="left"/>
        <w:rPr>
          <w:sz w:val="21"/>
        </w:rPr>
      </w:pPr>
      <w:r>
        <w:rPr>
          <w:spacing w:val="-3"/>
          <w:sz w:val="21"/>
        </w:rPr>
        <w:t>依照有关法律、法规和基金合同的规定，本着谨慎的原则为基金份额持有人谋取最大利益；</w:t>
      </w:r>
    </w:p>
    <w:p>
      <w:pPr>
        <w:pStyle w:val="ListParagraph"/>
        <w:numPr>
          <w:ilvl w:val="0"/>
          <w:numId w:val="5"/>
        </w:numPr>
        <w:tabs>
          <w:tab w:pos="1790" w:val="left" w:leader="none"/>
        </w:tabs>
        <w:spacing w:line="269" w:lineRule="exact" w:before="0" w:after="0"/>
        <w:ind w:left="1789" w:right="0" w:hanging="530"/>
        <w:jc w:val="left"/>
        <w:rPr>
          <w:sz w:val="21"/>
        </w:rPr>
      </w:pPr>
      <w:r>
        <w:rPr>
          <w:spacing w:val="-3"/>
          <w:sz w:val="21"/>
        </w:rPr>
        <w:t>不利用职务之便为自己及其代理人、受雇人或任何第三人谋取利益；</w:t>
      </w:r>
    </w:p>
    <w:p>
      <w:pPr>
        <w:pStyle w:val="BodyText"/>
        <w:spacing w:before="6"/>
        <w:rPr>
          <w:sz w:val="15"/>
        </w:rPr>
      </w:pPr>
    </w:p>
    <w:p>
      <w:pPr>
        <w:pStyle w:val="ListParagraph"/>
        <w:numPr>
          <w:ilvl w:val="0"/>
          <w:numId w:val="5"/>
        </w:numPr>
        <w:tabs>
          <w:tab w:pos="1790" w:val="left" w:leader="none"/>
        </w:tabs>
        <w:spacing w:line="417" w:lineRule="auto" w:before="0" w:after="0"/>
        <w:ind w:left="840" w:right="891" w:firstLine="419"/>
        <w:jc w:val="both"/>
        <w:rPr>
          <w:sz w:val="21"/>
        </w:rPr>
      </w:pPr>
      <w:r>
        <w:rPr>
          <w:spacing w:val="-3"/>
          <w:sz w:val="21"/>
        </w:rPr>
        <w:t>不违反现行有效的有关法律、法规、规章、基金合同和中国证监会的有关规定， </w:t>
      </w:r>
      <w:r>
        <w:rPr>
          <w:spacing w:val="-9"/>
          <w:sz w:val="21"/>
        </w:rPr>
        <w:t>泄漏在任职期间知悉的有关证券、基金的商业秘密、尚未依法公开的基金投资内容、基金投</w:t>
      </w:r>
      <w:r>
        <w:rPr>
          <w:spacing w:val="-5"/>
          <w:sz w:val="21"/>
        </w:rPr>
        <w:t>资计划等信息；</w:t>
      </w:r>
    </w:p>
    <w:p>
      <w:pPr>
        <w:pStyle w:val="ListParagraph"/>
        <w:numPr>
          <w:ilvl w:val="0"/>
          <w:numId w:val="5"/>
        </w:numPr>
        <w:tabs>
          <w:tab w:pos="1790" w:val="left" w:leader="none"/>
        </w:tabs>
        <w:spacing w:line="240" w:lineRule="auto" w:before="1" w:after="0"/>
        <w:ind w:left="1789" w:right="0" w:hanging="530"/>
        <w:jc w:val="left"/>
        <w:rPr>
          <w:sz w:val="21"/>
        </w:rPr>
      </w:pPr>
      <w:r>
        <w:rPr>
          <w:spacing w:val="-3"/>
          <w:sz w:val="21"/>
        </w:rPr>
        <w:t>不从事损害基金财产和基金份额持有人利益的证券交易及其他活动。</w:t>
      </w:r>
    </w:p>
    <w:p>
      <w:pPr>
        <w:pStyle w:val="BodyText"/>
        <w:rPr>
          <w:sz w:val="22"/>
        </w:rPr>
      </w:pPr>
    </w:p>
    <w:p>
      <w:pPr>
        <w:pStyle w:val="BodyText"/>
        <w:rPr>
          <w:sz w:val="30"/>
        </w:rPr>
      </w:pPr>
    </w:p>
    <w:p>
      <w:pPr>
        <w:pStyle w:val="Heading4"/>
      </w:pPr>
      <w:r>
        <w:rPr/>
        <w:t>五、基金管理人的风险管理和内部控制体系</w:t>
      </w:r>
    </w:p>
    <w:p>
      <w:pPr>
        <w:pStyle w:val="BodyText"/>
        <w:spacing w:before="7"/>
        <w:rPr>
          <w:b/>
          <w:sz w:val="15"/>
        </w:rPr>
      </w:pPr>
    </w:p>
    <w:p>
      <w:pPr>
        <w:pStyle w:val="BodyText"/>
        <w:ind w:left="840"/>
      </w:pPr>
      <w:r>
        <w:rPr>
          <w:rFonts w:ascii="Times New Roman" w:eastAsia="Times New Roman"/>
        </w:rPr>
        <w:t>1</w:t>
      </w:r>
      <w:r>
        <w:rPr/>
        <w:t>、风险管理理念与目标</w:t>
      </w:r>
    </w:p>
    <w:p>
      <w:pPr>
        <w:pStyle w:val="BodyText"/>
        <w:spacing w:before="7"/>
        <w:rPr>
          <w:sz w:val="15"/>
        </w:rPr>
      </w:pPr>
    </w:p>
    <w:p>
      <w:pPr>
        <w:pStyle w:val="ListParagraph"/>
        <w:numPr>
          <w:ilvl w:val="0"/>
          <w:numId w:val="6"/>
        </w:numPr>
        <w:tabs>
          <w:tab w:pos="1790" w:val="left" w:leader="none"/>
        </w:tabs>
        <w:spacing w:line="240" w:lineRule="auto" w:before="0" w:after="0"/>
        <w:ind w:left="1789" w:right="0" w:hanging="530"/>
        <w:jc w:val="left"/>
        <w:rPr>
          <w:sz w:val="21"/>
        </w:rPr>
      </w:pPr>
      <w:r>
        <w:rPr>
          <w:spacing w:val="-3"/>
          <w:sz w:val="21"/>
        </w:rPr>
        <w:t>确保合法合规经营；</w:t>
      </w:r>
    </w:p>
    <w:p>
      <w:pPr>
        <w:pStyle w:val="BodyText"/>
        <w:spacing w:before="6"/>
        <w:rPr>
          <w:sz w:val="15"/>
        </w:rPr>
      </w:pPr>
    </w:p>
    <w:p>
      <w:pPr>
        <w:pStyle w:val="ListParagraph"/>
        <w:numPr>
          <w:ilvl w:val="0"/>
          <w:numId w:val="6"/>
        </w:numPr>
        <w:tabs>
          <w:tab w:pos="1790" w:val="left" w:leader="none"/>
        </w:tabs>
        <w:spacing w:line="240" w:lineRule="auto" w:before="0" w:after="0"/>
        <w:ind w:left="1789" w:right="0" w:hanging="530"/>
        <w:jc w:val="left"/>
        <w:rPr>
          <w:sz w:val="21"/>
        </w:rPr>
      </w:pPr>
      <w:r>
        <w:rPr>
          <w:spacing w:val="-3"/>
          <w:sz w:val="21"/>
        </w:rPr>
        <w:t>防范和化解风险；</w:t>
      </w:r>
    </w:p>
    <w:p>
      <w:pPr>
        <w:pStyle w:val="BodyText"/>
        <w:spacing w:before="7"/>
        <w:rPr>
          <w:sz w:val="15"/>
        </w:rPr>
      </w:pPr>
    </w:p>
    <w:p>
      <w:pPr>
        <w:pStyle w:val="ListParagraph"/>
        <w:numPr>
          <w:ilvl w:val="0"/>
          <w:numId w:val="6"/>
        </w:numPr>
        <w:tabs>
          <w:tab w:pos="1790" w:val="left" w:leader="none"/>
        </w:tabs>
        <w:spacing w:line="240" w:lineRule="auto" w:before="1" w:after="0"/>
        <w:ind w:left="1789" w:right="0" w:hanging="530"/>
        <w:jc w:val="left"/>
        <w:rPr>
          <w:sz w:val="21"/>
        </w:rPr>
      </w:pPr>
      <w:r>
        <w:rPr>
          <w:spacing w:val="-3"/>
          <w:sz w:val="21"/>
        </w:rPr>
        <w:t>提高经营效率；</w:t>
      </w:r>
    </w:p>
    <w:p>
      <w:pPr>
        <w:pStyle w:val="BodyText"/>
        <w:spacing w:before="6"/>
        <w:rPr>
          <w:sz w:val="15"/>
        </w:rPr>
      </w:pPr>
    </w:p>
    <w:p>
      <w:pPr>
        <w:pStyle w:val="ListParagraph"/>
        <w:numPr>
          <w:ilvl w:val="0"/>
          <w:numId w:val="6"/>
        </w:numPr>
        <w:tabs>
          <w:tab w:pos="1790" w:val="left" w:leader="none"/>
        </w:tabs>
        <w:spacing w:line="240" w:lineRule="auto" w:before="0" w:after="0"/>
        <w:ind w:left="1789" w:right="0" w:hanging="530"/>
        <w:jc w:val="left"/>
        <w:rPr>
          <w:sz w:val="21"/>
        </w:rPr>
      </w:pPr>
      <w:r>
        <w:rPr>
          <w:spacing w:val="-3"/>
          <w:sz w:val="21"/>
        </w:rPr>
        <w:t>保护投资者和股东的合法权益。</w:t>
      </w:r>
    </w:p>
    <w:p>
      <w:pPr>
        <w:pStyle w:val="BodyText"/>
        <w:spacing w:before="7"/>
        <w:rPr>
          <w:sz w:val="15"/>
        </w:rPr>
      </w:pPr>
    </w:p>
    <w:p>
      <w:pPr>
        <w:pStyle w:val="BodyText"/>
        <w:ind w:left="840"/>
      </w:pPr>
      <w:r>
        <w:rPr>
          <w:rFonts w:ascii="Times New Roman" w:eastAsia="Times New Roman"/>
        </w:rPr>
        <w:t>2</w:t>
      </w:r>
      <w:r>
        <w:rPr/>
        <w:t>、风险管理措施</w:t>
      </w:r>
    </w:p>
    <w:p>
      <w:pPr>
        <w:pStyle w:val="BodyText"/>
        <w:spacing w:before="7"/>
        <w:rPr>
          <w:sz w:val="15"/>
        </w:rPr>
      </w:pPr>
    </w:p>
    <w:p>
      <w:pPr>
        <w:pStyle w:val="ListParagraph"/>
        <w:numPr>
          <w:ilvl w:val="0"/>
          <w:numId w:val="7"/>
        </w:numPr>
        <w:tabs>
          <w:tab w:pos="1790" w:val="left" w:leader="none"/>
        </w:tabs>
        <w:spacing w:line="240" w:lineRule="auto" w:before="0" w:after="0"/>
        <w:ind w:left="1789" w:right="0" w:hanging="530"/>
        <w:jc w:val="left"/>
        <w:rPr>
          <w:sz w:val="21"/>
        </w:rPr>
      </w:pPr>
      <w:r>
        <w:rPr>
          <w:spacing w:val="-3"/>
          <w:sz w:val="21"/>
        </w:rPr>
        <w:t>建立健全公司组织架构；</w:t>
      </w:r>
    </w:p>
    <w:p>
      <w:pPr>
        <w:pStyle w:val="BodyText"/>
        <w:spacing w:before="6"/>
        <w:rPr>
          <w:sz w:val="15"/>
        </w:rPr>
      </w:pPr>
    </w:p>
    <w:p>
      <w:pPr>
        <w:pStyle w:val="ListParagraph"/>
        <w:numPr>
          <w:ilvl w:val="0"/>
          <w:numId w:val="7"/>
        </w:numPr>
        <w:tabs>
          <w:tab w:pos="1790" w:val="left" w:leader="none"/>
        </w:tabs>
        <w:spacing w:line="240" w:lineRule="auto" w:before="1" w:after="0"/>
        <w:ind w:left="1789" w:right="0" w:hanging="530"/>
        <w:jc w:val="left"/>
        <w:rPr>
          <w:sz w:val="21"/>
        </w:rPr>
      </w:pPr>
      <w:r>
        <w:rPr>
          <w:spacing w:val="-3"/>
          <w:sz w:val="21"/>
        </w:rPr>
        <w:t>树立监察稽核功能的权威性和独立性；</w:t>
      </w:r>
    </w:p>
    <w:p>
      <w:pPr>
        <w:pStyle w:val="BodyText"/>
        <w:spacing w:before="6"/>
        <w:rPr>
          <w:sz w:val="15"/>
        </w:rPr>
      </w:pPr>
    </w:p>
    <w:p>
      <w:pPr>
        <w:pStyle w:val="ListParagraph"/>
        <w:numPr>
          <w:ilvl w:val="0"/>
          <w:numId w:val="7"/>
        </w:numPr>
        <w:tabs>
          <w:tab w:pos="1790" w:val="left" w:leader="none"/>
        </w:tabs>
        <w:spacing w:line="240" w:lineRule="auto" w:before="0" w:after="0"/>
        <w:ind w:left="1789" w:right="0" w:hanging="530"/>
        <w:jc w:val="left"/>
        <w:rPr>
          <w:sz w:val="21"/>
        </w:rPr>
      </w:pPr>
      <w:r>
        <w:rPr>
          <w:spacing w:val="-3"/>
          <w:sz w:val="21"/>
        </w:rPr>
        <w:t>加强内控培训，培养全体员工的风险管理意识和监察文化；</w:t>
      </w:r>
    </w:p>
    <w:p>
      <w:pPr>
        <w:pStyle w:val="BodyText"/>
        <w:spacing w:before="7"/>
        <w:rPr>
          <w:sz w:val="15"/>
        </w:rPr>
      </w:pPr>
    </w:p>
    <w:p>
      <w:pPr>
        <w:pStyle w:val="ListParagraph"/>
        <w:numPr>
          <w:ilvl w:val="0"/>
          <w:numId w:val="7"/>
        </w:numPr>
        <w:tabs>
          <w:tab w:pos="1790" w:val="left" w:leader="none"/>
        </w:tabs>
        <w:spacing w:line="240" w:lineRule="auto" w:before="0" w:after="0"/>
        <w:ind w:left="1789" w:right="0" w:hanging="530"/>
        <w:jc w:val="left"/>
        <w:rPr>
          <w:sz w:val="21"/>
        </w:rPr>
      </w:pPr>
      <w:r>
        <w:rPr>
          <w:spacing w:val="-3"/>
          <w:sz w:val="21"/>
        </w:rPr>
        <w:t>制定员工行为规范和纪律程序；</w:t>
      </w:r>
    </w:p>
    <w:p>
      <w:pPr>
        <w:pStyle w:val="BodyText"/>
        <w:spacing w:before="7"/>
        <w:rPr>
          <w:sz w:val="15"/>
        </w:rPr>
      </w:pPr>
    </w:p>
    <w:p>
      <w:pPr>
        <w:pStyle w:val="ListParagraph"/>
        <w:numPr>
          <w:ilvl w:val="0"/>
          <w:numId w:val="7"/>
        </w:numPr>
        <w:tabs>
          <w:tab w:pos="1790" w:val="left" w:leader="none"/>
        </w:tabs>
        <w:spacing w:line="240" w:lineRule="auto" w:before="0" w:after="0"/>
        <w:ind w:left="1789" w:right="0" w:hanging="530"/>
        <w:jc w:val="left"/>
        <w:rPr>
          <w:sz w:val="21"/>
        </w:rPr>
      </w:pPr>
      <w:r>
        <w:rPr>
          <w:spacing w:val="-3"/>
          <w:sz w:val="21"/>
        </w:rPr>
        <w:t>建立岗位分离制度；</w:t>
      </w:r>
    </w:p>
    <w:p>
      <w:pPr>
        <w:pStyle w:val="BodyText"/>
        <w:spacing w:before="7"/>
        <w:rPr>
          <w:sz w:val="15"/>
        </w:rPr>
      </w:pPr>
    </w:p>
    <w:p>
      <w:pPr>
        <w:pStyle w:val="ListParagraph"/>
        <w:numPr>
          <w:ilvl w:val="0"/>
          <w:numId w:val="7"/>
        </w:numPr>
        <w:tabs>
          <w:tab w:pos="1790" w:val="left" w:leader="none"/>
        </w:tabs>
        <w:spacing w:line="240" w:lineRule="auto" w:before="0" w:after="0"/>
        <w:ind w:left="1789" w:right="0" w:hanging="530"/>
        <w:jc w:val="left"/>
        <w:rPr>
          <w:sz w:val="21"/>
        </w:rPr>
      </w:pPr>
      <w:r>
        <w:rPr>
          <w:spacing w:val="-3"/>
          <w:sz w:val="21"/>
        </w:rPr>
        <w:t>建立危机处理和灾难恢复计划。</w:t>
      </w:r>
    </w:p>
    <w:p>
      <w:pPr>
        <w:pStyle w:val="BodyText"/>
        <w:spacing w:before="7"/>
        <w:rPr>
          <w:sz w:val="15"/>
        </w:rPr>
      </w:pPr>
    </w:p>
    <w:p>
      <w:pPr>
        <w:pStyle w:val="BodyText"/>
        <w:ind w:left="840"/>
      </w:pPr>
      <w:r>
        <w:rPr>
          <w:rFonts w:ascii="Times New Roman" w:eastAsia="Times New Roman"/>
        </w:rPr>
        <w:t>3</w:t>
      </w:r>
      <w:r>
        <w:rPr/>
        <w:t>、风险管理和内部控制的原则</w:t>
      </w:r>
    </w:p>
    <w:p>
      <w:pPr>
        <w:pStyle w:val="BodyText"/>
        <w:spacing w:before="7"/>
        <w:rPr>
          <w:sz w:val="15"/>
        </w:rPr>
      </w:pPr>
    </w:p>
    <w:p>
      <w:pPr>
        <w:pStyle w:val="ListParagraph"/>
        <w:numPr>
          <w:ilvl w:val="0"/>
          <w:numId w:val="8"/>
        </w:numPr>
        <w:tabs>
          <w:tab w:pos="1790" w:val="left" w:leader="none"/>
        </w:tabs>
        <w:spacing w:line="417" w:lineRule="auto" w:before="0" w:after="0"/>
        <w:ind w:left="840" w:right="894" w:firstLine="419"/>
        <w:jc w:val="left"/>
        <w:rPr>
          <w:sz w:val="21"/>
        </w:rPr>
      </w:pPr>
      <w:r>
        <w:rPr>
          <w:spacing w:val="-3"/>
          <w:sz w:val="21"/>
        </w:rPr>
        <w:t>全面性原则：公司风险管理必须覆盖公司的所有部门和岗位，渗透各项业务过程和业务环节；</w:t>
      </w:r>
    </w:p>
    <w:p>
      <w:pPr>
        <w:pStyle w:val="ListParagraph"/>
        <w:numPr>
          <w:ilvl w:val="0"/>
          <w:numId w:val="8"/>
        </w:numPr>
        <w:tabs>
          <w:tab w:pos="1790" w:val="left" w:leader="none"/>
        </w:tabs>
        <w:spacing w:line="417" w:lineRule="auto" w:before="0" w:after="0"/>
        <w:ind w:left="840" w:right="894" w:firstLine="419"/>
        <w:jc w:val="left"/>
        <w:rPr>
          <w:sz w:val="21"/>
        </w:rPr>
      </w:pPr>
      <w:r>
        <w:rPr>
          <w:spacing w:val="-3"/>
          <w:sz w:val="21"/>
        </w:rPr>
        <w:t>独立性原则：公司各机构、部门和岗位职责应当保持相对独立，公司基金财产、自有资产、其他资产的运作应当分离；</w:t>
      </w:r>
    </w:p>
    <w:p>
      <w:pPr>
        <w:pStyle w:val="ListParagraph"/>
        <w:numPr>
          <w:ilvl w:val="0"/>
          <w:numId w:val="8"/>
        </w:numPr>
        <w:tabs>
          <w:tab w:pos="1790" w:val="left" w:leader="none"/>
        </w:tabs>
        <w:spacing w:line="417" w:lineRule="auto" w:before="0" w:after="0"/>
        <w:ind w:left="840" w:right="785" w:firstLine="419"/>
        <w:jc w:val="left"/>
        <w:rPr>
          <w:sz w:val="21"/>
        </w:rPr>
      </w:pPr>
      <w:r>
        <w:rPr>
          <w:spacing w:val="-9"/>
          <w:sz w:val="21"/>
        </w:rPr>
        <w:t>相互制约原则：公司及各部门在内部组织结构的设计上要形成一种相互制约机制 </w:t>
      </w:r>
      <w:r>
        <w:rPr>
          <w:spacing w:val="-6"/>
          <w:sz w:val="21"/>
        </w:rPr>
        <w:t>，建立不同岗位之间的制衡体系；</w:t>
      </w:r>
    </w:p>
    <w:p>
      <w:pPr>
        <w:spacing w:after="0" w:line="417"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8"/>
        </w:numPr>
        <w:tabs>
          <w:tab w:pos="1790" w:val="left" w:leader="none"/>
        </w:tabs>
        <w:spacing w:line="417" w:lineRule="auto" w:before="78" w:after="0"/>
        <w:ind w:left="840" w:right="894" w:firstLine="419"/>
        <w:jc w:val="left"/>
        <w:rPr>
          <w:sz w:val="21"/>
        </w:rPr>
      </w:pPr>
      <w:r>
        <w:rPr>
          <w:spacing w:val="-3"/>
          <w:sz w:val="21"/>
        </w:rPr>
        <w:t>定性和定量相结合原则：建立完备的风险管理指标体系，使风险管理更具客观性和操作性；</w:t>
      </w:r>
    </w:p>
    <w:p>
      <w:pPr>
        <w:pStyle w:val="ListParagraph"/>
        <w:numPr>
          <w:ilvl w:val="0"/>
          <w:numId w:val="8"/>
        </w:numPr>
        <w:tabs>
          <w:tab w:pos="1790" w:val="left" w:leader="none"/>
        </w:tabs>
        <w:spacing w:line="417" w:lineRule="auto" w:before="0" w:after="0"/>
        <w:ind w:left="840" w:right="894" w:firstLine="419"/>
        <w:jc w:val="left"/>
        <w:rPr>
          <w:sz w:val="21"/>
        </w:rPr>
      </w:pPr>
      <w:r>
        <w:rPr>
          <w:spacing w:val="-3"/>
          <w:sz w:val="21"/>
        </w:rPr>
        <w:t>防火墙原则：基金财产、公司自有资产、其他资产的运作应当严格分开并独立核算。</w:t>
      </w:r>
    </w:p>
    <w:p>
      <w:pPr>
        <w:pStyle w:val="BodyText"/>
        <w:spacing w:line="269" w:lineRule="exact"/>
        <w:ind w:left="840"/>
      </w:pPr>
      <w:r>
        <w:rPr>
          <w:rFonts w:ascii="Times New Roman" w:eastAsia="Times New Roman"/>
        </w:rPr>
        <w:t>4</w:t>
      </w:r>
      <w:r>
        <w:rPr/>
        <w:t>、内部控制体系</w:t>
      </w:r>
    </w:p>
    <w:p>
      <w:pPr>
        <w:pStyle w:val="BodyText"/>
        <w:spacing w:before="6"/>
        <w:rPr>
          <w:sz w:val="15"/>
        </w:rPr>
      </w:pPr>
    </w:p>
    <w:p>
      <w:pPr>
        <w:pStyle w:val="ListParagraph"/>
        <w:numPr>
          <w:ilvl w:val="0"/>
          <w:numId w:val="9"/>
        </w:numPr>
        <w:tabs>
          <w:tab w:pos="1790" w:val="left" w:leader="none"/>
        </w:tabs>
        <w:spacing w:line="240" w:lineRule="auto" w:before="1" w:after="0"/>
        <w:ind w:left="1789" w:right="0" w:hanging="530"/>
        <w:jc w:val="left"/>
        <w:rPr>
          <w:sz w:val="21"/>
        </w:rPr>
      </w:pPr>
      <w:r>
        <w:rPr>
          <w:spacing w:val="-3"/>
          <w:sz w:val="21"/>
        </w:rPr>
        <w:t>内部控制的组织架构</w:t>
      </w:r>
    </w:p>
    <w:p>
      <w:pPr>
        <w:pStyle w:val="BodyText"/>
        <w:spacing w:before="6"/>
        <w:rPr>
          <w:sz w:val="15"/>
        </w:rPr>
      </w:pPr>
    </w:p>
    <w:p>
      <w:pPr>
        <w:pStyle w:val="ListParagraph"/>
        <w:numPr>
          <w:ilvl w:val="0"/>
          <w:numId w:val="10"/>
        </w:numPr>
        <w:tabs>
          <w:tab w:pos="1744" w:val="left" w:leader="none"/>
        </w:tabs>
        <w:spacing w:line="417" w:lineRule="auto" w:before="0" w:after="0"/>
        <w:ind w:left="840" w:right="785" w:firstLine="419"/>
        <w:jc w:val="left"/>
        <w:rPr>
          <w:sz w:val="21"/>
        </w:rPr>
      </w:pPr>
      <w:r>
        <w:rPr>
          <w:sz w:val="21"/>
        </w:rPr>
        <w:t>董事会审计与风险控制委员会：负责对公司经营管理和基金投资业务进行合规性</w:t>
      </w:r>
      <w:r>
        <w:rPr>
          <w:spacing w:val="-10"/>
          <w:sz w:val="21"/>
        </w:rPr>
        <w:t>控制，并对公司内部稽核审计工作进行审核监督。该委员会主要职责是：审议并批准公司内控制度和政策并检查其实施情况；监督公司内部审计制度的实施；向董事会提名外部审计机构；负责内部审计和外部审计之间的协调；审议公司的关联交易；对公司的风险及管理状况</w:t>
      </w:r>
      <w:r>
        <w:rPr>
          <w:spacing w:val="-15"/>
          <w:sz w:val="21"/>
        </w:rPr>
        <w:t>及风险管理能力及水平进行评价，提出完善风险管理和内部制度的意见、制定公司日常经营、</w:t>
      </w:r>
      <w:r>
        <w:rPr>
          <w:spacing w:val="-10"/>
          <w:sz w:val="21"/>
        </w:rPr>
        <w:t>拟募集基金及运用基金资产进行投资的风险控制指标和监督制度，并不定期地对风险控制情</w:t>
      </w:r>
      <w:r>
        <w:rPr>
          <w:spacing w:val="-12"/>
          <w:sz w:val="21"/>
        </w:rPr>
        <w:t>况进行检查和监督，形成风险评估报告和建议，在例行董事会会议上提出公司上半个年度风</w:t>
      </w:r>
      <w:r>
        <w:rPr>
          <w:spacing w:val="-13"/>
          <w:sz w:val="21"/>
        </w:rPr>
        <w:t>险控制工作总结报告；监督和指导经理层所设立的风险管理委员会的工作及董事会赋予的其</w:t>
      </w:r>
      <w:r>
        <w:rPr>
          <w:spacing w:val="-8"/>
          <w:sz w:val="21"/>
        </w:rPr>
        <w:t>他职责。</w:t>
      </w:r>
    </w:p>
    <w:p>
      <w:pPr>
        <w:pStyle w:val="ListParagraph"/>
        <w:numPr>
          <w:ilvl w:val="0"/>
          <w:numId w:val="10"/>
        </w:numPr>
        <w:tabs>
          <w:tab w:pos="1799" w:val="left" w:leader="none"/>
        </w:tabs>
        <w:spacing w:line="417" w:lineRule="auto" w:before="0" w:after="0"/>
        <w:ind w:left="840" w:right="797" w:firstLine="419"/>
        <w:jc w:val="both"/>
        <w:rPr>
          <w:sz w:val="21"/>
        </w:rPr>
      </w:pPr>
      <w:r>
        <w:rPr>
          <w:spacing w:val="-3"/>
          <w:sz w:val="21"/>
        </w:rPr>
        <w:t>风险管理委员会：是公司日常经营中整体风险控制的决策机构，该委员会是对公</w:t>
      </w:r>
      <w:r>
        <w:rPr>
          <w:spacing w:val="-10"/>
          <w:sz w:val="21"/>
        </w:rPr>
        <w:t>司各种风险的识别、防范和控制的非常设机构，负责公司整体运作风险的评估和控制，由公司督察长、总经理、副总经理及各部门负责人等组成，其主要职责是：评估公司各机构、部</w:t>
      </w:r>
      <w:r>
        <w:rPr>
          <w:spacing w:val="-12"/>
          <w:sz w:val="21"/>
        </w:rPr>
        <w:t>门制度本身隐含的风险，以及这些制度在执行过程中显现的问题，并负责审定风险控制政策和策略；审议基金财产风险状况分析报告，基于风险与回报对业务策略提出质疑，需要时指导业务方向；审定公司的业务授权方案；负责协调处理突发性重大事件；负责界定业务风险</w:t>
      </w:r>
      <w:r>
        <w:rPr>
          <w:spacing w:val="-6"/>
          <w:sz w:val="21"/>
        </w:rPr>
        <w:t>损失责任人的责任；审议公司各项风险与内控状况的评价报告；需要风险管理委员会审议、</w:t>
      </w:r>
    </w:p>
    <w:p>
      <w:pPr>
        <w:pStyle w:val="BodyText"/>
        <w:spacing w:line="268" w:lineRule="exact"/>
        <w:ind w:left="840"/>
      </w:pPr>
      <w:r>
        <w:rPr/>
        <w:t>决策的其他重大风险管理事项。</w:t>
      </w:r>
    </w:p>
    <w:p>
      <w:pPr>
        <w:pStyle w:val="ListParagraph"/>
        <w:numPr>
          <w:ilvl w:val="0"/>
          <w:numId w:val="10"/>
        </w:numPr>
        <w:tabs>
          <w:tab w:pos="1636" w:val="left" w:leader="none"/>
        </w:tabs>
        <w:spacing w:line="364" w:lineRule="auto" w:before="100" w:after="0"/>
        <w:ind w:left="840" w:right="891" w:firstLine="199"/>
        <w:jc w:val="both"/>
        <w:rPr>
          <w:sz w:val="21"/>
        </w:rPr>
      </w:pPr>
      <w:r>
        <w:rPr>
          <w:spacing w:val="-6"/>
          <w:sz w:val="21"/>
        </w:rPr>
        <w:t>投资决策委员会：是公司投资领域的最高决策机构，以定期或不定期会议的形式 </w:t>
      </w:r>
      <w:r>
        <w:rPr>
          <w:spacing w:val="-9"/>
          <w:sz w:val="21"/>
        </w:rPr>
        <w:t>讨论和决定公司投资的重大问题。投资决策委员会由公司总经理、分管投资的副总经理、各</w:t>
      </w:r>
      <w:r>
        <w:rPr>
          <w:spacing w:val="-10"/>
          <w:sz w:val="21"/>
        </w:rPr>
        <w:t>投资总监、研究总监、基金经理代表等组成，其主要职责包括：依照基金合同、资产管理合</w:t>
      </w:r>
      <w:r>
        <w:rPr>
          <w:spacing w:val="-13"/>
          <w:sz w:val="21"/>
        </w:rPr>
        <w:t>同的规定，确立各基金、特定客户资产管理的投资方针及投资方向；审定基金资产、特定客</w:t>
      </w:r>
      <w:r>
        <w:rPr>
          <w:spacing w:val="-12"/>
          <w:sz w:val="21"/>
        </w:rPr>
        <w:t>户资产管理的配置方案，包括基金资产、特定客户资产管理在股票、债券、现金之间的配置比例；制定基金、特定客户资产管理投资授权方案；对超出投资负责人权限的投资项目做出决定；考核包括基金经理、投资经理在内的投资团队的工作绩效；需要投资决策委员会决定</w:t>
      </w:r>
      <w:r>
        <w:rPr>
          <w:spacing w:val="-7"/>
          <w:sz w:val="21"/>
        </w:rPr>
        <w:t>的其它重大投资事项。</w:t>
      </w:r>
    </w:p>
    <w:p>
      <w:pPr>
        <w:spacing w:after="0" w:line="364" w:lineRule="auto"/>
        <w:jc w:val="both"/>
        <w:rPr>
          <w:sz w:val="21"/>
        </w:rPr>
        <w:sectPr>
          <w:pgSz w:w="11910" w:h="16840"/>
          <w:pgMar w:header="877" w:footer="995" w:top="1100" w:bottom="1180" w:left="960" w:right="900"/>
        </w:sectPr>
      </w:pPr>
    </w:p>
    <w:p>
      <w:pPr>
        <w:pStyle w:val="BodyText"/>
        <w:spacing w:before="10"/>
        <w:rPr>
          <w:sz w:val="26"/>
        </w:rPr>
      </w:pPr>
    </w:p>
    <w:p>
      <w:pPr>
        <w:pStyle w:val="ListParagraph"/>
        <w:numPr>
          <w:ilvl w:val="0"/>
          <w:numId w:val="10"/>
        </w:numPr>
        <w:tabs>
          <w:tab w:pos="1845" w:val="left" w:leader="none"/>
        </w:tabs>
        <w:spacing w:line="417" w:lineRule="auto" w:before="78" w:after="0"/>
        <w:ind w:left="840" w:right="788" w:firstLine="419"/>
        <w:jc w:val="both"/>
        <w:rPr>
          <w:sz w:val="21"/>
        </w:rPr>
      </w:pPr>
      <w:r>
        <w:rPr>
          <w:spacing w:val="-5"/>
          <w:sz w:val="21"/>
        </w:rPr>
        <w:t>督察长：督察长制度是基金管理人特有的制度。督察长负责组织指导公司的监察</w:t>
      </w:r>
      <w:r>
        <w:rPr>
          <w:spacing w:val="-11"/>
          <w:sz w:val="21"/>
        </w:rPr>
        <w:t>稽核工作；可列席公司任何会议，调阅公司任何档案材料，对基金运作、内部管理、制度执</w:t>
      </w:r>
      <w:r>
        <w:rPr>
          <w:spacing w:val="-17"/>
          <w:sz w:val="21"/>
        </w:rPr>
        <w:t>行及遵规守法情况进行内部监察、稽核；每月独立出具稽核报告，报送中国证监会和董事长。</w:t>
      </w:r>
    </w:p>
    <w:p>
      <w:pPr>
        <w:pStyle w:val="ListParagraph"/>
        <w:numPr>
          <w:ilvl w:val="0"/>
          <w:numId w:val="10"/>
        </w:numPr>
        <w:tabs>
          <w:tab w:pos="1787" w:val="left" w:leader="none"/>
        </w:tabs>
        <w:spacing w:line="417" w:lineRule="auto" w:before="0" w:after="0"/>
        <w:ind w:left="840" w:right="891" w:firstLine="419"/>
        <w:jc w:val="both"/>
        <w:rPr>
          <w:sz w:val="21"/>
        </w:rPr>
      </w:pPr>
      <w:r>
        <w:rPr>
          <w:spacing w:val="-3"/>
          <w:sz w:val="21"/>
        </w:rPr>
        <w:t>法律、监察稽核部：公司设立法律、监察稽核部，开展公司的监察稽核工作，并</w:t>
      </w:r>
      <w:r>
        <w:rPr>
          <w:spacing w:val="-9"/>
          <w:sz w:val="21"/>
        </w:rPr>
        <w:t>保证其工作的独立性和权威性，充分发挥其职能作用。法律、监察稽核部有权对公司各类规</w:t>
      </w:r>
      <w:r>
        <w:rPr>
          <w:spacing w:val="-10"/>
          <w:sz w:val="21"/>
        </w:rPr>
        <w:t>章制度及内部风险控制制度的完备性、合理性、有效性进行检查并提出相应意见和建议，并</w:t>
      </w:r>
      <w:r>
        <w:rPr>
          <w:spacing w:val="-9"/>
          <w:sz w:val="21"/>
        </w:rPr>
        <w:t>将意见和建议上报公司总经理、督察长和风险管理委员会进行讨论。法律、监察稽核部协助</w:t>
      </w:r>
      <w:r>
        <w:rPr>
          <w:spacing w:val="-11"/>
          <w:sz w:val="21"/>
        </w:rPr>
        <w:t>对全公司员工进行相关法律、法规、规章制度培训，回答公司各部门提出的法律咨询，并对</w:t>
      </w:r>
      <w:r>
        <w:rPr>
          <w:spacing w:val="-12"/>
          <w:sz w:val="21"/>
        </w:rPr>
        <w:t>公司出现的法律纠纷提出解决方案，同时组织各部门对公司管理上存在的风险隐患或出现的</w:t>
      </w:r>
      <w:r>
        <w:rPr>
          <w:spacing w:val="-13"/>
          <w:sz w:val="21"/>
        </w:rPr>
        <w:t>风险问题进行讨论、研究，提出解决方案，提交风险管理委员会、投资决策委员会或总经理</w:t>
      </w:r>
      <w:r>
        <w:rPr>
          <w:spacing w:val="-6"/>
          <w:sz w:val="21"/>
        </w:rPr>
        <w:t>办公会等进行审核、讨论，并监督整改。</w:t>
      </w:r>
    </w:p>
    <w:p>
      <w:pPr>
        <w:pStyle w:val="ListParagraph"/>
        <w:numPr>
          <w:ilvl w:val="0"/>
          <w:numId w:val="9"/>
        </w:numPr>
        <w:tabs>
          <w:tab w:pos="1790" w:val="left" w:leader="none"/>
        </w:tabs>
        <w:spacing w:line="268" w:lineRule="exact" w:before="0" w:after="0"/>
        <w:ind w:left="1789" w:right="0" w:hanging="530"/>
        <w:jc w:val="left"/>
        <w:rPr>
          <w:sz w:val="21"/>
        </w:rPr>
      </w:pPr>
      <w:r>
        <w:rPr>
          <w:spacing w:val="-3"/>
          <w:sz w:val="21"/>
        </w:rPr>
        <w:t>内部控制的原则</w:t>
      </w:r>
    </w:p>
    <w:p>
      <w:pPr>
        <w:pStyle w:val="BodyText"/>
        <w:spacing w:before="6"/>
        <w:rPr>
          <w:sz w:val="15"/>
        </w:rPr>
      </w:pPr>
    </w:p>
    <w:p>
      <w:pPr>
        <w:pStyle w:val="BodyText"/>
        <w:ind w:left="1260"/>
      </w:pPr>
      <w:r>
        <w:rPr/>
        <w:t>公司的内部控制遵循以下原则：</w:t>
      </w:r>
    </w:p>
    <w:p>
      <w:pPr>
        <w:pStyle w:val="BodyText"/>
        <w:spacing w:before="7"/>
        <w:rPr>
          <w:sz w:val="15"/>
        </w:rPr>
      </w:pPr>
    </w:p>
    <w:p>
      <w:pPr>
        <w:pStyle w:val="ListParagraph"/>
        <w:numPr>
          <w:ilvl w:val="0"/>
          <w:numId w:val="11"/>
        </w:numPr>
        <w:tabs>
          <w:tab w:pos="1744" w:val="left" w:leader="none"/>
        </w:tabs>
        <w:spacing w:line="417" w:lineRule="auto" w:before="0" w:after="0"/>
        <w:ind w:left="840" w:right="894" w:firstLine="419"/>
        <w:jc w:val="left"/>
        <w:rPr>
          <w:sz w:val="21"/>
        </w:rPr>
      </w:pPr>
      <w:r>
        <w:rPr>
          <w:spacing w:val="-1"/>
          <w:sz w:val="21"/>
        </w:rPr>
        <w:t>健全性原则：内部控制应当包括公司的各项业务、各个部门或机构和各级人员， </w:t>
      </w:r>
      <w:r>
        <w:rPr>
          <w:spacing w:val="-3"/>
          <w:sz w:val="21"/>
        </w:rPr>
        <w:t>并涵盖到决策、执行、监督、反馈等各个环节；</w:t>
      </w:r>
    </w:p>
    <w:p>
      <w:pPr>
        <w:pStyle w:val="ListParagraph"/>
        <w:numPr>
          <w:ilvl w:val="0"/>
          <w:numId w:val="11"/>
        </w:numPr>
        <w:tabs>
          <w:tab w:pos="1799" w:val="left" w:leader="none"/>
        </w:tabs>
        <w:spacing w:line="417" w:lineRule="auto" w:before="0" w:after="0"/>
        <w:ind w:left="840" w:right="891" w:firstLine="419"/>
        <w:jc w:val="left"/>
        <w:rPr>
          <w:sz w:val="21"/>
        </w:rPr>
      </w:pPr>
      <w:r>
        <w:rPr>
          <w:spacing w:val="-3"/>
          <w:sz w:val="21"/>
        </w:rPr>
        <w:t>有效性原则：通过科学的内控手段和方法，建立合理的内控程序，维护内控制度的有效执行；</w:t>
      </w:r>
    </w:p>
    <w:p>
      <w:pPr>
        <w:pStyle w:val="ListParagraph"/>
        <w:numPr>
          <w:ilvl w:val="0"/>
          <w:numId w:val="11"/>
        </w:numPr>
        <w:tabs>
          <w:tab w:pos="1857" w:val="left" w:leader="none"/>
        </w:tabs>
        <w:spacing w:line="417" w:lineRule="auto" w:before="0" w:after="0"/>
        <w:ind w:left="840" w:right="891" w:firstLine="419"/>
        <w:jc w:val="left"/>
        <w:rPr>
          <w:sz w:val="21"/>
        </w:rPr>
      </w:pPr>
      <w:r>
        <w:rPr>
          <w:spacing w:val="-6"/>
          <w:sz w:val="21"/>
        </w:rPr>
        <w:t>独立性原则：公司设立独立的法律、监察稽核部，法律、监察稽核部保持高度的</w:t>
      </w:r>
      <w:r>
        <w:rPr>
          <w:spacing w:val="-4"/>
          <w:sz w:val="21"/>
        </w:rPr>
        <w:t>独立性和权威性，负责对公司各部门风险控制工作进行稽核和检查；</w:t>
      </w:r>
    </w:p>
    <w:p>
      <w:pPr>
        <w:pStyle w:val="ListParagraph"/>
        <w:numPr>
          <w:ilvl w:val="0"/>
          <w:numId w:val="11"/>
        </w:numPr>
        <w:tabs>
          <w:tab w:pos="1845" w:val="left" w:leader="none"/>
        </w:tabs>
        <w:spacing w:line="269" w:lineRule="exact" w:before="0" w:after="0"/>
        <w:ind w:left="1844" w:right="0" w:hanging="585"/>
        <w:jc w:val="left"/>
        <w:rPr>
          <w:sz w:val="21"/>
        </w:rPr>
      </w:pPr>
      <w:r>
        <w:rPr>
          <w:spacing w:val="-3"/>
          <w:sz w:val="21"/>
        </w:rPr>
        <w:t>相互制约原则：公司内部部门和岗位的设置应当权责分明、相互制衡；</w:t>
      </w:r>
    </w:p>
    <w:p>
      <w:pPr>
        <w:pStyle w:val="BodyText"/>
        <w:spacing w:before="6"/>
        <w:rPr>
          <w:sz w:val="15"/>
        </w:rPr>
      </w:pPr>
    </w:p>
    <w:p>
      <w:pPr>
        <w:pStyle w:val="ListParagraph"/>
        <w:numPr>
          <w:ilvl w:val="0"/>
          <w:numId w:val="11"/>
        </w:numPr>
        <w:tabs>
          <w:tab w:pos="1787" w:val="left" w:leader="none"/>
        </w:tabs>
        <w:spacing w:line="417" w:lineRule="auto" w:before="1" w:after="0"/>
        <w:ind w:left="840" w:right="894" w:firstLine="419"/>
        <w:jc w:val="left"/>
        <w:rPr>
          <w:sz w:val="21"/>
        </w:rPr>
      </w:pPr>
      <w:r>
        <w:rPr>
          <w:spacing w:val="-3"/>
          <w:sz w:val="21"/>
        </w:rPr>
        <w:t>成本效益原则：公司运用科学化的经营管理方法降低运作成本，提高经济效益， 以合理的控制成本达到最佳的内部控制效果。</w:t>
      </w:r>
    </w:p>
    <w:p>
      <w:pPr>
        <w:pStyle w:val="BodyText"/>
        <w:ind w:left="1260"/>
      </w:pPr>
      <w:r>
        <w:rPr/>
        <w:t>公司制订内部控制制度遵循以下原则：</w:t>
      </w:r>
    </w:p>
    <w:p>
      <w:pPr>
        <w:pStyle w:val="BodyText"/>
        <w:spacing w:before="6"/>
        <w:rPr>
          <w:sz w:val="15"/>
        </w:rPr>
      </w:pPr>
    </w:p>
    <w:p>
      <w:pPr>
        <w:pStyle w:val="ListParagraph"/>
        <w:numPr>
          <w:ilvl w:val="0"/>
          <w:numId w:val="12"/>
        </w:numPr>
        <w:tabs>
          <w:tab w:pos="1742" w:val="left" w:leader="none"/>
        </w:tabs>
        <w:spacing w:line="240" w:lineRule="auto" w:before="1" w:after="0"/>
        <w:ind w:left="1741" w:right="0" w:hanging="482"/>
        <w:jc w:val="left"/>
        <w:rPr>
          <w:sz w:val="21"/>
        </w:rPr>
      </w:pPr>
      <w:r>
        <w:rPr>
          <w:spacing w:val="-3"/>
          <w:sz w:val="21"/>
        </w:rPr>
        <w:t>合法合规性原则：公司内控制度应当符合国家法律、法规、规章和各项规定；</w:t>
      </w:r>
    </w:p>
    <w:p>
      <w:pPr>
        <w:pStyle w:val="BodyText"/>
        <w:spacing w:before="6"/>
        <w:rPr>
          <w:sz w:val="15"/>
        </w:rPr>
      </w:pPr>
    </w:p>
    <w:p>
      <w:pPr>
        <w:pStyle w:val="ListParagraph"/>
        <w:numPr>
          <w:ilvl w:val="0"/>
          <w:numId w:val="12"/>
        </w:numPr>
        <w:tabs>
          <w:tab w:pos="1799" w:val="left" w:leader="none"/>
        </w:tabs>
        <w:spacing w:line="417" w:lineRule="auto" w:before="0" w:after="0"/>
        <w:ind w:left="840" w:right="893" w:firstLine="419"/>
        <w:jc w:val="left"/>
        <w:rPr>
          <w:sz w:val="21"/>
        </w:rPr>
      </w:pPr>
      <w:r>
        <w:rPr>
          <w:spacing w:val="-3"/>
          <w:sz w:val="21"/>
        </w:rPr>
        <w:t>全面性原则：内部控制制度涵盖公司管理的各个环节，不得留有制度上的空白或漏洞；</w:t>
      </w:r>
    </w:p>
    <w:p>
      <w:pPr>
        <w:pStyle w:val="ListParagraph"/>
        <w:numPr>
          <w:ilvl w:val="0"/>
          <w:numId w:val="12"/>
        </w:numPr>
        <w:tabs>
          <w:tab w:pos="1857" w:val="left" w:leader="none"/>
        </w:tabs>
        <w:spacing w:line="269" w:lineRule="exact" w:before="0" w:after="0"/>
        <w:ind w:left="1856" w:right="0" w:hanging="597"/>
        <w:jc w:val="left"/>
        <w:rPr>
          <w:sz w:val="21"/>
        </w:rPr>
      </w:pPr>
      <w:r>
        <w:rPr>
          <w:spacing w:val="-3"/>
          <w:sz w:val="21"/>
        </w:rPr>
        <w:t>审慎性原则：制定内部控制制度应当以审慎经营、防范和化解风险为出发点；</w:t>
      </w:r>
    </w:p>
    <w:p>
      <w:pPr>
        <w:pStyle w:val="BodyText"/>
        <w:spacing w:before="7"/>
        <w:rPr>
          <w:sz w:val="15"/>
        </w:rPr>
      </w:pPr>
    </w:p>
    <w:p>
      <w:pPr>
        <w:pStyle w:val="ListParagraph"/>
        <w:numPr>
          <w:ilvl w:val="0"/>
          <w:numId w:val="12"/>
        </w:numPr>
        <w:tabs>
          <w:tab w:pos="1845" w:val="left" w:leader="none"/>
        </w:tabs>
        <w:spacing w:line="417" w:lineRule="auto" w:before="0" w:after="0"/>
        <w:ind w:left="840" w:right="786" w:firstLine="419"/>
        <w:jc w:val="left"/>
        <w:rPr>
          <w:sz w:val="21"/>
        </w:rPr>
      </w:pPr>
      <w:r>
        <w:rPr>
          <w:spacing w:val="-10"/>
          <w:sz w:val="21"/>
        </w:rPr>
        <w:t>适时性原则：内部控制制度的制定应当随着有关法律法规的调整和公司经营战略</w:t>
      </w:r>
      <w:r>
        <w:rPr>
          <w:spacing w:val="-7"/>
          <w:sz w:val="21"/>
        </w:rPr>
        <w:t>、经营方针、经营理念等内外部环境的变化进行及时的修改或完善。</w:t>
      </w:r>
    </w:p>
    <w:p>
      <w:pPr>
        <w:pStyle w:val="ListParagraph"/>
        <w:numPr>
          <w:ilvl w:val="0"/>
          <w:numId w:val="9"/>
        </w:numPr>
        <w:tabs>
          <w:tab w:pos="1790" w:val="left" w:leader="none"/>
        </w:tabs>
        <w:spacing w:line="240" w:lineRule="auto" w:before="0" w:after="0"/>
        <w:ind w:left="1789" w:right="0" w:hanging="530"/>
        <w:jc w:val="left"/>
        <w:rPr>
          <w:sz w:val="21"/>
        </w:rPr>
      </w:pPr>
      <w:r>
        <w:rPr>
          <w:spacing w:val="-3"/>
          <w:sz w:val="21"/>
        </w:rPr>
        <w:t>内部风险控制措施</w:t>
      </w:r>
    </w:p>
    <w:p>
      <w:pPr>
        <w:spacing w:after="0" w:line="240" w:lineRule="auto"/>
        <w:jc w:val="left"/>
        <w:rPr>
          <w:sz w:val="21"/>
        </w:rPr>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firstLine="419"/>
        <w:jc w:val="both"/>
      </w:pPr>
      <w:r>
        <w:rPr>
          <w:spacing w:val="-11"/>
        </w:rPr>
        <w:t>建立科学合理、控制严密、运行高效的内部控制体系和完善的内部控制制度。公司成立以来，根据中国证监会的要求，借鉴外方股东的经验，建立了科学合理的层次分明的内控组织架构、控制程序和控制措施以及控制职责在内的运行高效、严密的内部控制体系。通过不</w:t>
      </w:r>
      <w:r>
        <w:rPr>
          <w:spacing w:val="-6"/>
        </w:rPr>
        <w:t>断地对内部控制制度进行修改，公司已初步形成了较为完善的内部控制制度。</w:t>
      </w:r>
    </w:p>
    <w:p>
      <w:pPr>
        <w:pStyle w:val="BodyText"/>
        <w:spacing w:line="417" w:lineRule="auto"/>
        <w:ind w:left="840" w:right="891" w:firstLine="419"/>
        <w:jc w:val="both"/>
      </w:pPr>
      <w:r>
        <w:rPr>
          <w:spacing w:val="-8"/>
        </w:rPr>
        <w:t>建立健全了管理制度和业务规章。公司建立了包括风险管理制度、投资管理制度、基金</w:t>
      </w:r>
      <w:r>
        <w:rPr>
          <w:spacing w:val="-12"/>
        </w:rPr>
        <w:t>会计制度、信息披露制度、监察稽核制度、信息技术管理制度、公司财务制度等基本管理制度以及包括岗位设置、岗位职责、操作流程手册在内的业务流程、规章等，从基本管理制度</w:t>
      </w:r>
      <w:r>
        <w:rPr>
          <w:spacing w:val="-6"/>
        </w:rPr>
        <w:t>和业务流程上进行风险控制。</w:t>
      </w:r>
    </w:p>
    <w:p>
      <w:pPr>
        <w:pStyle w:val="BodyText"/>
        <w:spacing w:line="417" w:lineRule="auto"/>
        <w:ind w:left="840" w:right="891" w:firstLine="419"/>
        <w:jc w:val="both"/>
      </w:pPr>
      <w:r>
        <w:rPr>
          <w:spacing w:val="-10"/>
        </w:rPr>
        <w:t>建立了岗位分离、相互制衡的内控机制。公司在岗位设置上采取了严格的分离制度，实</w:t>
      </w:r>
      <w:r>
        <w:rPr>
          <w:spacing w:val="-11"/>
        </w:rPr>
        <w:t>现了基金投资与交易，交易与清算，公司会计与基金会计等业务岗位的分离制度，形成了不</w:t>
      </w:r>
      <w:r>
        <w:rPr>
          <w:spacing w:val="-6"/>
        </w:rPr>
        <w:t>同岗位之间的相互制衡机制，从岗位设置上减少和防范操作及操守风险。</w:t>
      </w:r>
    </w:p>
    <w:p>
      <w:pPr>
        <w:pStyle w:val="BodyText"/>
        <w:spacing w:line="417" w:lineRule="auto"/>
        <w:ind w:left="840" w:right="891" w:firstLine="419"/>
      </w:pPr>
      <w:r>
        <w:rPr>
          <w:spacing w:val="-12"/>
        </w:rPr>
        <w:t>建立健全了岗位责任制。公司通过建立健全了岗位责任制使每位员工都能明确自己的岗</w:t>
      </w:r>
      <w:r>
        <w:rPr>
          <w:spacing w:val="-6"/>
        </w:rPr>
        <w:t>位职责和风险管理责任。</w:t>
      </w:r>
    </w:p>
    <w:p>
      <w:pPr>
        <w:pStyle w:val="BodyText"/>
        <w:spacing w:line="417" w:lineRule="auto"/>
        <w:ind w:left="840" w:right="785" w:firstLine="419"/>
      </w:pPr>
      <w:r>
        <w:rPr>
          <w:spacing w:val="-9"/>
        </w:rPr>
        <w:t>构建了风险管理系统。公司通过建立风险评估、预警、报告和控制以及监督程序，并经</w:t>
      </w:r>
      <w:r>
        <w:rPr>
          <w:spacing w:val="-11"/>
        </w:rPr>
        <w:t>过适当的控制流程，定期或实时对风险进行评估、预警、监督，从而确认、评估和预警与公司管理及基金运作有关的风险，通过顺畅的报告渠道，对风险问题进行层层监督、管理、控</w:t>
      </w:r>
      <w:r>
        <w:rPr>
          <w:spacing w:val="-17"/>
        </w:rPr>
        <w:t>制，使部门和管理层及时把握风险状况并快速做出风险控制决策。建立自动化监督控制系统： </w:t>
      </w:r>
      <w:r>
        <w:rPr>
          <w:spacing w:val="-10"/>
        </w:rPr>
        <w:t>公司启用了电子化投资、交易系统，对投资比例进行限制，在“股票黑名单”、交叉交易以</w:t>
      </w:r>
      <w:r>
        <w:rPr>
          <w:spacing w:val="-5"/>
        </w:rPr>
        <w:t>及防范操守风险等方面进行电子化自动控制，将有效地防止合规性运作风险和操守风险。</w:t>
      </w:r>
    </w:p>
    <w:p>
      <w:pPr>
        <w:pStyle w:val="BodyText"/>
        <w:spacing w:line="417" w:lineRule="auto"/>
        <w:ind w:left="840" w:right="891" w:firstLine="419"/>
        <w:jc w:val="both"/>
      </w:pPr>
      <w:r>
        <w:rPr>
          <w:spacing w:val="-9"/>
        </w:rPr>
        <w:t>使用数量化的风险管理手段。采用数量化、技术化的风险控制手段，建立数量化的风险</w:t>
      </w:r>
      <w:r>
        <w:rPr>
          <w:spacing w:val="-12"/>
        </w:rPr>
        <w:t>管理模型，用以提示指数趋势、行业及个股的风险，以便公司及时采取有效的措施，对风险</w:t>
      </w:r>
      <w:r>
        <w:rPr>
          <w:spacing w:val="-6"/>
        </w:rPr>
        <w:t>进行分散、规避和控制，尽可能减少损失。</w:t>
      </w:r>
    </w:p>
    <w:p>
      <w:pPr>
        <w:pStyle w:val="BodyText"/>
        <w:spacing w:line="417" w:lineRule="auto"/>
        <w:ind w:left="840" w:right="891" w:firstLine="419"/>
      </w:pPr>
      <w:r>
        <w:rPr>
          <w:spacing w:val="-10"/>
        </w:rPr>
        <w:t>提供足够的培训。制定了完整的培训计划，为所有员工提供足够和适当的培训，使员工</w:t>
      </w:r>
      <w:r>
        <w:rPr>
          <w:spacing w:val="-5"/>
        </w:rPr>
        <w:t>具有较高的职业水准，从培养职业化专业理财队伍角度控制职业化问题带来的风险。</w:t>
      </w:r>
    </w:p>
    <w:p>
      <w:pPr>
        <w:pStyle w:val="BodyText"/>
        <w:spacing w:line="269" w:lineRule="exact"/>
        <w:ind w:left="840"/>
      </w:pPr>
      <w:r>
        <w:rPr>
          <w:rFonts w:ascii="Times New Roman" w:eastAsia="Times New Roman"/>
        </w:rPr>
        <w:t>5</w:t>
      </w:r>
      <w:r>
        <w:rPr/>
        <w:t>、基金管理人关于内部合规控制声明书</w:t>
      </w:r>
    </w:p>
    <w:p>
      <w:pPr>
        <w:pStyle w:val="BodyText"/>
        <w:spacing w:before="197"/>
        <w:ind w:left="1260"/>
      </w:pPr>
      <w:r>
        <w:rPr/>
        <w:t>本公司承诺以上关于内部控制的披露真实、准确；</w:t>
      </w:r>
    </w:p>
    <w:p>
      <w:pPr>
        <w:pStyle w:val="BodyText"/>
        <w:spacing w:before="7"/>
        <w:rPr>
          <w:sz w:val="15"/>
        </w:rPr>
      </w:pPr>
    </w:p>
    <w:p>
      <w:pPr>
        <w:pStyle w:val="BodyText"/>
        <w:ind w:left="1260"/>
      </w:pPr>
      <w:r>
        <w:rPr/>
        <w:t>本公司承诺根据市场变化和公司发展不断完善内部控制体系和内部控制制度。</w:t>
      </w:r>
    </w:p>
    <w:p>
      <w:pPr>
        <w:spacing w:after="0"/>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51"/>
      </w:pPr>
      <w:bookmarkStart w:name="_TOC_250020" w:id="4"/>
      <w:bookmarkEnd w:id="4"/>
      <w:r>
        <w:rPr/>
        <w:t>四、基金托管人</w:t>
      </w:r>
    </w:p>
    <w:p>
      <w:pPr>
        <w:pStyle w:val="BodyText"/>
        <w:rPr>
          <w:rFonts w:ascii="黑体"/>
          <w:b/>
          <w:sz w:val="20"/>
        </w:rPr>
      </w:pPr>
    </w:p>
    <w:p>
      <w:pPr>
        <w:pStyle w:val="BodyText"/>
        <w:spacing w:before="4"/>
        <w:rPr>
          <w:rFonts w:ascii="黑体"/>
          <w:b/>
          <w:sz w:val="16"/>
        </w:rPr>
      </w:pPr>
    </w:p>
    <w:p>
      <w:pPr>
        <w:pStyle w:val="BodyText"/>
        <w:spacing w:before="72"/>
        <w:ind w:left="1260"/>
      </w:pPr>
      <w:r>
        <w:rPr/>
        <w:t>（一）基金托管人基本情况</w:t>
      </w:r>
    </w:p>
    <w:p>
      <w:pPr>
        <w:pStyle w:val="BodyText"/>
        <w:spacing w:before="7"/>
        <w:rPr>
          <w:sz w:val="15"/>
        </w:rPr>
      </w:pPr>
    </w:p>
    <w:p>
      <w:pPr>
        <w:pStyle w:val="BodyText"/>
        <w:ind w:left="1260"/>
      </w:pPr>
      <w:r>
        <w:rPr/>
        <w:t>名称：中国工商银行股份有限公司</w:t>
      </w:r>
    </w:p>
    <w:p>
      <w:pPr>
        <w:pStyle w:val="BodyText"/>
        <w:spacing w:before="6"/>
        <w:rPr>
          <w:sz w:val="15"/>
        </w:rPr>
      </w:pPr>
    </w:p>
    <w:p>
      <w:pPr>
        <w:pStyle w:val="BodyText"/>
        <w:ind w:left="1260"/>
      </w:pPr>
      <w:r>
        <w:rPr/>
        <w:t>注册地址：北京市西城区复兴门内大街 </w:t>
      </w:r>
      <w:r>
        <w:rPr>
          <w:rFonts w:ascii="Times New Roman" w:eastAsia="Times New Roman"/>
        </w:rPr>
        <w:t>55 </w:t>
      </w:r>
      <w:r>
        <w:rPr/>
        <w:t>号</w:t>
      </w:r>
    </w:p>
    <w:p>
      <w:pPr>
        <w:pStyle w:val="BodyText"/>
        <w:spacing w:before="7"/>
        <w:rPr>
          <w:sz w:val="15"/>
        </w:rPr>
      </w:pPr>
    </w:p>
    <w:p>
      <w:pPr>
        <w:pStyle w:val="BodyText"/>
        <w:spacing w:line="417" w:lineRule="auto"/>
        <w:ind w:left="1260" w:right="6210"/>
      </w:pPr>
      <w:r>
        <w:rPr>
          <w:spacing w:val="-1"/>
        </w:rPr>
        <w:t>成立时间：</w:t>
      </w:r>
      <w:r>
        <w:rPr>
          <w:rFonts w:ascii="Times New Roman" w:eastAsia="Times New Roman"/>
        </w:rPr>
        <w:t>1984 </w:t>
      </w:r>
      <w:r>
        <w:rPr>
          <w:spacing w:val="-27"/>
        </w:rPr>
        <w:t>年 </w:t>
      </w:r>
      <w:r>
        <w:rPr>
          <w:rFonts w:ascii="Times New Roman" w:eastAsia="Times New Roman"/>
        </w:rPr>
        <w:t>1 </w:t>
      </w:r>
      <w:r>
        <w:rPr>
          <w:spacing w:val="-27"/>
        </w:rPr>
        <w:t>月 </w:t>
      </w:r>
      <w:r>
        <w:rPr>
          <w:rFonts w:ascii="Times New Roman" w:eastAsia="Times New Roman"/>
        </w:rPr>
        <w:t>1 </w:t>
      </w:r>
      <w:r>
        <w:rPr>
          <w:spacing w:val="-14"/>
        </w:rPr>
        <w:t>日</w:t>
      </w:r>
      <w:r>
        <w:rPr>
          <w:spacing w:val="-3"/>
        </w:rPr>
        <w:t>法定代表人： 陈四清</w:t>
      </w:r>
    </w:p>
    <w:p>
      <w:pPr>
        <w:pStyle w:val="BodyText"/>
        <w:spacing w:line="417" w:lineRule="auto"/>
        <w:ind w:left="1260" w:right="5098"/>
        <w:rPr>
          <w:rFonts w:ascii="Times New Roman" w:eastAsia="Times New Roman"/>
        </w:rPr>
      </w:pPr>
      <w:r>
        <w:rPr/>
        <w:t>注册资本：人民币 </w:t>
      </w:r>
      <w:r>
        <w:rPr>
          <w:rFonts w:ascii="Times New Roman" w:eastAsia="Times New Roman"/>
        </w:rPr>
        <w:t>35,640,625.7089 </w:t>
      </w:r>
      <w:r>
        <w:rPr/>
        <w:t>万元联系电话：</w:t>
      </w:r>
      <w:r>
        <w:rPr>
          <w:rFonts w:ascii="Times New Roman" w:eastAsia="Times New Roman"/>
        </w:rPr>
        <w:t>010-66105799</w:t>
      </w:r>
    </w:p>
    <w:p>
      <w:pPr>
        <w:pStyle w:val="BodyText"/>
        <w:spacing w:line="269" w:lineRule="exact"/>
        <w:ind w:left="1260"/>
      </w:pPr>
      <w:r>
        <w:rPr/>
        <w:t>联系人：郭明</w:t>
      </w:r>
    </w:p>
    <w:p>
      <w:pPr>
        <w:pStyle w:val="BodyText"/>
        <w:spacing w:before="7"/>
        <w:rPr>
          <w:sz w:val="15"/>
        </w:rPr>
      </w:pPr>
    </w:p>
    <w:p>
      <w:pPr>
        <w:pStyle w:val="BodyText"/>
        <w:ind w:left="1260"/>
      </w:pPr>
      <w:r>
        <w:rPr/>
        <w:t>（二）主要人员情况</w:t>
      </w:r>
    </w:p>
    <w:p>
      <w:pPr>
        <w:pStyle w:val="BodyText"/>
        <w:spacing w:before="7"/>
        <w:rPr>
          <w:sz w:val="15"/>
        </w:rPr>
      </w:pPr>
    </w:p>
    <w:p>
      <w:pPr>
        <w:pStyle w:val="BodyText"/>
        <w:spacing w:line="417" w:lineRule="auto"/>
        <w:ind w:left="840" w:right="893" w:firstLine="419"/>
      </w:pPr>
      <w:r>
        <w:rPr>
          <w:spacing w:val="-17"/>
        </w:rPr>
        <w:t>截至 </w:t>
      </w:r>
      <w:r>
        <w:rPr>
          <w:rFonts w:ascii="Times New Roman" w:eastAsia="Times New Roman"/>
        </w:rPr>
        <w:t>2019 </w:t>
      </w:r>
      <w:r>
        <w:rPr>
          <w:spacing w:val="-24"/>
        </w:rPr>
        <w:t>年 </w:t>
      </w:r>
      <w:r>
        <w:rPr>
          <w:rFonts w:ascii="Times New Roman" w:eastAsia="Times New Roman"/>
        </w:rPr>
        <w:t>9 </w:t>
      </w:r>
      <w:r>
        <w:rPr>
          <w:spacing w:val="-9"/>
        </w:rPr>
        <w:t>月，中国工商银行资产托管部共有员工 </w:t>
      </w:r>
      <w:r>
        <w:rPr>
          <w:rFonts w:ascii="Times New Roman" w:eastAsia="Times New Roman"/>
        </w:rPr>
        <w:t>208 </w:t>
      </w:r>
      <w:r>
        <w:rPr>
          <w:spacing w:val="-12"/>
        </w:rPr>
        <w:t>人，平均年龄 </w:t>
      </w:r>
      <w:r>
        <w:rPr>
          <w:rFonts w:ascii="Times New Roman" w:eastAsia="Times New Roman"/>
        </w:rPr>
        <w:t>33 </w:t>
      </w:r>
      <w:r>
        <w:rPr>
          <w:spacing w:val="-5"/>
        </w:rPr>
        <w:t>岁，</w:t>
      </w:r>
      <w:r>
        <w:rPr>
          <w:rFonts w:ascii="Times New Roman" w:eastAsia="Times New Roman"/>
          <w:spacing w:val="-6"/>
        </w:rPr>
        <w:t>95%</w:t>
      </w:r>
      <w:r>
        <w:rPr/>
        <w:t>以</w:t>
      </w:r>
      <w:r>
        <w:rPr>
          <w:spacing w:val="-3"/>
        </w:rPr>
        <w:t>上员工拥有大学本科以上学历，高管人员均拥有研究生以上学历或高级技术职称。</w:t>
      </w:r>
    </w:p>
    <w:p>
      <w:pPr>
        <w:pStyle w:val="BodyText"/>
        <w:ind w:left="1260"/>
      </w:pPr>
      <w:r>
        <w:rPr/>
        <w:t>（三）基金托管业务经营情况</w:t>
      </w:r>
    </w:p>
    <w:p>
      <w:pPr>
        <w:pStyle w:val="BodyText"/>
        <w:spacing w:before="7"/>
        <w:rPr>
          <w:sz w:val="15"/>
        </w:rPr>
      </w:pPr>
    </w:p>
    <w:p>
      <w:pPr>
        <w:pStyle w:val="BodyText"/>
        <w:spacing w:line="417" w:lineRule="auto"/>
        <w:ind w:left="840" w:right="797" w:firstLine="419"/>
      </w:pPr>
      <w:r>
        <w:rPr>
          <w:spacing w:val="-5"/>
        </w:rPr>
        <w:t>作为中国大陆托管服务的先行者，中国工商银行自 </w:t>
      </w:r>
      <w:r>
        <w:rPr>
          <w:rFonts w:ascii="Times New Roman" w:hAnsi="Times New Roman" w:eastAsia="Times New Roman"/>
        </w:rPr>
        <w:t>1998 </w:t>
      </w:r>
      <w:r>
        <w:rPr>
          <w:spacing w:val="-3"/>
        </w:rPr>
        <w:t>年在国内首家提供托管服务以</w:t>
      </w:r>
      <w:r>
        <w:rPr>
          <w:spacing w:val="-11"/>
        </w:rPr>
        <w:t>来，秉承“诚实信用、勤勉尽责”的宗旨，依靠严密科学的风险管理和内部控制体系、规范</w:t>
      </w:r>
      <w:r>
        <w:rPr>
          <w:spacing w:val="-12"/>
        </w:rPr>
        <w:t>的管理模式、先进的营运系统和专业的服务团队，严格履行资产托管人职责，为境内外广大</w:t>
      </w:r>
      <w:r>
        <w:rPr>
          <w:spacing w:val="-11"/>
        </w:rPr>
        <w:t>投资者、金融资产管理机构和企业客户提供安全、高效、专业的托管服务，展现优异的市场</w:t>
      </w:r>
      <w:r>
        <w:rPr>
          <w:spacing w:val="-6"/>
        </w:rPr>
        <w:t>形象和影响力。建立了国内托管银行中最丰富、最成熟的产品线。拥有包括证券投资基金、</w:t>
      </w:r>
      <w:r>
        <w:rPr>
          <w:spacing w:val="-4"/>
        </w:rPr>
        <w:t>信托资产、保险资产、社会保障基金、基本养老保险、企业年金基金、</w:t>
      </w:r>
      <w:r>
        <w:rPr>
          <w:rFonts w:ascii="Times New Roman" w:hAnsi="Times New Roman" w:eastAsia="Times New Roman"/>
        </w:rPr>
        <w:t>QFII </w:t>
      </w:r>
      <w:r>
        <w:rPr>
          <w:spacing w:val="-2"/>
        </w:rPr>
        <w:t>资产、</w:t>
      </w:r>
      <w:r>
        <w:rPr>
          <w:rFonts w:ascii="Times New Roman" w:hAnsi="Times New Roman" w:eastAsia="Times New Roman"/>
        </w:rPr>
        <w:t>QDII </w:t>
      </w:r>
      <w:r>
        <w:rPr/>
        <w:t>资</w:t>
      </w:r>
      <w:r>
        <w:rPr>
          <w:spacing w:val="-11"/>
        </w:rPr>
        <w:t>产、股权投资基金、证券公司集合资产管理计划、证券公司定向资产管理计划、商业银行信</w:t>
      </w:r>
      <w:r>
        <w:rPr>
          <w:spacing w:val="-8"/>
        </w:rPr>
        <w:t>贷资产证券化、基金公司特定客户资产管理、</w:t>
      </w:r>
      <w:r>
        <w:rPr>
          <w:rFonts w:ascii="Times New Roman" w:hAnsi="Times New Roman" w:eastAsia="Times New Roman"/>
        </w:rPr>
        <w:t>QDII </w:t>
      </w:r>
      <w:r>
        <w:rPr>
          <w:spacing w:val="-5"/>
        </w:rPr>
        <w:t>专户资产、</w:t>
      </w:r>
      <w:r>
        <w:rPr>
          <w:rFonts w:ascii="Times New Roman" w:hAnsi="Times New Roman" w:eastAsia="Times New Roman"/>
        </w:rPr>
        <w:t>ESCROW </w:t>
      </w:r>
      <w:r>
        <w:rPr>
          <w:spacing w:val="-3"/>
        </w:rPr>
        <w:t>等门类齐全的托管</w:t>
      </w:r>
      <w:r>
        <w:rPr>
          <w:spacing w:val="-10"/>
        </w:rPr>
        <w:t>产品体系，同时在国内率先开展绩效评估、风险管理等增值服务，可以为各类客户提供个性化的托管服务。截至 </w:t>
      </w:r>
      <w:r>
        <w:rPr>
          <w:rFonts w:ascii="Times New Roman" w:hAnsi="Times New Roman" w:eastAsia="Times New Roman"/>
        </w:rPr>
        <w:t>2019 </w:t>
      </w:r>
      <w:r>
        <w:rPr>
          <w:spacing w:val="-25"/>
        </w:rPr>
        <w:t>年 </w:t>
      </w:r>
      <w:r>
        <w:rPr>
          <w:rFonts w:ascii="Times New Roman" w:hAnsi="Times New Roman" w:eastAsia="Times New Roman"/>
        </w:rPr>
        <w:t>9</w:t>
      </w:r>
      <w:r>
        <w:rPr>
          <w:rFonts w:ascii="Times New Roman" w:hAnsi="Times New Roman" w:eastAsia="Times New Roman"/>
          <w:spacing w:val="4"/>
        </w:rPr>
        <w:t> </w:t>
      </w:r>
      <w:r>
        <w:rPr>
          <w:spacing w:val="-6"/>
        </w:rPr>
        <w:t>月，中国工商银行共托管证券投资基金 </w:t>
      </w:r>
      <w:r>
        <w:rPr>
          <w:rFonts w:ascii="Times New Roman" w:hAnsi="Times New Roman" w:eastAsia="Times New Roman"/>
        </w:rPr>
        <w:t>1006 </w:t>
      </w:r>
      <w:r>
        <w:rPr>
          <w:spacing w:val="-14"/>
        </w:rPr>
        <w:t>只。自 </w:t>
      </w:r>
      <w:r>
        <w:rPr>
          <w:rFonts w:ascii="Times New Roman" w:hAnsi="Times New Roman" w:eastAsia="Times New Roman"/>
        </w:rPr>
        <w:t>2003 </w:t>
      </w:r>
      <w:r>
        <w:rPr/>
        <w:t>年</w:t>
      </w:r>
      <w:r>
        <w:rPr>
          <w:spacing w:val="-25"/>
        </w:rPr>
        <w:t>以来，本行连续十六年获得香港《亚洲货币》、英国《全球托管人》、香港《财资》、美国《环</w:t>
      </w:r>
      <w:r>
        <w:rPr>
          <w:spacing w:val="-26"/>
        </w:rPr>
        <w:t>球金融》、内地《证券时报》、《上海证券报》等境内外权威财经媒体评选的 </w:t>
      </w:r>
      <w:r>
        <w:rPr>
          <w:rFonts w:ascii="Times New Roman" w:hAnsi="Times New Roman" w:eastAsia="Times New Roman"/>
        </w:rPr>
        <w:t>68 </w:t>
      </w:r>
      <w:r>
        <w:rPr>
          <w:spacing w:val="-2"/>
        </w:rPr>
        <w:t>项最佳托管银</w:t>
      </w:r>
      <w:r>
        <w:rPr>
          <w:spacing w:val="-12"/>
        </w:rPr>
        <w:t>行大奖；是获得奖项最多的国内托管银行，优良的服务品质获得国内外金融领域的持续认可</w:t>
      </w:r>
      <w:r>
        <w:rPr>
          <w:spacing w:val="-6"/>
        </w:rPr>
        <w:t>和广泛好评。</w:t>
      </w:r>
    </w:p>
    <w:p>
      <w:pPr>
        <w:pStyle w:val="BodyText"/>
        <w:spacing w:line="268" w:lineRule="exact"/>
        <w:ind w:left="1260"/>
      </w:pPr>
      <w:r>
        <w:rPr/>
        <w:t>（四）基金托管人的内部控制制度</w:t>
      </w:r>
    </w:p>
    <w:p>
      <w:pPr>
        <w:spacing w:after="0" w:line="268" w:lineRule="exact"/>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firstLine="419"/>
        <w:jc w:val="both"/>
      </w:pPr>
      <w:r>
        <w:rPr>
          <w:spacing w:val="-8"/>
        </w:rPr>
        <w:t>中国工商银行资产托管部自成立以来，各项业务飞速发展，始终保持在资产托管行业的</w:t>
      </w:r>
      <w:r>
        <w:rPr>
          <w:spacing w:val="-12"/>
        </w:rPr>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spacing w:val="-8"/>
        </w:rPr>
        <w:t>项目全过程风险管理作为重要工作来做。从 </w:t>
      </w:r>
      <w:r>
        <w:rPr>
          <w:rFonts w:ascii="Times New Roman" w:hAnsi="Times New Roman" w:eastAsia="Times New Roman"/>
        </w:rPr>
        <w:t>2005 </w:t>
      </w:r>
      <w:r>
        <w:rPr>
          <w:spacing w:val="-3"/>
        </w:rPr>
        <w:t>年至今共十二次顺利通过评估组织内部控</w:t>
      </w:r>
      <w:r>
        <w:rPr>
          <w:spacing w:val="-6"/>
        </w:rPr>
        <w:t>制和安全措施最权威的 </w:t>
      </w:r>
      <w:r>
        <w:rPr>
          <w:rFonts w:ascii="Times New Roman" w:hAnsi="Times New Roman" w:eastAsia="Times New Roman"/>
        </w:rPr>
        <w:t>ISAE3402 </w:t>
      </w:r>
      <w:r>
        <w:rPr>
          <w:spacing w:val="-6"/>
        </w:rPr>
        <w:t>审阅，全部获得无保留意见的控制及有效性报告。充分表</w:t>
      </w:r>
      <w:r>
        <w:rPr>
          <w:spacing w:val="-9"/>
        </w:rPr>
        <w:t>明独立第三方对中国工商银行托管服务在风险管理、内部控制方面的健全性和有效性的全面认可</w:t>
      </w:r>
      <w:r>
        <w:rPr>
          <w:rFonts w:ascii="Times New Roman" w:hAnsi="Times New Roman" w:eastAsia="Times New Roman"/>
          <w:spacing w:val="-9"/>
        </w:rPr>
        <w:t>,</w:t>
      </w:r>
      <w:r>
        <w:rPr>
          <w:spacing w:val="-10"/>
        </w:rPr>
        <w:t>也证明中国工商银行托管服务的风险控制能力已经与国际大型托管银行接轨，达到国</w:t>
      </w:r>
      <w:r>
        <w:rPr>
          <w:spacing w:val="-3"/>
        </w:rPr>
        <w:t>际先进水平。目前，</w:t>
      </w:r>
      <w:r>
        <w:rPr>
          <w:rFonts w:ascii="Times New Roman" w:hAnsi="Times New Roman" w:eastAsia="Times New Roman"/>
        </w:rPr>
        <w:t>ISAE3402 </w:t>
      </w:r>
      <w:r>
        <w:rPr>
          <w:spacing w:val="-8"/>
        </w:rPr>
        <w:t>审阅已经成为年度化、常规化的内控工作手段。”</w:t>
      </w:r>
    </w:p>
    <w:p>
      <w:pPr>
        <w:pStyle w:val="BodyText"/>
        <w:spacing w:line="268" w:lineRule="exact"/>
        <w:ind w:left="1260"/>
      </w:pPr>
      <w:r>
        <w:rPr>
          <w:rFonts w:ascii="Times New Roman" w:eastAsia="Times New Roman"/>
        </w:rPr>
        <w:t>1</w:t>
      </w:r>
      <w:r>
        <w:rPr/>
        <w:t>、内部风险控制目标</w:t>
      </w:r>
    </w:p>
    <w:p>
      <w:pPr>
        <w:pStyle w:val="BodyText"/>
        <w:spacing w:before="7"/>
        <w:rPr>
          <w:sz w:val="15"/>
        </w:rPr>
      </w:pPr>
    </w:p>
    <w:p>
      <w:pPr>
        <w:pStyle w:val="BodyText"/>
        <w:spacing w:line="417" w:lineRule="auto"/>
        <w:ind w:left="840" w:right="797" w:firstLine="419"/>
      </w:pPr>
      <w:r>
        <w:rPr>
          <w:spacing w:val="-7"/>
        </w:rPr>
        <w:t>保证业务运作严格遵守国家有关法律法规和行业监管规则，强化和建立守法经营、规范</w:t>
      </w:r>
      <w:r>
        <w:rPr>
          <w:spacing w:val="-5"/>
        </w:rPr>
        <w:t>运作的经营思想和经营风格，形成一个运作规范化、管理科学化、监控制度化的内控体系； </w:t>
      </w:r>
      <w:r>
        <w:rPr>
          <w:spacing w:val="-10"/>
        </w:rPr>
        <w:t>防范和化解经营风险，保证托管资产的安全完整；维护持有人的权益；保障资产托管业务安</w:t>
      </w:r>
      <w:r>
        <w:rPr>
          <w:spacing w:val="-5"/>
        </w:rPr>
        <w:t>全、有效、稳健运行。</w:t>
      </w:r>
    </w:p>
    <w:p>
      <w:pPr>
        <w:pStyle w:val="BodyText"/>
        <w:spacing w:line="269" w:lineRule="exact"/>
        <w:ind w:left="1260"/>
      </w:pPr>
      <w:r>
        <w:rPr>
          <w:rFonts w:ascii="Times New Roman" w:eastAsia="Times New Roman"/>
        </w:rPr>
        <w:t>2</w:t>
      </w:r>
      <w:r>
        <w:rPr/>
        <w:t>、内部风险控制组织结构</w:t>
      </w:r>
    </w:p>
    <w:p>
      <w:pPr>
        <w:pStyle w:val="BodyText"/>
        <w:spacing w:before="7"/>
        <w:rPr>
          <w:sz w:val="15"/>
        </w:rPr>
      </w:pPr>
    </w:p>
    <w:p>
      <w:pPr>
        <w:pStyle w:val="BodyText"/>
        <w:spacing w:line="417" w:lineRule="auto"/>
        <w:ind w:left="840" w:right="797" w:firstLine="419"/>
      </w:pPr>
      <w:r>
        <w:rPr>
          <w:spacing w:val="-6"/>
        </w:rPr>
        <w:t>中国工商银行资产托管业务内部风险控制组织结构由中国工商银行稽核监察部门</w:t>
      </w:r>
      <w:r>
        <w:rPr/>
        <w:t>（</w:t>
      </w:r>
      <w:r>
        <w:rPr>
          <w:spacing w:val="-2"/>
        </w:rPr>
        <w:t>内控</w:t>
      </w:r>
      <w:r>
        <w:rPr>
          <w:spacing w:val="-3"/>
        </w:rPr>
        <w:t>合规部、内部审计局</w:t>
      </w:r>
      <w:r>
        <w:rPr>
          <w:spacing w:val="-106"/>
        </w:rPr>
        <w:t>）</w:t>
      </w:r>
      <w:r>
        <w:rPr>
          <w:spacing w:val="-3"/>
        </w:rPr>
        <w:t>、资产托管部内设风险控制处及资产托管部各业务处室共同组成。总行稽核监察部门负责制定全行风险管理政策，对各业务部门风险控制工作进行指导、监督。</w:t>
      </w:r>
      <w:r>
        <w:rPr>
          <w:spacing w:val="-7"/>
        </w:rPr>
        <w:t>资产托管部内部设置专门负责稽核监察工作的内部风险控制处，配备专职稽核监察人员，在</w:t>
      </w:r>
      <w:r>
        <w:rPr>
          <w:spacing w:val="-11"/>
        </w:rPr>
        <w:t>总经理的直接领导下，依照有关法律规章，对业务的运行独立行使稽核监察职权。各业务处</w:t>
      </w:r>
      <w:r>
        <w:rPr>
          <w:spacing w:val="-6"/>
        </w:rPr>
        <w:t>室在各自职责范围内实施具体的风险控制措施。</w:t>
      </w:r>
    </w:p>
    <w:p>
      <w:pPr>
        <w:pStyle w:val="BodyText"/>
        <w:spacing w:line="269" w:lineRule="exact"/>
        <w:ind w:left="1260"/>
      </w:pPr>
      <w:r>
        <w:rPr>
          <w:rFonts w:ascii="Times New Roman" w:eastAsia="Times New Roman"/>
        </w:rPr>
        <w:t>3</w:t>
      </w:r>
      <w:r>
        <w:rPr/>
        <w:t>、内部风险控制原则</w:t>
      </w:r>
    </w:p>
    <w:p>
      <w:pPr>
        <w:pStyle w:val="BodyText"/>
        <w:spacing w:before="6"/>
        <w:rPr>
          <w:sz w:val="15"/>
        </w:rPr>
      </w:pPr>
    </w:p>
    <w:p>
      <w:pPr>
        <w:pStyle w:val="ListParagraph"/>
        <w:numPr>
          <w:ilvl w:val="0"/>
          <w:numId w:val="13"/>
        </w:numPr>
        <w:tabs>
          <w:tab w:pos="1790" w:val="left" w:leader="none"/>
        </w:tabs>
        <w:spacing w:line="417" w:lineRule="auto" w:before="1" w:after="0"/>
        <w:ind w:left="840" w:right="894" w:firstLine="419"/>
        <w:jc w:val="left"/>
        <w:rPr>
          <w:sz w:val="21"/>
        </w:rPr>
      </w:pPr>
      <w:r>
        <w:rPr>
          <w:spacing w:val="-3"/>
          <w:sz w:val="21"/>
        </w:rPr>
        <w:t>合法性原则。内控制度应当符合国家法律法规及监管机构的监管要求，并贯穿于托管业务经营管理活动的始终。</w:t>
      </w:r>
    </w:p>
    <w:p>
      <w:pPr>
        <w:pStyle w:val="ListParagraph"/>
        <w:numPr>
          <w:ilvl w:val="0"/>
          <w:numId w:val="13"/>
        </w:numPr>
        <w:tabs>
          <w:tab w:pos="1790" w:val="left" w:leader="none"/>
        </w:tabs>
        <w:spacing w:line="417" w:lineRule="auto" w:before="0" w:after="0"/>
        <w:ind w:left="840" w:right="786" w:firstLine="419"/>
        <w:jc w:val="left"/>
        <w:rPr>
          <w:sz w:val="21"/>
        </w:rPr>
      </w:pPr>
      <w:r>
        <w:rPr>
          <w:spacing w:val="-9"/>
          <w:sz w:val="21"/>
        </w:rPr>
        <w:t>完整性原则。托管业务的各项经营管理活动都必须有相应的规范程序和监督制约 </w:t>
      </w:r>
      <w:r>
        <w:rPr>
          <w:spacing w:val="-6"/>
          <w:sz w:val="21"/>
        </w:rPr>
        <w:t>；监督制约应渗透到托管业务的全过程和各个操作环节，覆盖所有的部门、岗位和人员。</w:t>
      </w:r>
    </w:p>
    <w:p>
      <w:pPr>
        <w:pStyle w:val="ListParagraph"/>
        <w:numPr>
          <w:ilvl w:val="0"/>
          <w:numId w:val="13"/>
        </w:numPr>
        <w:tabs>
          <w:tab w:pos="1790" w:val="left" w:leader="none"/>
        </w:tabs>
        <w:spacing w:line="417" w:lineRule="auto" w:before="0" w:after="0"/>
        <w:ind w:left="840" w:right="894" w:firstLine="419"/>
        <w:jc w:val="left"/>
        <w:rPr>
          <w:sz w:val="21"/>
        </w:rPr>
      </w:pPr>
      <w:r>
        <w:rPr>
          <w:spacing w:val="-3"/>
          <w:sz w:val="21"/>
        </w:rPr>
        <w:t>及时性原则。托管业务经营活动必须在发生时能准确及时地记录；按照“内控优先”的原则，新设机构或新增业务品种时，必须做到已建立相关的规章制度。</w:t>
      </w:r>
    </w:p>
    <w:p>
      <w:pPr>
        <w:pStyle w:val="ListParagraph"/>
        <w:numPr>
          <w:ilvl w:val="0"/>
          <w:numId w:val="13"/>
        </w:numPr>
        <w:tabs>
          <w:tab w:pos="1790" w:val="left" w:leader="none"/>
        </w:tabs>
        <w:spacing w:line="417" w:lineRule="auto" w:before="0" w:after="0"/>
        <w:ind w:left="840" w:right="893" w:firstLine="419"/>
        <w:jc w:val="left"/>
        <w:rPr>
          <w:sz w:val="21"/>
        </w:rPr>
      </w:pPr>
      <w:r>
        <w:rPr>
          <w:spacing w:val="-3"/>
          <w:sz w:val="21"/>
        </w:rPr>
        <w:t>审慎性原则。各项业务经营活动必须防范风险，审慎经营，保证基金资产和其他委托资产的安全与完整。</w:t>
      </w:r>
    </w:p>
    <w:p>
      <w:pPr>
        <w:spacing w:after="0" w:line="417"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13"/>
        </w:numPr>
        <w:tabs>
          <w:tab w:pos="1790" w:val="left" w:leader="none"/>
        </w:tabs>
        <w:spacing w:line="417" w:lineRule="auto" w:before="78" w:after="0"/>
        <w:ind w:left="840" w:right="894" w:firstLine="419"/>
        <w:jc w:val="left"/>
        <w:rPr>
          <w:sz w:val="21"/>
        </w:rPr>
      </w:pPr>
      <w:r>
        <w:rPr>
          <w:spacing w:val="-3"/>
          <w:sz w:val="21"/>
        </w:rPr>
        <w:t>有效性原则。内控制度应根据国家政策、法律及经营管理的需要适时修改完善， 并保证得到全面落实执行，不得有任何空间、时限及人员的例外。</w:t>
      </w:r>
    </w:p>
    <w:p>
      <w:pPr>
        <w:pStyle w:val="ListParagraph"/>
        <w:numPr>
          <w:ilvl w:val="0"/>
          <w:numId w:val="13"/>
        </w:numPr>
        <w:tabs>
          <w:tab w:pos="1790" w:val="left" w:leader="none"/>
        </w:tabs>
        <w:spacing w:line="417" w:lineRule="auto" w:before="0" w:after="0"/>
        <w:ind w:left="840" w:right="788" w:firstLine="419"/>
        <w:jc w:val="left"/>
        <w:rPr>
          <w:sz w:val="21"/>
        </w:rPr>
      </w:pPr>
      <w:r>
        <w:rPr>
          <w:spacing w:val="-3"/>
          <w:sz w:val="21"/>
        </w:rPr>
        <w:t>独立性原则。设立专门履行托管人职责的管理部门；直接操作人员和控制人员必</w:t>
      </w:r>
      <w:r>
        <w:rPr>
          <w:spacing w:val="-16"/>
          <w:sz w:val="21"/>
        </w:rPr>
        <w:t>须相对独立，适当分离；内控制度的检查、评价部门必须独立于内控制度的制定和执行部门。</w:t>
      </w:r>
    </w:p>
    <w:p>
      <w:pPr>
        <w:pStyle w:val="BodyText"/>
        <w:spacing w:line="269" w:lineRule="exact"/>
        <w:ind w:left="1260"/>
      </w:pPr>
      <w:r>
        <w:rPr>
          <w:rFonts w:ascii="Times New Roman" w:eastAsia="Times New Roman"/>
        </w:rPr>
        <w:t>4</w:t>
      </w:r>
      <w:r>
        <w:rPr/>
        <w:t>、内部风险控制措施实施</w:t>
      </w:r>
    </w:p>
    <w:p>
      <w:pPr>
        <w:pStyle w:val="BodyText"/>
        <w:spacing w:before="6"/>
        <w:rPr>
          <w:sz w:val="15"/>
        </w:rPr>
      </w:pPr>
    </w:p>
    <w:p>
      <w:pPr>
        <w:pStyle w:val="ListParagraph"/>
        <w:numPr>
          <w:ilvl w:val="0"/>
          <w:numId w:val="14"/>
        </w:numPr>
        <w:tabs>
          <w:tab w:pos="1790" w:val="left" w:leader="none"/>
        </w:tabs>
        <w:spacing w:line="417" w:lineRule="auto" w:before="1" w:after="0"/>
        <w:ind w:left="840" w:right="797" w:firstLine="419"/>
        <w:jc w:val="left"/>
        <w:rPr>
          <w:sz w:val="21"/>
        </w:rPr>
      </w:pPr>
      <w:r>
        <w:rPr>
          <w:spacing w:val="-3"/>
          <w:sz w:val="21"/>
        </w:rPr>
        <w:t>严格的隔离制度。资产托管业务与传统业务实行严格分离，建立了明确的岗位职</w:t>
      </w:r>
      <w:r>
        <w:rPr>
          <w:spacing w:val="-11"/>
          <w:sz w:val="21"/>
        </w:rPr>
        <w:t>责、科学的业务流程、详细的操作手册、严格的人员行为规范等一系列规章制度，并采取了</w:t>
      </w:r>
      <w:r>
        <w:rPr>
          <w:spacing w:val="-6"/>
          <w:sz w:val="21"/>
        </w:rPr>
        <w:t>良好的防火墙隔离制度，能够确保资产独立、环境独立、人员独立、业务制度和管理独立、</w:t>
      </w:r>
      <w:r>
        <w:rPr>
          <w:spacing w:val="-4"/>
          <w:sz w:val="21"/>
        </w:rPr>
        <w:t>网络独立。</w:t>
      </w:r>
    </w:p>
    <w:p>
      <w:pPr>
        <w:pStyle w:val="ListParagraph"/>
        <w:numPr>
          <w:ilvl w:val="0"/>
          <w:numId w:val="14"/>
        </w:numPr>
        <w:tabs>
          <w:tab w:pos="1790" w:val="left" w:leader="none"/>
        </w:tabs>
        <w:spacing w:line="417" w:lineRule="auto" w:before="0" w:after="0"/>
        <w:ind w:left="840" w:right="891" w:firstLine="419"/>
        <w:jc w:val="both"/>
        <w:rPr>
          <w:sz w:val="21"/>
        </w:rPr>
      </w:pPr>
      <w:r>
        <w:rPr>
          <w:spacing w:val="-3"/>
          <w:sz w:val="21"/>
        </w:rPr>
        <w:t>高层检查。主管行领导与部门高级管理层作为工行托管业务政策和策略的制定者</w:t>
      </w:r>
      <w:r>
        <w:rPr>
          <w:spacing w:val="-11"/>
          <w:sz w:val="21"/>
        </w:rPr>
        <w:t>和管理者，要求下级部门及时报告经营管理情况和特别情况，以检查资产托管部在实现内部</w:t>
      </w:r>
      <w:r>
        <w:rPr>
          <w:spacing w:val="-6"/>
          <w:sz w:val="21"/>
        </w:rPr>
        <w:t>控制目标方面的进展，并根据检查情况提出内部控制措施，督促职能管理部门改进。</w:t>
      </w:r>
    </w:p>
    <w:p>
      <w:pPr>
        <w:pStyle w:val="ListParagraph"/>
        <w:numPr>
          <w:ilvl w:val="0"/>
          <w:numId w:val="14"/>
        </w:numPr>
        <w:tabs>
          <w:tab w:pos="1790" w:val="left" w:leader="none"/>
        </w:tabs>
        <w:spacing w:line="417" w:lineRule="auto" w:before="0" w:after="0"/>
        <w:ind w:left="840" w:right="891" w:firstLine="419"/>
        <w:jc w:val="both"/>
        <w:rPr>
          <w:sz w:val="21"/>
        </w:rPr>
      </w:pPr>
      <w:r>
        <w:rPr>
          <w:spacing w:val="-15"/>
          <w:sz w:val="21"/>
        </w:rPr>
        <w:t>人事控制。资产托管部严格落实岗位责任制，建立“自控防线”</w:t>
      </w:r>
      <w:r>
        <w:rPr>
          <w:spacing w:val="-46"/>
          <w:sz w:val="21"/>
        </w:rPr>
        <w:t>、“互控防线”、“ </w:t>
      </w:r>
      <w:r>
        <w:rPr>
          <w:spacing w:val="-11"/>
          <w:sz w:val="21"/>
        </w:rPr>
        <w:t>监控防线”三道控制防线，健全绩效考核和激励机制，树立“以人为本”的内控文化，增强</w:t>
      </w:r>
      <w:r>
        <w:rPr>
          <w:spacing w:val="-9"/>
          <w:sz w:val="21"/>
        </w:rPr>
        <w:t>员工的责任心和荣誉感，培育团队精神和核心竞争力。并通过进行定期、定向的业务与职业</w:t>
      </w:r>
      <w:r>
        <w:rPr>
          <w:spacing w:val="-6"/>
          <w:sz w:val="21"/>
        </w:rPr>
        <w:t>道德培训、签订承诺书，使员工树立风险防范与控制理念。</w:t>
      </w:r>
    </w:p>
    <w:p>
      <w:pPr>
        <w:pStyle w:val="ListParagraph"/>
        <w:numPr>
          <w:ilvl w:val="0"/>
          <w:numId w:val="14"/>
        </w:numPr>
        <w:tabs>
          <w:tab w:pos="1790" w:val="left" w:leader="none"/>
        </w:tabs>
        <w:spacing w:line="417" w:lineRule="auto" w:before="0" w:after="0"/>
        <w:ind w:left="840" w:right="894" w:firstLine="419"/>
        <w:jc w:val="left"/>
        <w:rPr>
          <w:sz w:val="21"/>
        </w:rPr>
      </w:pPr>
      <w:r>
        <w:rPr>
          <w:spacing w:val="-3"/>
          <w:sz w:val="21"/>
        </w:rPr>
        <w:t>经营控制。资产托管部通过制定计划、编制预算等方法开展各种业务营销活动、处理各项事务，从而有效地控制和配置组织资源，达到资源利用和效益最大化目的。</w:t>
      </w:r>
    </w:p>
    <w:p>
      <w:pPr>
        <w:pStyle w:val="ListParagraph"/>
        <w:numPr>
          <w:ilvl w:val="0"/>
          <w:numId w:val="14"/>
        </w:numPr>
        <w:tabs>
          <w:tab w:pos="1790" w:val="left" w:leader="none"/>
        </w:tabs>
        <w:spacing w:line="417" w:lineRule="auto" w:before="0" w:after="0"/>
        <w:ind w:left="840" w:right="891" w:firstLine="419"/>
        <w:jc w:val="both"/>
        <w:rPr>
          <w:sz w:val="21"/>
        </w:rPr>
      </w:pPr>
      <w:r>
        <w:rPr>
          <w:spacing w:val="-3"/>
          <w:sz w:val="21"/>
        </w:rPr>
        <w:t>内部风险管理。资产托管部通过稽核监察、风险评估等方式加强内部风险管理， </w:t>
      </w:r>
      <w:r>
        <w:rPr>
          <w:spacing w:val="-8"/>
          <w:sz w:val="21"/>
        </w:rPr>
        <w:t>定期或不定期地对业务运作状况进行检查、监控，指导业务部门进行风险识别、评估，制定</w:t>
      </w:r>
      <w:r>
        <w:rPr>
          <w:spacing w:val="-5"/>
          <w:sz w:val="21"/>
        </w:rPr>
        <w:t>并实施风险控制措施，排查风险隐患。</w:t>
      </w:r>
    </w:p>
    <w:p>
      <w:pPr>
        <w:pStyle w:val="ListParagraph"/>
        <w:numPr>
          <w:ilvl w:val="0"/>
          <w:numId w:val="14"/>
        </w:numPr>
        <w:tabs>
          <w:tab w:pos="1790" w:val="left" w:leader="none"/>
        </w:tabs>
        <w:spacing w:line="417" w:lineRule="auto" w:before="0" w:after="0"/>
        <w:ind w:left="840" w:right="893" w:firstLine="419"/>
        <w:jc w:val="left"/>
        <w:rPr>
          <w:sz w:val="21"/>
        </w:rPr>
      </w:pPr>
      <w:r>
        <w:rPr>
          <w:spacing w:val="-3"/>
          <w:sz w:val="21"/>
        </w:rPr>
        <w:t>数据安全控制。我们通过业务操作区相对独立、数据和传真加密、数据传输线路的冗余备份、监控设施的运用和保障等措施来保障数据安全。</w:t>
      </w:r>
    </w:p>
    <w:p>
      <w:pPr>
        <w:pStyle w:val="ListParagraph"/>
        <w:numPr>
          <w:ilvl w:val="0"/>
          <w:numId w:val="14"/>
        </w:numPr>
        <w:tabs>
          <w:tab w:pos="1790" w:val="left" w:leader="none"/>
        </w:tabs>
        <w:spacing w:line="417" w:lineRule="auto" w:before="0" w:after="0"/>
        <w:ind w:left="840" w:right="785" w:firstLine="419"/>
        <w:jc w:val="left"/>
        <w:rPr>
          <w:sz w:val="21"/>
        </w:rPr>
      </w:pPr>
      <w:r>
        <w:rPr>
          <w:spacing w:val="-3"/>
          <w:sz w:val="21"/>
        </w:rPr>
        <w:t>应急准备与响应。资产托管业务建立专门的灾难恢复中心，制定了基于数据、应</w:t>
      </w:r>
      <w:r>
        <w:rPr>
          <w:spacing w:val="-11"/>
          <w:sz w:val="21"/>
        </w:rPr>
        <w:t>用、操作、环境四个层面的完备的灾难恢复方案，并组织员工定期演练。为使演练更加接近</w:t>
      </w:r>
      <w:r>
        <w:rPr>
          <w:spacing w:val="-24"/>
          <w:sz w:val="21"/>
        </w:rPr>
        <w:t>实战，资产托管部不断提高演练标准，从最初的按照预订时间演练发展到现在的“随机演练”。</w:t>
      </w:r>
      <w:r>
        <w:rPr>
          <w:spacing w:val="-8"/>
          <w:sz w:val="21"/>
        </w:rPr>
        <w:t>从演练结果看，资产托管部完全有能力在发生灾难的情况下两个小时内恢复业务。</w:t>
      </w:r>
    </w:p>
    <w:p>
      <w:pPr>
        <w:pStyle w:val="BodyText"/>
        <w:spacing w:line="268" w:lineRule="exact"/>
        <w:ind w:left="1260"/>
      </w:pPr>
      <w:r>
        <w:rPr>
          <w:rFonts w:ascii="Times New Roman" w:eastAsia="Times New Roman"/>
        </w:rPr>
        <w:t>5</w:t>
      </w:r>
      <w:r>
        <w:rPr/>
        <w:t>、资产托管部内部风险控制情况</w:t>
      </w:r>
    </w:p>
    <w:p>
      <w:pPr>
        <w:pStyle w:val="ListParagraph"/>
        <w:numPr>
          <w:ilvl w:val="0"/>
          <w:numId w:val="15"/>
        </w:numPr>
        <w:tabs>
          <w:tab w:pos="1790" w:val="left" w:leader="none"/>
        </w:tabs>
        <w:spacing w:line="417" w:lineRule="auto" w:before="197" w:after="0"/>
        <w:ind w:left="840" w:right="891" w:firstLine="419"/>
        <w:jc w:val="left"/>
        <w:rPr>
          <w:sz w:val="21"/>
        </w:rPr>
      </w:pPr>
      <w:r>
        <w:rPr>
          <w:spacing w:val="-3"/>
          <w:sz w:val="21"/>
        </w:rPr>
        <w:t>资产托管部内部设置专职稽核监察部门，配备专职稽核监察人员，在总经理的直</w:t>
      </w:r>
      <w:r>
        <w:rPr>
          <w:spacing w:val="-11"/>
          <w:sz w:val="21"/>
        </w:rPr>
        <w:t>接领导下，依照有关法律规章，全面贯彻落实全程监控思想，确保资产托管业务健康、稳定</w:t>
      </w:r>
    </w:p>
    <w:p>
      <w:pPr>
        <w:spacing w:after="0" w:line="417" w:lineRule="auto"/>
        <w:jc w:val="left"/>
        <w:rPr>
          <w:sz w:val="21"/>
        </w:rPr>
        <w:sectPr>
          <w:pgSz w:w="11910" w:h="16840"/>
          <w:pgMar w:header="877" w:footer="995" w:top="1100" w:bottom="1180" w:left="960" w:right="900"/>
        </w:sectPr>
      </w:pPr>
    </w:p>
    <w:p>
      <w:pPr>
        <w:pStyle w:val="BodyText"/>
        <w:spacing w:before="4"/>
        <w:rPr>
          <w:sz w:val="27"/>
        </w:rPr>
      </w:pPr>
    </w:p>
    <w:p>
      <w:pPr>
        <w:pStyle w:val="BodyText"/>
        <w:spacing w:before="71"/>
        <w:ind w:left="840"/>
      </w:pPr>
      <w:r>
        <w:rPr/>
        <w:t>地发展。</w:t>
      </w:r>
    </w:p>
    <w:p>
      <w:pPr>
        <w:pStyle w:val="BodyText"/>
        <w:spacing w:before="7"/>
        <w:rPr>
          <w:sz w:val="15"/>
        </w:rPr>
      </w:pPr>
    </w:p>
    <w:p>
      <w:pPr>
        <w:pStyle w:val="ListParagraph"/>
        <w:numPr>
          <w:ilvl w:val="0"/>
          <w:numId w:val="15"/>
        </w:numPr>
        <w:tabs>
          <w:tab w:pos="1790" w:val="left" w:leader="none"/>
        </w:tabs>
        <w:spacing w:line="417" w:lineRule="auto" w:before="0" w:after="0"/>
        <w:ind w:left="840" w:right="891" w:firstLine="419"/>
        <w:jc w:val="both"/>
        <w:rPr>
          <w:sz w:val="21"/>
        </w:rPr>
      </w:pPr>
      <w:r>
        <w:rPr>
          <w:spacing w:val="-3"/>
          <w:sz w:val="21"/>
        </w:rPr>
        <w:t>完善组织结构，实施全员风险管理。完善的风险管理体系需要从上至下每个员工</w:t>
      </w:r>
      <w:r>
        <w:rPr>
          <w:spacing w:val="-11"/>
          <w:sz w:val="21"/>
        </w:rPr>
        <w:t>的共同参与，只有这样，风险控制制度和措施才会全面、有效。资产托管部实施全员风险管理，将风险控制责任落实到具体业务部门和业务岗位，每位员工对自己岗位职责范围内的风</w:t>
      </w:r>
      <w:r>
        <w:rPr>
          <w:spacing w:val="-12"/>
          <w:sz w:val="21"/>
        </w:rPr>
        <w:t>险负责，通过建立纵向双人制、横向多部门制的内部组织结构，形成不同部门、不同岗位相</w:t>
      </w:r>
      <w:r>
        <w:rPr>
          <w:spacing w:val="-6"/>
          <w:sz w:val="21"/>
        </w:rPr>
        <w:t>互制衡的组织结构。</w:t>
      </w:r>
    </w:p>
    <w:p>
      <w:pPr>
        <w:pStyle w:val="ListParagraph"/>
        <w:numPr>
          <w:ilvl w:val="0"/>
          <w:numId w:val="15"/>
        </w:numPr>
        <w:tabs>
          <w:tab w:pos="1790" w:val="left" w:leader="none"/>
        </w:tabs>
        <w:spacing w:line="417" w:lineRule="auto" w:before="0" w:after="0"/>
        <w:ind w:left="840" w:right="891" w:firstLine="419"/>
        <w:jc w:val="both"/>
        <w:rPr>
          <w:sz w:val="21"/>
        </w:rPr>
      </w:pPr>
      <w:r>
        <w:rPr>
          <w:spacing w:val="-3"/>
          <w:sz w:val="21"/>
        </w:rPr>
        <w:t>建立健全规章制度。资产托管部十分重视内控制度的建设，一贯坚持把风险防范</w:t>
      </w:r>
      <w:r>
        <w:rPr>
          <w:spacing w:val="-7"/>
          <w:sz w:val="21"/>
        </w:rPr>
        <w:t>和控制的理念和方法融入岗位职责、制度建设和工作流程中。经过多年努力，资产托管部已</w:t>
      </w:r>
      <w:r>
        <w:rPr>
          <w:spacing w:val="-11"/>
          <w:sz w:val="21"/>
        </w:rPr>
        <w:t>经建立了一整套内部风险控制制度，包括：岗位职责、业务操作流程、稽核监察制度、信息</w:t>
      </w:r>
      <w:r>
        <w:rPr>
          <w:spacing w:val="-12"/>
          <w:sz w:val="21"/>
        </w:rPr>
        <w:t>披露制度等，覆盖所有部门和岗位，渗透各项业务过程，形成各个业务环节之间的相互制约机制。</w:t>
      </w:r>
    </w:p>
    <w:p>
      <w:pPr>
        <w:pStyle w:val="ListParagraph"/>
        <w:numPr>
          <w:ilvl w:val="0"/>
          <w:numId w:val="15"/>
        </w:numPr>
        <w:tabs>
          <w:tab w:pos="1790" w:val="left" w:leader="none"/>
        </w:tabs>
        <w:spacing w:line="417" w:lineRule="auto" w:before="0" w:after="0"/>
        <w:ind w:left="840" w:right="891" w:firstLine="419"/>
        <w:jc w:val="both"/>
        <w:rPr>
          <w:sz w:val="21"/>
        </w:rPr>
      </w:pPr>
      <w:r>
        <w:rPr>
          <w:spacing w:val="-3"/>
          <w:sz w:val="21"/>
        </w:rPr>
        <w:t>内部风险控制始终是托管部工作重点之一，保持与业务发展同等地位。资产托管</w:t>
      </w:r>
      <w:r>
        <w:rPr>
          <w:spacing w:val="-8"/>
          <w:sz w:val="21"/>
        </w:rPr>
        <w:t>业务是商业银行新兴的中间业务，资产托管部从成立之日起就特别强调规范运作，一直将建</w:t>
      </w:r>
      <w:r>
        <w:rPr>
          <w:spacing w:val="-12"/>
          <w:sz w:val="21"/>
        </w:rPr>
        <w:t>立一个系统、高效的风险防范和控制体系作为工作重点。随着市场环境的变化和托管业务的</w:t>
      </w:r>
      <w:r>
        <w:rPr>
          <w:spacing w:val="-13"/>
          <w:sz w:val="21"/>
        </w:rPr>
        <w:t>快速发展，新问题、新情况不断出现，资产托管部始终将风险管理放在与业务发展同等重要</w:t>
      </w:r>
      <w:r>
        <w:rPr>
          <w:spacing w:val="-6"/>
          <w:sz w:val="21"/>
        </w:rPr>
        <w:t>的位置，视风险防范和控制为托管业务生存和发展的生命线。</w:t>
      </w:r>
    </w:p>
    <w:p>
      <w:pPr>
        <w:pStyle w:val="BodyText"/>
        <w:spacing w:line="269" w:lineRule="exact"/>
        <w:ind w:left="1260"/>
      </w:pPr>
      <w:r>
        <w:rPr/>
        <w:t>（五）基金托管人对基金管理人运作基金进行监督的方法和程序</w:t>
      </w:r>
    </w:p>
    <w:p>
      <w:pPr>
        <w:pStyle w:val="BodyText"/>
        <w:spacing w:before="6"/>
        <w:rPr>
          <w:sz w:val="15"/>
        </w:rPr>
      </w:pPr>
    </w:p>
    <w:p>
      <w:pPr>
        <w:pStyle w:val="BodyText"/>
        <w:spacing w:line="417" w:lineRule="auto"/>
        <w:ind w:left="840" w:right="891" w:firstLine="419"/>
        <w:jc w:val="both"/>
      </w:pPr>
      <w:r>
        <w:rPr>
          <w:spacing w:val="-12"/>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w:t>
      </w:r>
      <w:r>
        <w:rPr>
          <w:spacing w:val="-6"/>
        </w:rPr>
        <w:t>对基金的投资比例的监督和核查自基金合同生效之后六个月开始。</w:t>
      </w:r>
    </w:p>
    <w:p>
      <w:pPr>
        <w:pStyle w:val="BodyText"/>
        <w:spacing w:line="417" w:lineRule="auto"/>
        <w:ind w:left="840" w:right="891" w:firstLine="419"/>
        <w:jc w:val="both"/>
      </w:pPr>
      <w:r>
        <w:rPr>
          <w:spacing w:val="-9"/>
        </w:rPr>
        <w:t>基金托管人发现基金管理人违反《基金法》、基金合同、基金托管协议或有关基金法律</w:t>
      </w:r>
      <w:r>
        <w:rPr>
          <w:spacing w:val="-12"/>
        </w:rPr>
        <w:t>法规规定的行为，应及时以书面形式通知基金管理人限期纠正，基金管理人收到通知后应及</w:t>
      </w:r>
      <w:r>
        <w:rPr>
          <w:spacing w:val="-11"/>
        </w:rPr>
        <w:t>时核对，并以书面形式对基金托管人发出回函确认。在限期内，基金托管人有权随时对通知</w:t>
      </w:r>
      <w:r>
        <w:rPr>
          <w:spacing w:val="-13"/>
        </w:rPr>
        <w:t>事项进行复查，督促基金管理人改正。基金管理人对基金托管人通知的违规事项未能在限期</w:t>
      </w:r>
      <w:r>
        <w:rPr>
          <w:spacing w:val="-6"/>
        </w:rPr>
        <w:t>内纠正的，基金托管人应报告中国证监会。</w:t>
      </w:r>
    </w:p>
    <w:p>
      <w:pPr>
        <w:pStyle w:val="BodyText"/>
        <w:spacing w:line="417" w:lineRule="auto"/>
        <w:ind w:left="840" w:right="891" w:firstLine="419"/>
      </w:pPr>
      <w:r>
        <w:rPr>
          <w:spacing w:val="-8"/>
        </w:rPr>
        <w:t>基金托管人发现基金管理人有重大违规行为，应立即报告中国证监会，同时通知基金管</w:t>
      </w:r>
      <w:r>
        <w:rPr>
          <w:spacing w:val="-5"/>
        </w:rPr>
        <w:t>理人限期纠正。</w:t>
      </w:r>
    </w:p>
    <w:p>
      <w:pPr>
        <w:pStyle w:val="BodyText"/>
        <w:ind w:left="1260"/>
      </w:pPr>
      <w:r>
        <w:rPr/>
        <w:t>（六）基金托管人的权利与义务</w:t>
      </w:r>
    </w:p>
    <w:p>
      <w:pPr>
        <w:spacing w:after="0"/>
        <w:sectPr>
          <w:pgSz w:w="11910" w:h="16840"/>
          <w:pgMar w:header="877" w:footer="995" w:top="1100" w:bottom="1180" w:left="960" w:right="900"/>
        </w:sectPr>
      </w:pPr>
    </w:p>
    <w:p>
      <w:pPr>
        <w:pStyle w:val="BodyText"/>
        <w:spacing w:before="10"/>
        <w:rPr>
          <w:sz w:val="26"/>
        </w:rPr>
      </w:pPr>
    </w:p>
    <w:p>
      <w:pPr>
        <w:pStyle w:val="BodyText"/>
        <w:spacing w:before="78"/>
        <w:ind w:left="1260"/>
      </w:pPr>
      <w:r>
        <w:rPr>
          <w:rFonts w:ascii="Times New Roman" w:eastAsia="Times New Roman"/>
        </w:rPr>
        <w:t>1</w:t>
      </w:r>
      <w:r>
        <w:rPr/>
        <w:t>、根据《基金法》、《运作办法》及其他有关规定，基金托管人的权利包括但不限于：</w:t>
      </w:r>
    </w:p>
    <w:p>
      <w:pPr>
        <w:pStyle w:val="BodyText"/>
        <w:spacing w:before="7"/>
        <w:rPr>
          <w:sz w:val="15"/>
        </w:rPr>
      </w:pPr>
    </w:p>
    <w:p>
      <w:pPr>
        <w:pStyle w:val="ListParagraph"/>
        <w:numPr>
          <w:ilvl w:val="0"/>
          <w:numId w:val="16"/>
        </w:numPr>
        <w:tabs>
          <w:tab w:pos="1790" w:val="left" w:leader="none"/>
        </w:tabs>
        <w:spacing w:line="417" w:lineRule="auto" w:before="0" w:after="0"/>
        <w:ind w:left="840" w:right="894" w:firstLine="419"/>
        <w:jc w:val="left"/>
        <w:rPr>
          <w:sz w:val="21"/>
        </w:rPr>
      </w:pPr>
      <w:r>
        <w:rPr>
          <w:spacing w:val="-3"/>
          <w:sz w:val="21"/>
        </w:rPr>
        <w:t>自《基金合同》生效之日起，依法律法规和《基金合同》的规定安全保管基金财产；</w:t>
      </w:r>
    </w:p>
    <w:p>
      <w:pPr>
        <w:pStyle w:val="ListParagraph"/>
        <w:numPr>
          <w:ilvl w:val="0"/>
          <w:numId w:val="16"/>
        </w:numPr>
        <w:tabs>
          <w:tab w:pos="1790" w:val="left" w:leader="none"/>
        </w:tabs>
        <w:spacing w:line="417" w:lineRule="auto" w:before="0" w:after="0"/>
        <w:ind w:left="840" w:right="894" w:firstLine="419"/>
        <w:jc w:val="left"/>
        <w:rPr>
          <w:sz w:val="21"/>
        </w:rPr>
      </w:pPr>
      <w:r>
        <w:rPr>
          <w:spacing w:val="-3"/>
          <w:sz w:val="21"/>
        </w:rPr>
        <w:t>依《基金合同》约定获得基金托管费以及法律法规规定或监管部门批准的其他收入；</w:t>
      </w:r>
    </w:p>
    <w:p>
      <w:pPr>
        <w:pStyle w:val="ListParagraph"/>
        <w:numPr>
          <w:ilvl w:val="0"/>
          <w:numId w:val="16"/>
        </w:numPr>
        <w:tabs>
          <w:tab w:pos="1790" w:val="left" w:leader="none"/>
        </w:tabs>
        <w:spacing w:line="417" w:lineRule="auto" w:before="0" w:after="0"/>
        <w:ind w:left="840" w:right="89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16"/>
        </w:numPr>
        <w:tabs>
          <w:tab w:pos="1790" w:val="left" w:leader="none"/>
        </w:tabs>
        <w:spacing w:line="417" w:lineRule="auto" w:before="0" w:after="0"/>
        <w:ind w:left="840" w:right="893" w:firstLine="419"/>
        <w:jc w:val="left"/>
        <w:rPr>
          <w:sz w:val="21"/>
        </w:rPr>
      </w:pPr>
      <w:r>
        <w:rPr>
          <w:spacing w:val="-3"/>
          <w:sz w:val="21"/>
        </w:rPr>
        <w:t>以基金托管人和基金联名的方式在中国证券登记结算有限公司上海分公司和深圳分公司开设证券账户；</w:t>
      </w:r>
    </w:p>
    <w:p>
      <w:pPr>
        <w:pStyle w:val="ListParagraph"/>
        <w:numPr>
          <w:ilvl w:val="0"/>
          <w:numId w:val="16"/>
        </w:numPr>
        <w:tabs>
          <w:tab w:pos="1790" w:val="left" w:leader="none"/>
        </w:tabs>
        <w:spacing w:line="269" w:lineRule="exact" w:before="0" w:after="0"/>
        <w:ind w:left="1789" w:right="0" w:hanging="530"/>
        <w:jc w:val="left"/>
        <w:rPr>
          <w:sz w:val="21"/>
        </w:rPr>
      </w:pPr>
      <w:r>
        <w:rPr>
          <w:spacing w:val="-3"/>
          <w:sz w:val="21"/>
        </w:rPr>
        <w:t>以基金托管人名义开立证券交易资金账户，用于证券交易资金清算；</w:t>
      </w:r>
    </w:p>
    <w:p>
      <w:pPr>
        <w:pStyle w:val="BodyText"/>
        <w:spacing w:before="6"/>
        <w:rPr>
          <w:sz w:val="15"/>
        </w:rPr>
      </w:pPr>
    </w:p>
    <w:p>
      <w:pPr>
        <w:pStyle w:val="ListParagraph"/>
        <w:numPr>
          <w:ilvl w:val="0"/>
          <w:numId w:val="16"/>
        </w:numPr>
        <w:tabs>
          <w:tab w:pos="1790" w:val="left" w:leader="none"/>
        </w:tabs>
        <w:spacing w:line="417" w:lineRule="auto" w:before="0" w:after="0"/>
        <w:ind w:left="840" w:right="894" w:firstLine="419"/>
        <w:jc w:val="left"/>
        <w:rPr>
          <w:sz w:val="21"/>
        </w:rPr>
      </w:pPr>
      <w:r>
        <w:rPr>
          <w:spacing w:val="-3"/>
          <w:sz w:val="21"/>
        </w:rPr>
        <w:t>以基金的名义在中央国债登记结算有限公司开设银行间债券托管账户，负责基金投资债券的后台匹配及资金的清算；</w:t>
      </w:r>
    </w:p>
    <w:p>
      <w:pPr>
        <w:pStyle w:val="ListParagraph"/>
        <w:numPr>
          <w:ilvl w:val="0"/>
          <w:numId w:val="16"/>
        </w:numPr>
        <w:tabs>
          <w:tab w:pos="1790" w:val="left" w:leader="none"/>
        </w:tabs>
        <w:spacing w:line="269" w:lineRule="exact" w:before="0" w:after="0"/>
        <w:ind w:left="1789" w:right="0" w:hanging="530"/>
        <w:jc w:val="left"/>
        <w:rPr>
          <w:sz w:val="21"/>
        </w:rPr>
      </w:pPr>
      <w:r>
        <w:rPr>
          <w:spacing w:val="-3"/>
          <w:sz w:val="21"/>
        </w:rPr>
        <w:t>提议召开或召集基金份额持有人大会；</w:t>
      </w:r>
    </w:p>
    <w:p>
      <w:pPr>
        <w:pStyle w:val="BodyText"/>
        <w:spacing w:before="7"/>
        <w:rPr>
          <w:sz w:val="15"/>
        </w:rPr>
      </w:pPr>
    </w:p>
    <w:p>
      <w:pPr>
        <w:pStyle w:val="ListParagraph"/>
        <w:numPr>
          <w:ilvl w:val="0"/>
          <w:numId w:val="16"/>
        </w:numPr>
        <w:tabs>
          <w:tab w:pos="1790" w:val="left" w:leader="none"/>
        </w:tabs>
        <w:spacing w:line="240" w:lineRule="auto" w:before="0" w:after="0"/>
        <w:ind w:left="1789" w:right="0" w:hanging="530"/>
        <w:jc w:val="left"/>
        <w:rPr>
          <w:sz w:val="21"/>
        </w:rPr>
      </w:pPr>
      <w:r>
        <w:rPr>
          <w:spacing w:val="-3"/>
          <w:sz w:val="21"/>
        </w:rPr>
        <w:t>在基金管理人更换时，提名新的基金管理人；</w:t>
      </w:r>
    </w:p>
    <w:p>
      <w:pPr>
        <w:pStyle w:val="BodyText"/>
        <w:spacing w:before="7"/>
        <w:rPr>
          <w:sz w:val="15"/>
        </w:rPr>
      </w:pPr>
    </w:p>
    <w:p>
      <w:pPr>
        <w:pStyle w:val="ListParagraph"/>
        <w:numPr>
          <w:ilvl w:val="0"/>
          <w:numId w:val="16"/>
        </w:numPr>
        <w:tabs>
          <w:tab w:pos="1790" w:val="left" w:leader="none"/>
        </w:tabs>
        <w:spacing w:line="240" w:lineRule="auto" w:before="0" w:after="0"/>
        <w:ind w:left="1789" w:right="0" w:hanging="530"/>
        <w:jc w:val="left"/>
        <w:rPr>
          <w:sz w:val="21"/>
        </w:rPr>
      </w:pPr>
      <w:r>
        <w:rPr>
          <w:spacing w:val="-3"/>
          <w:sz w:val="21"/>
        </w:rPr>
        <w:t>法律法规和《基金合同》规定的其他权利。</w:t>
      </w:r>
    </w:p>
    <w:p>
      <w:pPr>
        <w:pStyle w:val="BodyText"/>
        <w:spacing w:before="7"/>
        <w:rPr>
          <w:sz w:val="15"/>
        </w:rPr>
      </w:pPr>
    </w:p>
    <w:p>
      <w:pPr>
        <w:pStyle w:val="BodyText"/>
        <w:ind w:left="1260"/>
      </w:pPr>
      <w:r>
        <w:rPr>
          <w:rFonts w:ascii="Times New Roman" w:eastAsia="Times New Roman"/>
        </w:rPr>
        <w:t>2</w:t>
      </w:r>
      <w:r>
        <w:rPr/>
        <w:t>、根据《基金法》、《运作办法》及其他有关规定，基金托管人的义务包括但不限于：</w:t>
      </w:r>
    </w:p>
    <w:p>
      <w:pPr>
        <w:pStyle w:val="BodyText"/>
        <w:spacing w:before="6"/>
        <w:rPr>
          <w:sz w:val="15"/>
        </w:rPr>
      </w:pPr>
    </w:p>
    <w:p>
      <w:pPr>
        <w:pStyle w:val="ListParagraph"/>
        <w:numPr>
          <w:ilvl w:val="0"/>
          <w:numId w:val="17"/>
        </w:numPr>
        <w:tabs>
          <w:tab w:pos="1790" w:val="left" w:leader="none"/>
        </w:tabs>
        <w:spacing w:line="240" w:lineRule="auto" w:before="0" w:after="0"/>
        <w:ind w:left="178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17"/>
        </w:numPr>
        <w:tabs>
          <w:tab w:pos="1790" w:val="left" w:leader="none"/>
        </w:tabs>
        <w:spacing w:line="417" w:lineRule="auto" w:before="0" w:after="0"/>
        <w:ind w:left="840" w:right="893"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17"/>
        </w:numPr>
        <w:tabs>
          <w:tab w:pos="1790" w:val="left" w:leader="none"/>
        </w:tabs>
        <w:spacing w:line="417" w:lineRule="auto" w:before="0" w:after="0"/>
        <w:ind w:left="840" w:right="797"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所托管的不同的基金分别设置账户，独立核算，分账管理，保证不同基金之间在名册登记、</w:t>
      </w:r>
      <w:r>
        <w:rPr>
          <w:spacing w:val="-4"/>
          <w:sz w:val="21"/>
        </w:rPr>
        <w:t>账户设置、资金划拨、账册记录等方面相互独立；</w:t>
      </w:r>
    </w:p>
    <w:p>
      <w:pPr>
        <w:pStyle w:val="ListParagraph"/>
        <w:numPr>
          <w:ilvl w:val="0"/>
          <w:numId w:val="17"/>
        </w:numPr>
        <w:tabs>
          <w:tab w:pos="1790" w:val="left" w:leader="none"/>
        </w:tabs>
        <w:spacing w:line="417" w:lineRule="auto" w:before="0" w:after="0"/>
        <w:ind w:left="840" w:right="89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17"/>
        </w:numPr>
        <w:tabs>
          <w:tab w:pos="1790" w:val="left" w:leader="none"/>
        </w:tabs>
        <w:spacing w:line="269" w:lineRule="exact" w:before="0" w:after="0"/>
        <w:ind w:left="178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17"/>
        </w:numPr>
        <w:tabs>
          <w:tab w:pos="1790" w:val="left" w:leader="none"/>
        </w:tabs>
        <w:spacing w:line="417" w:lineRule="auto" w:before="1" w:after="0"/>
        <w:ind w:left="840" w:right="894" w:firstLine="419"/>
        <w:jc w:val="left"/>
        <w:rPr>
          <w:sz w:val="21"/>
        </w:rPr>
      </w:pPr>
      <w:r>
        <w:rPr>
          <w:spacing w:val="-3"/>
          <w:sz w:val="21"/>
        </w:rPr>
        <w:t>按规定开设基金财产的资金账户和证券账户，按照《基金合同》的约定，根据基金管理人的投资指令，及时办理清算、交割事宜；</w:t>
      </w:r>
    </w:p>
    <w:p>
      <w:pPr>
        <w:pStyle w:val="ListParagraph"/>
        <w:numPr>
          <w:ilvl w:val="0"/>
          <w:numId w:val="17"/>
        </w:numPr>
        <w:tabs>
          <w:tab w:pos="1790" w:val="left" w:leader="none"/>
        </w:tabs>
        <w:spacing w:line="240" w:lineRule="auto" w:before="0" w:after="0"/>
        <w:ind w:left="1789" w:right="0" w:hanging="530"/>
        <w:jc w:val="left"/>
        <w:rPr>
          <w:sz w:val="21"/>
        </w:rPr>
      </w:pPr>
      <w:r>
        <w:rPr>
          <w:spacing w:val="-16"/>
          <w:sz w:val="21"/>
        </w:rPr>
        <w:t>保守基金商业秘密，除《基金法》、《基金合同》及其他有关规定另有规定外，在</w:t>
      </w:r>
    </w:p>
    <w:p>
      <w:pPr>
        <w:spacing w:after="0" w:line="240" w:lineRule="auto"/>
        <w:jc w:val="left"/>
        <w:rPr>
          <w:sz w:val="21"/>
        </w:rPr>
        <w:sectPr>
          <w:pgSz w:w="11910" w:h="16840"/>
          <w:pgMar w:header="877" w:footer="995" w:top="1100" w:bottom="1180" w:left="960" w:right="900"/>
        </w:sectPr>
      </w:pPr>
    </w:p>
    <w:p>
      <w:pPr>
        <w:pStyle w:val="BodyText"/>
        <w:spacing w:before="4"/>
        <w:rPr>
          <w:sz w:val="27"/>
        </w:rPr>
      </w:pPr>
    </w:p>
    <w:p>
      <w:pPr>
        <w:pStyle w:val="BodyText"/>
        <w:spacing w:before="71"/>
        <w:ind w:left="840"/>
      </w:pPr>
      <w:r>
        <w:rPr/>
        <w:t>基金信息公开披露前予以保密，不得向他人泄露；</w:t>
      </w:r>
    </w:p>
    <w:p>
      <w:pPr>
        <w:pStyle w:val="BodyText"/>
        <w:spacing w:before="7"/>
        <w:rPr>
          <w:sz w:val="15"/>
        </w:rPr>
      </w:pPr>
    </w:p>
    <w:p>
      <w:pPr>
        <w:pStyle w:val="ListParagraph"/>
        <w:numPr>
          <w:ilvl w:val="0"/>
          <w:numId w:val="17"/>
        </w:numPr>
        <w:tabs>
          <w:tab w:pos="1790" w:val="left" w:leader="none"/>
        </w:tabs>
        <w:spacing w:line="417" w:lineRule="auto" w:before="0" w:after="0"/>
        <w:ind w:left="840" w:right="893" w:firstLine="419"/>
        <w:jc w:val="left"/>
        <w:rPr>
          <w:sz w:val="21"/>
        </w:rPr>
      </w:pPr>
      <w:r>
        <w:rPr>
          <w:spacing w:val="-3"/>
          <w:sz w:val="21"/>
        </w:rPr>
        <w:t>复核、审查基金管理人计算的基金资产净值、基金份额净值、基金份额申购、赎回价格；</w:t>
      </w:r>
    </w:p>
    <w:p>
      <w:pPr>
        <w:pStyle w:val="ListParagraph"/>
        <w:numPr>
          <w:ilvl w:val="0"/>
          <w:numId w:val="17"/>
        </w:numPr>
        <w:tabs>
          <w:tab w:pos="1790" w:val="left" w:leader="none"/>
        </w:tabs>
        <w:spacing w:line="269" w:lineRule="exact" w:before="0" w:after="0"/>
        <w:ind w:left="178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17"/>
        </w:numPr>
        <w:tabs>
          <w:tab w:pos="1895" w:val="left" w:leader="none"/>
        </w:tabs>
        <w:spacing w:line="417" w:lineRule="auto" w:before="0" w:after="0"/>
        <w:ind w:left="840" w:right="891" w:firstLine="419"/>
        <w:jc w:val="both"/>
        <w:rPr>
          <w:sz w:val="21"/>
        </w:rPr>
      </w:pPr>
      <w:r>
        <w:rPr>
          <w:spacing w:val="-9"/>
          <w:sz w:val="21"/>
        </w:rPr>
        <w:t>对基金财务会计报告、季度报告、中期报告和年度报告出具意见，说明基金管 </w:t>
      </w:r>
      <w:r>
        <w:rPr>
          <w:spacing w:val="-19"/>
          <w:sz w:val="21"/>
        </w:rPr>
        <w:t>理人在各重要方面的运作是否严格按照《基金合同》的规定进行；如果基金管理人有未执行《</w:t>
      </w:r>
      <w:r>
        <w:rPr>
          <w:spacing w:val="-3"/>
          <w:sz w:val="21"/>
        </w:rPr>
        <w:t>基金合同》规定的行为，还应当说明基金托管人是否采取了适当的措施；</w:t>
      </w:r>
    </w:p>
    <w:p>
      <w:pPr>
        <w:pStyle w:val="ListParagraph"/>
        <w:numPr>
          <w:ilvl w:val="0"/>
          <w:numId w:val="17"/>
        </w:numPr>
        <w:tabs>
          <w:tab w:pos="1886" w:val="left" w:leader="none"/>
        </w:tabs>
        <w:spacing w:line="240" w:lineRule="auto" w:before="0" w:after="0"/>
        <w:ind w:left="188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2"/>
          <w:sz w:val="21"/>
        </w:rPr>
        <w:t> </w:t>
      </w:r>
      <w:r>
        <w:rPr>
          <w:spacing w:val="-3"/>
          <w:sz w:val="21"/>
        </w:rPr>
        <w:t>年以上；</w:t>
      </w:r>
    </w:p>
    <w:p>
      <w:pPr>
        <w:pStyle w:val="BodyText"/>
        <w:spacing w:before="7"/>
        <w:rPr>
          <w:sz w:val="15"/>
        </w:rPr>
      </w:pPr>
    </w:p>
    <w:p>
      <w:pPr>
        <w:pStyle w:val="ListParagraph"/>
        <w:numPr>
          <w:ilvl w:val="0"/>
          <w:numId w:val="17"/>
        </w:numPr>
        <w:tabs>
          <w:tab w:pos="1895" w:val="left" w:leader="none"/>
        </w:tabs>
        <w:spacing w:line="240" w:lineRule="auto" w:before="0" w:after="0"/>
        <w:ind w:left="1895" w:right="0" w:hanging="635"/>
        <w:jc w:val="left"/>
        <w:rPr>
          <w:sz w:val="21"/>
        </w:rPr>
      </w:pPr>
      <w:r>
        <w:rPr>
          <w:spacing w:val="-3"/>
          <w:sz w:val="21"/>
        </w:rPr>
        <w:t>建立并保存基金份额持有人名册；</w:t>
      </w:r>
    </w:p>
    <w:p>
      <w:pPr>
        <w:pStyle w:val="BodyText"/>
        <w:spacing w:before="6"/>
        <w:rPr>
          <w:sz w:val="15"/>
        </w:rPr>
      </w:pPr>
    </w:p>
    <w:p>
      <w:pPr>
        <w:pStyle w:val="ListParagraph"/>
        <w:numPr>
          <w:ilvl w:val="0"/>
          <w:numId w:val="17"/>
        </w:numPr>
        <w:tabs>
          <w:tab w:pos="1895" w:val="left" w:leader="none"/>
        </w:tabs>
        <w:spacing w:line="240" w:lineRule="auto" w:before="0" w:after="0"/>
        <w:ind w:left="1895" w:right="0" w:hanging="635"/>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17"/>
        </w:numPr>
        <w:tabs>
          <w:tab w:pos="1895" w:val="left" w:leader="none"/>
        </w:tabs>
        <w:spacing w:line="240" w:lineRule="auto" w:before="0" w:after="0"/>
        <w:ind w:left="1895" w:right="0" w:hanging="635"/>
        <w:jc w:val="left"/>
        <w:rPr>
          <w:sz w:val="21"/>
        </w:rPr>
      </w:pPr>
      <w:r>
        <w:rPr>
          <w:spacing w:val="-3"/>
          <w:sz w:val="21"/>
        </w:rPr>
        <w:t>依据基金管理人的指令或有关规定向基金份额持有人支付基金收益和赎回款项；</w:t>
      </w:r>
    </w:p>
    <w:p>
      <w:pPr>
        <w:pStyle w:val="BodyText"/>
        <w:spacing w:before="7"/>
        <w:rPr>
          <w:sz w:val="15"/>
        </w:rPr>
      </w:pPr>
    </w:p>
    <w:p>
      <w:pPr>
        <w:pStyle w:val="ListParagraph"/>
        <w:numPr>
          <w:ilvl w:val="0"/>
          <w:numId w:val="17"/>
        </w:numPr>
        <w:tabs>
          <w:tab w:pos="1893" w:val="left" w:leader="none"/>
        </w:tabs>
        <w:spacing w:line="417" w:lineRule="auto" w:before="0" w:after="0"/>
        <w:ind w:left="840" w:right="891" w:firstLine="419"/>
        <w:jc w:val="left"/>
        <w:rPr>
          <w:sz w:val="21"/>
        </w:rPr>
      </w:pPr>
      <w:r>
        <w:rPr>
          <w:spacing w:val="-3"/>
          <w:sz w:val="21"/>
        </w:rPr>
        <w:t>按照规定召集基金份额持有人大会或配合基金份额持有人依法自行召集基金份</w:t>
      </w:r>
      <w:r>
        <w:rPr>
          <w:spacing w:val="-2"/>
          <w:sz w:val="21"/>
        </w:rPr>
        <w:t>额持有人大会；</w:t>
      </w:r>
    </w:p>
    <w:p>
      <w:pPr>
        <w:pStyle w:val="ListParagraph"/>
        <w:numPr>
          <w:ilvl w:val="0"/>
          <w:numId w:val="17"/>
        </w:numPr>
        <w:tabs>
          <w:tab w:pos="1895" w:val="left" w:leader="none"/>
        </w:tabs>
        <w:spacing w:line="269" w:lineRule="exact" w:before="0" w:after="0"/>
        <w:ind w:left="1895" w:right="0" w:hanging="635"/>
        <w:jc w:val="left"/>
        <w:rPr>
          <w:sz w:val="21"/>
        </w:rPr>
      </w:pPr>
      <w:r>
        <w:rPr>
          <w:spacing w:val="-3"/>
          <w:sz w:val="21"/>
        </w:rPr>
        <w:t>按照法律法规和《基金合同》的规定监督基金管理人的投资运作；</w:t>
      </w:r>
    </w:p>
    <w:p>
      <w:pPr>
        <w:pStyle w:val="BodyText"/>
        <w:spacing w:before="7"/>
        <w:rPr>
          <w:sz w:val="15"/>
        </w:rPr>
      </w:pPr>
    </w:p>
    <w:p>
      <w:pPr>
        <w:pStyle w:val="ListParagraph"/>
        <w:numPr>
          <w:ilvl w:val="0"/>
          <w:numId w:val="17"/>
        </w:numPr>
        <w:tabs>
          <w:tab w:pos="1895" w:val="left" w:leader="none"/>
        </w:tabs>
        <w:spacing w:line="240" w:lineRule="auto" w:before="0" w:after="0"/>
        <w:ind w:left="1895" w:right="0" w:hanging="635"/>
        <w:jc w:val="left"/>
        <w:rPr>
          <w:sz w:val="21"/>
        </w:rPr>
      </w:pPr>
      <w:r>
        <w:rPr>
          <w:spacing w:val="-3"/>
          <w:sz w:val="21"/>
        </w:rPr>
        <w:t>参加基金财产清算小组，参与基金财产的保管、清理、估价、变现和分配；</w:t>
      </w:r>
    </w:p>
    <w:p>
      <w:pPr>
        <w:pStyle w:val="BodyText"/>
        <w:spacing w:before="7"/>
        <w:rPr>
          <w:sz w:val="15"/>
        </w:rPr>
      </w:pPr>
    </w:p>
    <w:p>
      <w:pPr>
        <w:pStyle w:val="ListParagraph"/>
        <w:numPr>
          <w:ilvl w:val="0"/>
          <w:numId w:val="17"/>
        </w:numPr>
        <w:tabs>
          <w:tab w:pos="1893" w:val="left" w:leader="none"/>
        </w:tabs>
        <w:spacing w:line="417" w:lineRule="auto" w:before="0" w:after="0"/>
        <w:ind w:left="840" w:right="89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17"/>
        </w:numPr>
        <w:tabs>
          <w:tab w:pos="1895" w:val="left" w:leader="none"/>
        </w:tabs>
        <w:spacing w:line="417" w:lineRule="auto" w:before="0" w:after="0"/>
        <w:ind w:left="840" w:right="89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17"/>
        </w:numPr>
        <w:tabs>
          <w:tab w:pos="1895" w:val="left" w:leader="none"/>
        </w:tabs>
        <w:spacing w:line="417" w:lineRule="auto" w:before="0" w:after="0"/>
        <w:ind w:left="840" w:right="891" w:firstLine="419"/>
        <w:jc w:val="left"/>
        <w:rPr>
          <w:sz w:val="21"/>
        </w:rPr>
      </w:pPr>
      <w:r>
        <w:rPr>
          <w:spacing w:val="-7"/>
          <w:sz w:val="21"/>
        </w:rPr>
        <w:t>按规定监督基金管理人按法律法规和《基金合同》规定履行自己的义务，基金 </w:t>
      </w:r>
      <w:r>
        <w:rPr>
          <w:spacing w:val="-5"/>
          <w:sz w:val="21"/>
        </w:rPr>
        <w:t>管理人因违反《基金合同》造成基金财产损失时，应为基金利益向基金管理人追偿；</w:t>
      </w:r>
    </w:p>
    <w:p>
      <w:pPr>
        <w:pStyle w:val="ListParagraph"/>
        <w:numPr>
          <w:ilvl w:val="0"/>
          <w:numId w:val="17"/>
        </w:numPr>
        <w:tabs>
          <w:tab w:pos="1895" w:val="left" w:leader="none"/>
        </w:tabs>
        <w:spacing w:line="240" w:lineRule="auto" w:before="0" w:after="0"/>
        <w:ind w:left="1895" w:right="0" w:hanging="635"/>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17"/>
        </w:numPr>
        <w:tabs>
          <w:tab w:pos="1895" w:val="left" w:leader="none"/>
        </w:tabs>
        <w:spacing w:line="240" w:lineRule="auto" w:before="0" w:after="0"/>
        <w:ind w:left="1895" w:right="0" w:hanging="635"/>
        <w:jc w:val="left"/>
        <w:rPr>
          <w:sz w:val="21"/>
        </w:rPr>
      </w:pPr>
      <w:r>
        <w:rPr>
          <w:spacing w:val="-3"/>
          <w:sz w:val="21"/>
        </w:rPr>
        <w:t>法律法规及中国证监会规定的和《基金合同》约定的其他义务。</w:t>
      </w:r>
    </w:p>
    <w:p>
      <w:pPr>
        <w:spacing w:after="0" w:line="240" w:lineRule="auto"/>
        <w:jc w:val="left"/>
        <w:rPr>
          <w:sz w:val="21"/>
        </w:rPr>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pPr>
      <w:bookmarkStart w:name="_TOC_250019" w:id="5"/>
      <w:bookmarkEnd w:id="5"/>
      <w:r>
        <w:rPr/>
        <w:t>五、相关服务机构</w:t>
      </w:r>
    </w:p>
    <w:p>
      <w:pPr>
        <w:pStyle w:val="BodyText"/>
        <w:rPr>
          <w:rFonts w:ascii="黑体"/>
          <w:b/>
          <w:sz w:val="20"/>
        </w:rPr>
      </w:pPr>
    </w:p>
    <w:p>
      <w:pPr>
        <w:pStyle w:val="BodyText"/>
        <w:spacing w:before="4"/>
        <w:rPr>
          <w:rFonts w:ascii="黑体"/>
          <w:b/>
          <w:sz w:val="16"/>
        </w:rPr>
      </w:pPr>
    </w:p>
    <w:p>
      <w:pPr>
        <w:pStyle w:val="Heading4"/>
        <w:spacing w:before="72"/>
      </w:pPr>
      <w:r>
        <w:rPr/>
        <w:t>一、基金份额发售机构</w:t>
      </w:r>
    </w:p>
    <w:p>
      <w:pPr>
        <w:pStyle w:val="BodyText"/>
        <w:spacing w:before="7"/>
        <w:rPr>
          <w:b/>
          <w:sz w:val="15"/>
        </w:rPr>
      </w:pPr>
    </w:p>
    <w:p>
      <w:pPr>
        <w:pStyle w:val="BodyText"/>
        <w:ind w:left="840"/>
      </w:pPr>
      <w:r>
        <w:rPr>
          <w:rFonts w:ascii="Times New Roman" w:eastAsia="Times New Roman"/>
        </w:rPr>
        <w:t>1</w:t>
      </w:r>
      <w:r>
        <w:rPr/>
        <w:t>、直销中心</w:t>
      </w:r>
    </w:p>
    <w:p>
      <w:pPr>
        <w:pStyle w:val="BodyText"/>
        <w:spacing w:before="6"/>
        <w:rPr>
          <w:sz w:val="15"/>
        </w:rPr>
      </w:pPr>
    </w:p>
    <w:p>
      <w:pPr>
        <w:pStyle w:val="BodyText"/>
        <w:ind w:left="1260"/>
      </w:pPr>
      <w:r>
        <w:rPr/>
        <w:t>名称：景顺长城基金管理有限公司</w:t>
      </w:r>
    </w:p>
    <w:p>
      <w:pPr>
        <w:pStyle w:val="BodyText"/>
        <w:spacing w:before="7"/>
        <w:rPr>
          <w:sz w:val="15"/>
        </w:rPr>
      </w:pPr>
    </w:p>
    <w:p>
      <w:pPr>
        <w:pStyle w:val="BodyText"/>
        <w:spacing w:line="417" w:lineRule="auto"/>
        <w:ind w:left="1260" w:right="1952"/>
      </w:pPr>
      <w:r>
        <w:rPr/>
        <w:t>注册</w:t>
      </w:r>
      <w:r>
        <w:rPr>
          <w:spacing w:val="-3"/>
        </w:rPr>
        <w:t>（</w:t>
      </w:r>
      <w:r>
        <w:rPr>
          <w:spacing w:val="-2"/>
        </w:rPr>
        <w:t>办公</w:t>
      </w:r>
      <w:r>
        <w:rPr/>
        <w:t>）</w:t>
      </w:r>
      <w:r>
        <w:rPr>
          <w:spacing w:val="-6"/>
        </w:rPr>
        <w:t>地址：深圳市福田区中心四路 </w:t>
      </w:r>
      <w:r>
        <w:rPr>
          <w:rFonts w:ascii="Times New Roman" w:eastAsia="Times New Roman"/>
        </w:rPr>
        <w:t>1 </w:t>
      </w:r>
      <w:r>
        <w:rPr>
          <w:spacing w:val="-7"/>
        </w:rPr>
        <w:t>号嘉里建设广场第一座 </w:t>
      </w:r>
      <w:r>
        <w:rPr>
          <w:rFonts w:ascii="Times New Roman" w:eastAsia="Times New Roman"/>
        </w:rPr>
        <w:t>21 </w:t>
      </w:r>
      <w:r>
        <w:rPr/>
        <w:t>层</w:t>
      </w:r>
      <w:r>
        <w:rPr>
          <w:spacing w:val="-3"/>
        </w:rPr>
        <w:t>法定代表人：李进</w:t>
      </w:r>
    </w:p>
    <w:p>
      <w:pPr>
        <w:pStyle w:val="BodyText"/>
        <w:spacing w:line="417" w:lineRule="auto"/>
        <w:ind w:left="1260" w:right="4948"/>
        <w:rPr>
          <w:rFonts w:ascii="Times New Roman" w:eastAsia="Times New Roman"/>
        </w:rPr>
      </w:pPr>
      <w:r>
        <w:rPr/>
        <w:t>批准设立文号：证监基金字［</w:t>
      </w:r>
      <w:r>
        <w:rPr>
          <w:rFonts w:ascii="Times New Roman" w:eastAsia="Times New Roman"/>
        </w:rPr>
        <w:t>2003</w:t>
      </w:r>
      <w:r>
        <w:rPr/>
        <w:t>］</w:t>
      </w:r>
      <w:r>
        <w:rPr>
          <w:rFonts w:ascii="Times New Roman" w:eastAsia="Times New Roman"/>
        </w:rPr>
        <w:t>76 </w:t>
      </w:r>
      <w:r>
        <w:rPr/>
        <w:t>号电话：</w:t>
      </w:r>
      <w:r>
        <w:rPr>
          <w:rFonts w:ascii="Times New Roman" w:eastAsia="Times New Roman"/>
        </w:rPr>
        <w:t>0755-82370388-1663</w:t>
      </w:r>
    </w:p>
    <w:p>
      <w:pPr>
        <w:pStyle w:val="BodyText"/>
        <w:spacing w:line="269" w:lineRule="exact"/>
        <w:ind w:left="1260"/>
        <w:rPr>
          <w:rFonts w:ascii="Times New Roman" w:eastAsia="Times New Roman"/>
        </w:rPr>
      </w:pPr>
      <w:r>
        <w:rPr/>
        <w:t>传真：</w:t>
      </w:r>
      <w:r>
        <w:rPr>
          <w:rFonts w:ascii="Times New Roman" w:eastAsia="Times New Roman"/>
        </w:rPr>
        <w:t>0755-22381325</w:t>
      </w:r>
    </w:p>
    <w:p>
      <w:pPr>
        <w:pStyle w:val="BodyText"/>
        <w:spacing w:before="4"/>
        <w:rPr>
          <w:rFonts w:ascii="Times New Roman"/>
          <w:sz w:val="17"/>
        </w:rPr>
      </w:pPr>
    </w:p>
    <w:p>
      <w:pPr>
        <w:pStyle w:val="BodyText"/>
        <w:ind w:left="1260"/>
      </w:pPr>
      <w:r>
        <w:rPr/>
        <w:t>联系人：周婷</w:t>
      </w:r>
    </w:p>
    <w:p>
      <w:pPr>
        <w:pStyle w:val="BodyText"/>
        <w:spacing w:before="6"/>
        <w:rPr>
          <w:sz w:val="15"/>
        </w:rPr>
      </w:pPr>
    </w:p>
    <w:p>
      <w:pPr>
        <w:pStyle w:val="BodyText"/>
        <w:spacing w:before="1"/>
        <w:ind w:left="1260"/>
        <w:rPr>
          <w:rFonts w:ascii="Times New Roman" w:eastAsia="Times New Roman"/>
        </w:rPr>
      </w:pPr>
      <w:r>
        <w:rPr/>
        <w:t>客户服务电话：</w:t>
      </w:r>
      <w:r>
        <w:rPr>
          <w:rFonts w:ascii="Times New Roman" w:eastAsia="Times New Roman"/>
        </w:rPr>
        <w:t>0755-82370688</w:t>
      </w:r>
      <w:r>
        <w:rPr/>
        <w:t>、</w:t>
      </w:r>
      <w:r>
        <w:rPr>
          <w:rFonts w:ascii="Times New Roman" w:eastAsia="Times New Roman"/>
        </w:rPr>
        <w:t>4008888606</w:t>
      </w:r>
    </w:p>
    <w:p>
      <w:pPr>
        <w:pStyle w:val="BodyText"/>
        <w:spacing w:before="3"/>
        <w:rPr>
          <w:rFonts w:ascii="Times New Roman"/>
          <w:sz w:val="17"/>
        </w:rPr>
      </w:pPr>
    </w:p>
    <w:p>
      <w:pPr>
        <w:pStyle w:val="BodyText"/>
        <w:ind w:left="1260"/>
        <w:rPr>
          <w:rFonts w:ascii="Times New Roman" w:eastAsia="Times New Roman"/>
        </w:rPr>
      </w:pPr>
      <w:r>
        <w:rPr/>
        <w:t>网址：</w:t>
      </w:r>
      <w:hyperlink r:id="rId7">
        <w:r>
          <w:rPr>
            <w:rFonts w:ascii="Times New Roman" w:eastAsia="Times New Roman"/>
          </w:rPr>
          <w:t>www.igwfmc.com</w:t>
        </w:r>
      </w:hyperlink>
    </w:p>
    <w:p>
      <w:pPr>
        <w:pStyle w:val="BodyText"/>
        <w:spacing w:before="4"/>
        <w:rPr>
          <w:rFonts w:ascii="Times New Roman"/>
          <w:sz w:val="17"/>
        </w:rPr>
      </w:pPr>
    </w:p>
    <w:p>
      <w:pPr>
        <w:pStyle w:val="BodyText"/>
        <w:ind w:left="1260"/>
      </w:pPr>
      <w:r>
        <w:rPr/>
        <w:t>注：直销中心包括本公司直销柜台及直销网上交易系统</w:t>
      </w:r>
      <w:r>
        <w:rPr>
          <w:rFonts w:ascii="Times New Roman" w:eastAsia="Times New Roman"/>
        </w:rPr>
        <w:t>/</w:t>
      </w:r>
      <w:r>
        <w:rPr/>
        <w:t>电子交易直销前置式自助前台</w:t>
      </w:r>
    </w:p>
    <w:p>
      <w:pPr>
        <w:pStyle w:val="BodyText"/>
        <w:spacing w:before="7"/>
        <w:rPr>
          <w:sz w:val="15"/>
        </w:rPr>
      </w:pPr>
    </w:p>
    <w:p>
      <w:pPr>
        <w:pStyle w:val="BodyText"/>
        <w:ind w:left="840"/>
      </w:pPr>
      <w:r>
        <w:rPr/>
        <w:t>（具体以本公司官网列示为准）</w:t>
      </w:r>
    </w:p>
    <w:p>
      <w:pPr>
        <w:pStyle w:val="BodyText"/>
        <w:rPr>
          <w:sz w:val="20"/>
        </w:rPr>
      </w:pPr>
    </w:p>
    <w:p>
      <w:pPr>
        <w:pStyle w:val="BodyText"/>
        <w:rPr>
          <w:sz w:val="20"/>
        </w:rPr>
      </w:pPr>
    </w:p>
    <w:p>
      <w:pPr>
        <w:pStyle w:val="BodyText"/>
        <w:spacing w:before="154"/>
        <w:ind w:left="840"/>
      </w:pPr>
      <w:r>
        <w:rPr>
          <w:rFonts w:ascii="Times New Roman" w:eastAsia="Times New Roman"/>
        </w:rPr>
        <w:t>2</w:t>
      </w:r>
      <w:r>
        <w:rPr/>
        <w:t>、代销机构</w:t>
      </w:r>
    </w:p>
    <w:p>
      <w:pPr>
        <w:pStyle w:val="BodyText"/>
        <w:spacing w:before="10"/>
        <w:rPr>
          <w:sz w:val="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623" w:hRule="atLeast"/>
        </w:trPr>
        <w:tc>
          <w:tcPr>
            <w:tcW w:w="634" w:type="dxa"/>
          </w:tcPr>
          <w:p>
            <w:pPr>
              <w:pStyle w:val="TableParagraph"/>
              <w:spacing w:before="15"/>
              <w:ind w:left="206"/>
              <w:rPr>
                <w:b/>
                <w:sz w:val="22"/>
              </w:rPr>
            </w:pPr>
            <w:r>
              <w:rPr>
                <w:b/>
                <w:w w:val="99"/>
                <w:sz w:val="22"/>
              </w:rPr>
              <w:t>序</w:t>
            </w:r>
          </w:p>
          <w:p>
            <w:pPr>
              <w:pStyle w:val="TableParagraph"/>
              <w:spacing w:line="277" w:lineRule="exact" w:before="30"/>
              <w:ind w:left="206"/>
              <w:rPr>
                <w:b/>
                <w:sz w:val="22"/>
              </w:rPr>
            </w:pPr>
            <w:r>
              <w:rPr>
                <w:b/>
                <w:w w:val="99"/>
                <w:sz w:val="22"/>
              </w:rPr>
              <w:t>号</w:t>
            </w:r>
          </w:p>
        </w:tc>
        <w:tc>
          <w:tcPr>
            <w:tcW w:w="3949" w:type="dxa"/>
          </w:tcPr>
          <w:p>
            <w:pPr>
              <w:pStyle w:val="TableParagraph"/>
              <w:spacing w:before="171"/>
              <w:ind w:left="77" w:right="77"/>
              <w:jc w:val="center"/>
              <w:rPr>
                <w:b/>
                <w:sz w:val="22"/>
              </w:rPr>
            </w:pPr>
            <w:r>
              <w:rPr>
                <w:b/>
                <w:sz w:val="22"/>
              </w:rPr>
              <w:t>销售机构全称</w:t>
            </w:r>
          </w:p>
        </w:tc>
        <w:tc>
          <w:tcPr>
            <w:tcW w:w="3848" w:type="dxa"/>
          </w:tcPr>
          <w:p>
            <w:pPr>
              <w:pStyle w:val="TableParagraph"/>
              <w:spacing w:before="171"/>
              <w:ind w:left="1259"/>
              <w:rPr>
                <w:b/>
                <w:sz w:val="22"/>
              </w:rPr>
            </w:pPr>
            <w:r>
              <w:rPr>
                <w:b/>
                <w:sz w:val="22"/>
              </w:rPr>
              <w:t>销售机构信息</w:t>
            </w:r>
          </w:p>
        </w:tc>
      </w:tr>
      <w:tr>
        <w:trPr>
          <w:trHeight w:val="1560" w:hRule="atLeast"/>
        </w:trPr>
        <w:tc>
          <w:tcPr>
            <w:tcW w:w="634" w:type="dxa"/>
          </w:tcPr>
          <w:p>
            <w:pPr>
              <w:pStyle w:val="TableParagraph"/>
              <w:rPr>
                <w:sz w:val="24"/>
              </w:rPr>
            </w:pPr>
          </w:p>
          <w:p>
            <w:pPr>
              <w:pStyle w:val="TableParagraph"/>
              <w:spacing w:before="3"/>
              <w:rPr>
                <w:sz w:val="27"/>
              </w:rPr>
            </w:pPr>
          </w:p>
          <w:p>
            <w:pPr>
              <w:pStyle w:val="TableParagraph"/>
              <w:ind w:right="248"/>
              <w:jc w:val="right"/>
              <w:rPr>
                <w:rFonts w:ascii="Arial"/>
                <w:sz w:val="21"/>
              </w:rPr>
            </w:pPr>
            <w:r>
              <w:rPr>
                <w:rFonts w:ascii="Arial"/>
                <w:w w:val="100"/>
                <w:sz w:val="21"/>
              </w:rPr>
              <w:t>1</w:t>
            </w:r>
          </w:p>
        </w:tc>
        <w:tc>
          <w:tcPr>
            <w:tcW w:w="3949" w:type="dxa"/>
          </w:tcPr>
          <w:p>
            <w:pPr>
              <w:pStyle w:val="TableParagraph"/>
              <w:rPr>
                <w:sz w:val="22"/>
              </w:rPr>
            </w:pPr>
          </w:p>
          <w:p>
            <w:pPr>
              <w:pStyle w:val="TableParagraph"/>
              <w:spacing w:before="11"/>
              <w:rPr>
                <w:sz w:val="27"/>
              </w:rPr>
            </w:pPr>
          </w:p>
          <w:p>
            <w:pPr>
              <w:pStyle w:val="TableParagraph"/>
              <w:ind w:left="77" w:right="77"/>
              <w:jc w:val="center"/>
              <w:rPr>
                <w:sz w:val="22"/>
              </w:rPr>
            </w:pPr>
            <w:r>
              <w:rPr>
                <w:sz w:val="22"/>
              </w:rPr>
              <w:t>中国工商银行股份有限公司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地址：北京市西城区复兴</w:t>
            </w:r>
            <w:r>
              <w:rPr>
                <w:spacing w:val="-11"/>
                <w:sz w:val="22"/>
              </w:rPr>
              <w:t>门内大街 </w:t>
            </w:r>
            <w:r>
              <w:rPr>
                <w:rFonts w:ascii="Arial" w:eastAsia="Arial"/>
                <w:sz w:val="22"/>
              </w:rPr>
              <w:t>55 </w:t>
            </w:r>
            <w:r>
              <w:rPr>
                <w:sz w:val="22"/>
              </w:rPr>
              <w:t>号</w:t>
            </w:r>
          </w:p>
          <w:p>
            <w:pPr>
              <w:pStyle w:val="TableParagraph"/>
              <w:spacing w:line="280" w:lineRule="exact"/>
              <w:ind w:left="105" w:right="95"/>
              <w:jc w:val="center"/>
              <w:rPr>
                <w:sz w:val="22"/>
              </w:rPr>
            </w:pPr>
            <w:r>
              <w:rPr>
                <w:sz w:val="22"/>
              </w:rPr>
              <w:t>法定代表人：陈四清</w:t>
            </w:r>
          </w:p>
          <w:p>
            <w:pPr>
              <w:pStyle w:val="TableParagraph"/>
              <w:spacing w:line="310" w:lineRule="atLeast" w:before="2"/>
              <w:ind w:left="407" w:right="394"/>
              <w:jc w:val="center"/>
              <w:rPr>
                <w:rFonts w:ascii="Arial" w:eastAsia="Arial"/>
                <w:sz w:val="22"/>
              </w:rPr>
            </w:pPr>
            <w:r>
              <w:rPr>
                <w:sz w:val="22"/>
              </w:rPr>
              <w:t>客户服务电话：</w:t>
            </w:r>
            <w:r>
              <w:rPr>
                <w:rFonts w:ascii="Arial" w:eastAsia="Arial"/>
                <w:sz w:val="22"/>
              </w:rPr>
              <w:t>95588</w:t>
            </w:r>
            <w:r>
              <w:rPr>
                <w:sz w:val="22"/>
              </w:rPr>
              <w:t>（全国） 网址：</w:t>
            </w:r>
            <w:hyperlink r:id="rId8">
              <w:r>
                <w:rPr>
                  <w:rFonts w:ascii="Arial" w:eastAsia="Arial"/>
                  <w:sz w:val="22"/>
                </w:rPr>
                <w:t>www.icbc.com.cn</w:t>
              </w:r>
            </w:hyperlink>
          </w:p>
        </w:tc>
      </w:tr>
      <w:tr>
        <w:trPr>
          <w:trHeight w:val="2498" w:hRule="atLeast"/>
        </w:trPr>
        <w:tc>
          <w:tcPr>
            <w:tcW w:w="634" w:type="dxa"/>
          </w:tcPr>
          <w:p>
            <w:pPr>
              <w:pStyle w:val="TableParagraph"/>
              <w:rPr>
                <w:sz w:val="24"/>
              </w:rPr>
            </w:pPr>
          </w:p>
          <w:p>
            <w:pPr>
              <w:pStyle w:val="TableParagraph"/>
              <w:rPr>
                <w:sz w:val="24"/>
              </w:rPr>
            </w:pPr>
          </w:p>
          <w:p>
            <w:pPr>
              <w:pStyle w:val="TableParagraph"/>
              <w:rPr>
                <w:sz w:val="24"/>
              </w:rPr>
            </w:pPr>
          </w:p>
          <w:p>
            <w:pPr>
              <w:pStyle w:val="TableParagraph"/>
              <w:spacing w:before="205"/>
              <w:ind w:right="248"/>
              <w:jc w:val="right"/>
              <w:rPr>
                <w:rFonts w:ascii="Arial"/>
                <w:sz w:val="21"/>
              </w:rPr>
            </w:pPr>
            <w:r>
              <w:rPr>
                <w:rFonts w:ascii="Arial"/>
                <w:w w:val="100"/>
                <w:sz w:val="21"/>
              </w:rPr>
              <w:t>2</w:t>
            </w:r>
          </w:p>
        </w:tc>
        <w:tc>
          <w:tcPr>
            <w:tcW w:w="3949" w:type="dxa"/>
          </w:tcPr>
          <w:p>
            <w:pPr>
              <w:pStyle w:val="TableParagraph"/>
              <w:rPr>
                <w:sz w:val="22"/>
              </w:rPr>
            </w:pPr>
          </w:p>
          <w:p>
            <w:pPr>
              <w:pStyle w:val="TableParagraph"/>
              <w:rPr>
                <w:sz w:val="22"/>
              </w:rPr>
            </w:pPr>
          </w:p>
          <w:p>
            <w:pPr>
              <w:pStyle w:val="TableParagraph"/>
              <w:rPr>
                <w:sz w:val="22"/>
              </w:rPr>
            </w:pPr>
          </w:p>
          <w:p>
            <w:pPr>
              <w:pStyle w:val="TableParagraph"/>
              <w:spacing w:before="7"/>
              <w:rPr>
                <w:sz w:val="20"/>
              </w:rPr>
            </w:pPr>
          </w:p>
          <w:p>
            <w:pPr>
              <w:pStyle w:val="TableParagraph"/>
              <w:ind w:left="77" w:right="77"/>
              <w:jc w:val="center"/>
              <w:rPr>
                <w:sz w:val="22"/>
              </w:rPr>
            </w:pPr>
            <w:r>
              <w:rPr>
                <w:sz w:val="22"/>
              </w:rPr>
              <w:t>中国农业银行股份有限公司</w:t>
            </w:r>
          </w:p>
        </w:tc>
        <w:tc>
          <w:tcPr>
            <w:tcW w:w="3848" w:type="dxa"/>
          </w:tcPr>
          <w:p>
            <w:pPr>
              <w:pStyle w:val="TableParagraph"/>
              <w:spacing w:line="266" w:lineRule="auto" w:before="17"/>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地址：北京市东城区建国</w:t>
            </w:r>
            <w:r>
              <w:rPr>
                <w:spacing w:val="-11"/>
                <w:sz w:val="22"/>
              </w:rPr>
              <w:t>门内大街 </w:t>
            </w:r>
            <w:r>
              <w:rPr>
                <w:rFonts w:ascii="Arial" w:eastAsia="Arial"/>
                <w:sz w:val="22"/>
              </w:rPr>
              <w:t>69 </w:t>
            </w:r>
            <w:r>
              <w:rPr>
                <w:sz w:val="22"/>
              </w:rPr>
              <w:t>号</w:t>
            </w:r>
          </w:p>
          <w:p>
            <w:pPr>
              <w:pStyle w:val="TableParagraph"/>
              <w:spacing w:line="266" w:lineRule="auto"/>
              <w:ind w:left="932" w:right="920"/>
              <w:jc w:val="center"/>
              <w:rPr>
                <w:sz w:val="22"/>
              </w:rPr>
            </w:pPr>
            <w:r>
              <w:rPr>
                <w:sz w:val="22"/>
              </w:rPr>
              <w:t>法定代表人：周慕冰联系人：张伟</w:t>
            </w:r>
          </w:p>
          <w:p>
            <w:pPr>
              <w:pStyle w:val="TableParagraph"/>
              <w:spacing w:line="266" w:lineRule="auto"/>
              <w:ind w:left="882" w:right="872"/>
              <w:jc w:val="center"/>
              <w:rPr>
                <w:rFonts w:ascii="Arial" w:eastAsia="Arial"/>
                <w:sz w:val="22"/>
              </w:rPr>
            </w:pPr>
            <w:r>
              <w:rPr>
                <w:spacing w:val="-1"/>
                <w:sz w:val="22"/>
              </w:rPr>
              <w:t>电话：</w:t>
            </w:r>
            <w:r>
              <w:rPr>
                <w:rFonts w:ascii="Arial" w:eastAsia="Arial"/>
                <w:spacing w:val="-1"/>
                <w:sz w:val="22"/>
              </w:rPr>
              <w:t>010-85109219 </w:t>
            </w:r>
            <w:r>
              <w:rPr>
                <w:spacing w:val="-1"/>
                <w:sz w:val="22"/>
              </w:rPr>
              <w:t>传真：</w:t>
            </w:r>
            <w:r>
              <w:rPr>
                <w:rFonts w:ascii="Arial" w:eastAsia="Arial"/>
                <w:spacing w:val="-1"/>
                <w:sz w:val="22"/>
              </w:rPr>
              <w:t>010-85109219</w:t>
            </w:r>
          </w:p>
          <w:p>
            <w:pPr>
              <w:pStyle w:val="TableParagraph"/>
              <w:spacing w:line="280" w:lineRule="exact"/>
              <w:ind w:left="105" w:right="95"/>
              <w:jc w:val="center"/>
              <w:rPr>
                <w:rFonts w:ascii="Arial" w:eastAsia="Arial"/>
                <w:sz w:val="22"/>
              </w:rPr>
            </w:pPr>
            <w:r>
              <w:rPr>
                <w:spacing w:val="-2"/>
                <w:sz w:val="22"/>
              </w:rPr>
              <w:t>客户服务电话：</w:t>
            </w:r>
            <w:r>
              <w:rPr>
                <w:rFonts w:ascii="Arial" w:eastAsia="Arial"/>
                <w:sz w:val="22"/>
              </w:rPr>
              <w:t>95599</w:t>
            </w:r>
          </w:p>
          <w:p>
            <w:pPr>
              <w:pStyle w:val="TableParagraph"/>
              <w:spacing w:line="277" w:lineRule="exact" w:before="27"/>
              <w:ind w:left="102" w:right="95"/>
              <w:jc w:val="center"/>
              <w:rPr>
                <w:rFonts w:ascii="Arial" w:eastAsia="Arial"/>
                <w:sz w:val="22"/>
              </w:rPr>
            </w:pPr>
            <w:r>
              <w:rPr>
                <w:sz w:val="22"/>
              </w:rPr>
              <w:t>网址：</w:t>
            </w:r>
            <w:hyperlink r:id="rId9">
              <w:r>
                <w:rPr>
                  <w:rFonts w:ascii="Arial" w:eastAsia="Arial"/>
                  <w:sz w:val="22"/>
                </w:rPr>
                <w:t>www.abchina.com</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1560" w:hRule="atLeast"/>
        </w:trPr>
        <w:tc>
          <w:tcPr>
            <w:tcW w:w="634" w:type="dxa"/>
            <w:tcBorders>
              <w:top w:val="nil"/>
            </w:tcBorders>
          </w:tcPr>
          <w:p>
            <w:pPr>
              <w:pStyle w:val="TableParagraph"/>
              <w:rPr>
                <w:rFonts w:ascii="Times New Roman"/>
                <w:sz w:val="24"/>
              </w:rPr>
            </w:pPr>
          </w:p>
          <w:p>
            <w:pPr>
              <w:pStyle w:val="TableParagraph"/>
              <w:spacing w:before="2"/>
              <w:rPr>
                <w:rFonts w:ascii="Times New Roman"/>
                <w:sz w:val="33"/>
              </w:rPr>
            </w:pPr>
          </w:p>
          <w:p>
            <w:pPr>
              <w:pStyle w:val="TableParagraph"/>
              <w:ind w:right="248"/>
              <w:jc w:val="right"/>
              <w:rPr>
                <w:rFonts w:ascii="Arial"/>
                <w:sz w:val="21"/>
              </w:rPr>
            </w:pPr>
            <w:r>
              <w:rPr>
                <w:rFonts w:ascii="Arial"/>
                <w:w w:val="100"/>
                <w:sz w:val="21"/>
              </w:rPr>
              <w:t>3</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spacing w:before="133"/>
              <w:ind w:left="82" w:right="77"/>
              <w:jc w:val="center"/>
              <w:rPr>
                <w:sz w:val="22"/>
              </w:rPr>
            </w:pPr>
            <w:r>
              <w:rPr>
                <w:sz w:val="22"/>
              </w:rPr>
              <w:t>中国银行股份有限公司</w:t>
            </w:r>
          </w:p>
        </w:tc>
        <w:tc>
          <w:tcPr>
            <w:tcW w:w="3848" w:type="dxa"/>
            <w:tcBorders>
              <w:top w:val="nil"/>
            </w:tcBorders>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地址：北京市西城区复兴</w:t>
            </w:r>
            <w:r>
              <w:rPr>
                <w:spacing w:val="-11"/>
                <w:sz w:val="22"/>
              </w:rPr>
              <w:t>门内大街 </w:t>
            </w:r>
            <w:r>
              <w:rPr>
                <w:rFonts w:ascii="Arial" w:eastAsia="Arial"/>
                <w:sz w:val="22"/>
              </w:rPr>
              <w:t>1 </w:t>
            </w:r>
            <w:r>
              <w:rPr>
                <w:sz w:val="22"/>
              </w:rPr>
              <w:t>号</w:t>
            </w:r>
          </w:p>
          <w:p>
            <w:pPr>
              <w:pStyle w:val="TableParagraph"/>
              <w:spacing w:line="280" w:lineRule="exact"/>
              <w:ind w:left="102" w:right="95"/>
              <w:jc w:val="center"/>
              <w:rPr>
                <w:sz w:val="22"/>
              </w:rPr>
            </w:pPr>
            <w:r>
              <w:rPr>
                <w:sz w:val="22"/>
              </w:rPr>
              <w:t>联系人：宋亚平</w:t>
            </w:r>
          </w:p>
          <w:p>
            <w:pPr>
              <w:pStyle w:val="TableParagraph"/>
              <w:spacing w:line="310" w:lineRule="atLeast" w:before="2"/>
              <w:ind w:left="407" w:right="394"/>
              <w:jc w:val="center"/>
              <w:rPr>
                <w:rFonts w:ascii="Arial" w:eastAsia="Arial"/>
                <w:sz w:val="22"/>
              </w:rPr>
            </w:pPr>
            <w:r>
              <w:rPr>
                <w:sz w:val="22"/>
              </w:rPr>
              <w:t>客户服务电话：</w:t>
            </w:r>
            <w:r>
              <w:rPr>
                <w:rFonts w:ascii="Arial" w:eastAsia="Arial"/>
                <w:sz w:val="22"/>
              </w:rPr>
              <w:t>95566</w:t>
            </w:r>
            <w:r>
              <w:rPr>
                <w:sz w:val="22"/>
              </w:rPr>
              <w:t>（全国） 网址：</w:t>
            </w:r>
            <w:hyperlink r:id="rId10">
              <w:r>
                <w:rPr>
                  <w:rFonts w:ascii="Arial" w:eastAsia="Arial"/>
                  <w:sz w:val="22"/>
                </w:rPr>
                <w:t>www.boc.cn</w:t>
              </w:r>
            </w:hyperlink>
          </w:p>
        </w:tc>
      </w:tr>
      <w:tr>
        <w:trPr>
          <w:trHeight w:val="1559" w:hRule="atLeast"/>
        </w:trPr>
        <w:tc>
          <w:tcPr>
            <w:tcW w:w="634" w:type="dxa"/>
          </w:tcPr>
          <w:p>
            <w:pPr>
              <w:pStyle w:val="TableParagraph"/>
              <w:rPr>
                <w:rFonts w:ascii="Times New Roman"/>
                <w:sz w:val="24"/>
              </w:rPr>
            </w:pPr>
          </w:p>
          <w:p>
            <w:pPr>
              <w:pStyle w:val="TableParagraph"/>
              <w:spacing w:before="1"/>
              <w:rPr>
                <w:rFonts w:ascii="Times New Roman"/>
                <w:sz w:val="33"/>
              </w:rPr>
            </w:pPr>
          </w:p>
          <w:p>
            <w:pPr>
              <w:pStyle w:val="TableParagraph"/>
              <w:ind w:right="248"/>
              <w:jc w:val="right"/>
              <w:rPr>
                <w:rFonts w:ascii="Arial"/>
                <w:sz w:val="21"/>
              </w:rPr>
            </w:pPr>
            <w:r>
              <w:rPr>
                <w:rFonts w:ascii="Arial"/>
                <w:w w:val="100"/>
                <w:sz w:val="21"/>
              </w:rPr>
              <w:t>4</w:t>
            </w:r>
          </w:p>
        </w:tc>
        <w:tc>
          <w:tcPr>
            <w:tcW w:w="3949" w:type="dxa"/>
          </w:tcPr>
          <w:p>
            <w:pPr>
              <w:pStyle w:val="TableParagraph"/>
              <w:rPr>
                <w:rFonts w:ascii="Times New Roman"/>
                <w:sz w:val="22"/>
              </w:rPr>
            </w:pPr>
          </w:p>
          <w:p>
            <w:pPr>
              <w:pStyle w:val="TableParagraph"/>
              <w:rPr>
                <w:rFonts w:ascii="Times New Roman"/>
                <w:sz w:val="22"/>
              </w:rPr>
            </w:pPr>
          </w:p>
          <w:p>
            <w:pPr>
              <w:pStyle w:val="TableParagraph"/>
              <w:spacing w:before="133"/>
              <w:ind w:left="77" w:right="77"/>
              <w:jc w:val="center"/>
              <w:rPr>
                <w:sz w:val="22"/>
              </w:rPr>
            </w:pPr>
            <w:r>
              <w:rPr>
                <w:sz w:val="22"/>
              </w:rPr>
              <w:t>中国建设银行股份有限公司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地址：北京市西城区金融</w:t>
            </w:r>
            <w:r>
              <w:rPr>
                <w:spacing w:val="-19"/>
                <w:sz w:val="22"/>
              </w:rPr>
              <w:t>大街 </w:t>
            </w:r>
            <w:r>
              <w:rPr>
                <w:rFonts w:ascii="Arial" w:eastAsia="Arial"/>
                <w:sz w:val="22"/>
              </w:rPr>
              <w:t>25 </w:t>
            </w:r>
            <w:r>
              <w:rPr>
                <w:sz w:val="22"/>
              </w:rPr>
              <w:t>号</w:t>
            </w:r>
          </w:p>
          <w:p>
            <w:pPr>
              <w:pStyle w:val="TableParagraph"/>
              <w:spacing w:line="280" w:lineRule="exact"/>
              <w:ind w:left="100" w:right="95"/>
              <w:jc w:val="center"/>
              <w:rPr>
                <w:sz w:val="22"/>
              </w:rPr>
            </w:pPr>
            <w:r>
              <w:rPr>
                <w:spacing w:val="-2"/>
                <w:sz w:val="22"/>
              </w:rPr>
              <w:t>法定代表人：田国立</w:t>
            </w:r>
          </w:p>
          <w:p>
            <w:pPr>
              <w:pStyle w:val="TableParagraph"/>
              <w:spacing w:line="310" w:lineRule="atLeast" w:before="2"/>
              <w:ind w:left="846" w:right="834"/>
              <w:jc w:val="center"/>
              <w:rPr>
                <w:rFonts w:ascii="Arial" w:eastAsia="Arial"/>
                <w:sz w:val="22"/>
              </w:rPr>
            </w:pPr>
            <w:r>
              <w:rPr>
                <w:spacing w:val="-2"/>
                <w:sz w:val="22"/>
              </w:rPr>
              <w:t>客户服务电话：</w:t>
            </w:r>
            <w:r>
              <w:rPr>
                <w:rFonts w:ascii="Arial" w:eastAsia="Arial"/>
                <w:spacing w:val="-4"/>
                <w:sz w:val="22"/>
              </w:rPr>
              <w:t>95533 </w:t>
            </w:r>
            <w:r>
              <w:rPr>
                <w:sz w:val="22"/>
              </w:rPr>
              <w:t>网址：</w:t>
            </w:r>
            <w:hyperlink r:id="rId11">
              <w:r>
                <w:rPr>
                  <w:rFonts w:ascii="Arial" w:eastAsia="Arial"/>
                  <w:sz w:val="22"/>
                </w:rPr>
                <w:t>www.ccb.com</w:t>
              </w:r>
            </w:hyperlink>
          </w:p>
        </w:tc>
      </w:tr>
      <w:tr>
        <w:trPr>
          <w:trHeight w:val="1560" w:hRule="atLeast"/>
        </w:trPr>
        <w:tc>
          <w:tcPr>
            <w:tcW w:w="634" w:type="dxa"/>
          </w:tcPr>
          <w:p>
            <w:pPr>
              <w:pStyle w:val="TableParagraph"/>
              <w:rPr>
                <w:rFonts w:ascii="Times New Roman"/>
                <w:sz w:val="24"/>
              </w:rPr>
            </w:pPr>
          </w:p>
          <w:p>
            <w:pPr>
              <w:pStyle w:val="TableParagraph"/>
              <w:spacing w:before="2"/>
              <w:rPr>
                <w:rFonts w:ascii="Times New Roman"/>
                <w:sz w:val="33"/>
              </w:rPr>
            </w:pPr>
          </w:p>
          <w:p>
            <w:pPr>
              <w:pStyle w:val="TableParagraph"/>
              <w:ind w:right="248"/>
              <w:jc w:val="right"/>
              <w:rPr>
                <w:rFonts w:ascii="Arial"/>
                <w:sz w:val="21"/>
              </w:rPr>
            </w:pPr>
            <w:r>
              <w:rPr>
                <w:rFonts w:ascii="Arial"/>
                <w:w w:val="100"/>
                <w:sz w:val="21"/>
              </w:rPr>
              <w:t>5</w:t>
            </w:r>
          </w:p>
        </w:tc>
        <w:tc>
          <w:tcPr>
            <w:tcW w:w="3949" w:type="dxa"/>
          </w:tcPr>
          <w:p>
            <w:pPr>
              <w:pStyle w:val="TableParagraph"/>
              <w:rPr>
                <w:rFonts w:ascii="Times New Roman"/>
                <w:sz w:val="22"/>
              </w:rPr>
            </w:pPr>
          </w:p>
          <w:p>
            <w:pPr>
              <w:pStyle w:val="TableParagraph"/>
              <w:rPr>
                <w:rFonts w:ascii="Times New Roman"/>
                <w:sz w:val="22"/>
              </w:rPr>
            </w:pPr>
          </w:p>
          <w:p>
            <w:pPr>
              <w:pStyle w:val="TableParagraph"/>
              <w:spacing w:before="133"/>
              <w:ind w:left="82" w:right="77"/>
              <w:jc w:val="center"/>
              <w:rPr>
                <w:sz w:val="22"/>
              </w:rPr>
            </w:pPr>
            <w:r>
              <w:rPr>
                <w:sz w:val="22"/>
              </w:rPr>
              <w:t>交通银行股份有限公司</w:t>
            </w:r>
          </w:p>
        </w:tc>
        <w:tc>
          <w:tcPr>
            <w:tcW w:w="3848" w:type="dxa"/>
          </w:tcPr>
          <w:p>
            <w:pPr>
              <w:pStyle w:val="TableParagraph"/>
              <w:spacing w:line="266" w:lineRule="auto" w:before="15"/>
              <w:ind w:left="1261" w:right="118" w:hanging="953"/>
              <w:rPr>
                <w:sz w:val="22"/>
              </w:rPr>
            </w:pPr>
            <w:r>
              <w:rPr>
                <w:sz w:val="22"/>
              </w:rPr>
              <w:t>办公地址：上海市银城中路 </w:t>
            </w:r>
            <w:r>
              <w:rPr>
                <w:rFonts w:ascii="Arial" w:eastAsia="Arial"/>
                <w:sz w:val="22"/>
              </w:rPr>
              <w:t>188 </w:t>
            </w:r>
            <w:r>
              <w:rPr>
                <w:sz w:val="22"/>
              </w:rPr>
              <w:t>号联系人：王菁</w:t>
            </w:r>
          </w:p>
          <w:p>
            <w:pPr>
              <w:pStyle w:val="TableParagraph"/>
              <w:spacing w:line="281" w:lineRule="exact"/>
              <w:ind w:left="100" w:right="95"/>
              <w:jc w:val="center"/>
              <w:rPr>
                <w:rFonts w:ascii="Arial" w:eastAsia="Arial"/>
                <w:sz w:val="22"/>
              </w:rPr>
            </w:pPr>
            <w:r>
              <w:rPr>
                <w:sz w:val="22"/>
              </w:rPr>
              <w:t>联系电话：</w:t>
            </w:r>
            <w:r>
              <w:rPr>
                <w:rFonts w:ascii="Arial" w:eastAsia="Arial"/>
                <w:sz w:val="22"/>
              </w:rPr>
              <w:t>021-58781234</w:t>
            </w:r>
          </w:p>
          <w:p>
            <w:pPr>
              <w:pStyle w:val="TableParagraph"/>
              <w:spacing w:before="30"/>
              <w:ind w:left="105" w:right="95"/>
              <w:jc w:val="center"/>
              <w:rPr>
                <w:rFonts w:ascii="Arial" w:eastAsia="Arial"/>
                <w:sz w:val="22"/>
              </w:rPr>
            </w:pPr>
            <w:r>
              <w:rPr>
                <w:sz w:val="22"/>
              </w:rPr>
              <w:t>客服电话：</w:t>
            </w:r>
            <w:r>
              <w:rPr>
                <w:rFonts w:ascii="Arial" w:eastAsia="Arial"/>
                <w:sz w:val="22"/>
              </w:rPr>
              <w:t>95559</w:t>
            </w:r>
          </w:p>
          <w:p>
            <w:pPr>
              <w:pStyle w:val="TableParagraph"/>
              <w:spacing w:line="277" w:lineRule="exact" w:before="30"/>
              <w:ind w:left="104" w:right="95"/>
              <w:jc w:val="center"/>
              <w:rPr>
                <w:rFonts w:ascii="Arial" w:eastAsia="Arial"/>
                <w:sz w:val="22"/>
              </w:rPr>
            </w:pPr>
            <w:r>
              <w:rPr>
                <w:sz w:val="22"/>
              </w:rPr>
              <w:t>公司网站：</w:t>
            </w:r>
            <w:hyperlink r:id="rId12">
              <w:r>
                <w:rPr>
                  <w:rFonts w:ascii="Arial" w:eastAsia="Arial"/>
                  <w:sz w:val="22"/>
                </w:rPr>
                <w:t>www.bankcomm.com</w:t>
              </w:r>
            </w:hyperlink>
          </w:p>
        </w:tc>
      </w:tr>
      <w:tr>
        <w:trPr>
          <w:trHeight w:val="1559" w:hRule="atLeast"/>
        </w:trPr>
        <w:tc>
          <w:tcPr>
            <w:tcW w:w="634" w:type="dxa"/>
          </w:tcPr>
          <w:p>
            <w:pPr>
              <w:pStyle w:val="TableParagraph"/>
              <w:rPr>
                <w:rFonts w:ascii="Times New Roman"/>
                <w:sz w:val="24"/>
              </w:rPr>
            </w:pPr>
          </w:p>
          <w:p>
            <w:pPr>
              <w:pStyle w:val="TableParagraph"/>
              <w:spacing w:before="1"/>
              <w:rPr>
                <w:rFonts w:ascii="Times New Roman"/>
                <w:sz w:val="33"/>
              </w:rPr>
            </w:pPr>
          </w:p>
          <w:p>
            <w:pPr>
              <w:pStyle w:val="TableParagraph"/>
              <w:ind w:right="248"/>
              <w:jc w:val="right"/>
              <w:rPr>
                <w:rFonts w:ascii="Arial"/>
                <w:sz w:val="21"/>
              </w:rPr>
            </w:pPr>
            <w:r>
              <w:rPr>
                <w:rFonts w:ascii="Arial"/>
                <w:w w:val="100"/>
                <w:sz w:val="21"/>
              </w:rPr>
              <w:t>6</w:t>
            </w:r>
          </w:p>
        </w:tc>
        <w:tc>
          <w:tcPr>
            <w:tcW w:w="3949" w:type="dxa"/>
          </w:tcPr>
          <w:p>
            <w:pPr>
              <w:pStyle w:val="TableParagraph"/>
              <w:rPr>
                <w:rFonts w:ascii="Times New Roman"/>
                <w:sz w:val="22"/>
              </w:rPr>
            </w:pPr>
          </w:p>
          <w:p>
            <w:pPr>
              <w:pStyle w:val="TableParagraph"/>
              <w:rPr>
                <w:rFonts w:ascii="Times New Roman"/>
                <w:sz w:val="22"/>
              </w:rPr>
            </w:pPr>
          </w:p>
          <w:p>
            <w:pPr>
              <w:pStyle w:val="TableParagraph"/>
              <w:spacing w:before="133"/>
              <w:ind w:left="82" w:right="77"/>
              <w:jc w:val="center"/>
              <w:rPr>
                <w:sz w:val="22"/>
              </w:rPr>
            </w:pPr>
            <w:r>
              <w:rPr>
                <w:sz w:val="22"/>
              </w:rPr>
              <w:t>招商银行股份有限公司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地址：深圳市福田区深南</w:t>
            </w:r>
            <w:r>
              <w:rPr>
                <w:spacing w:val="-19"/>
                <w:sz w:val="22"/>
              </w:rPr>
              <w:t>大道 </w:t>
            </w:r>
            <w:r>
              <w:rPr>
                <w:rFonts w:ascii="Arial" w:eastAsia="Arial"/>
                <w:sz w:val="22"/>
              </w:rPr>
              <w:t>7088 </w:t>
            </w:r>
            <w:r>
              <w:rPr>
                <w:sz w:val="22"/>
              </w:rPr>
              <w:t>号</w:t>
            </w:r>
          </w:p>
          <w:p>
            <w:pPr>
              <w:pStyle w:val="TableParagraph"/>
              <w:spacing w:line="266" w:lineRule="auto"/>
              <w:ind w:left="846" w:right="834" w:hanging="1"/>
              <w:jc w:val="center"/>
              <w:rPr>
                <w:rFonts w:ascii="Arial" w:eastAsia="Arial"/>
                <w:sz w:val="22"/>
              </w:rPr>
            </w:pPr>
            <w:r>
              <w:rPr>
                <w:sz w:val="22"/>
              </w:rPr>
              <w:t>法定代表人：李建红客户服务电话：</w:t>
            </w:r>
            <w:r>
              <w:rPr>
                <w:rFonts w:ascii="Arial" w:eastAsia="Arial"/>
                <w:sz w:val="22"/>
              </w:rPr>
              <w:t>95555</w:t>
            </w:r>
          </w:p>
          <w:p>
            <w:pPr>
              <w:pStyle w:val="TableParagraph"/>
              <w:spacing w:line="275" w:lineRule="exact"/>
              <w:ind w:left="102" w:right="95"/>
              <w:jc w:val="center"/>
              <w:rPr>
                <w:rFonts w:ascii="Arial" w:eastAsia="Arial"/>
                <w:sz w:val="22"/>
              </w:rPr>
            </w:pPr>
            <w:r>
              <w:rPr>
                <w:sz w:val="22"/>
              </w:rPr>
              <w:t>网址：</w:t>
            </w:r>
            <w:hyperlink r:id="rId13">
              <w:r>
                <w:rPr>
                  <w:rFonts w:ascii="Arial" w:eastAsia="Arial"/>
                  <w:sz w:val="22"/>
                </w:rPr>
                <w:t>www.cmbchina.com</w:t>
              </w:r>
            </w:hyperlink>
          </w:p>
        </w:tc>
      </w:tr>
      <w:tr>
        <w:trPr>
          <w:trHeight w:val="1562" w:hRule="atLeast"/>
        </w:trPr>
        <w:tc>
          <w:tcPr>
            <w:tcW w:w="634" w:type="dxa"/>
          </w:tcPr>
          <w:p>
            <w:pPr>
              <w:pStyle w:val="TableParagraph"/>
              <w:rPr>
                <w:rFonts w:ascii="Times New Roman"/>
                <w:sz w:val="24"/>
              </w:rPr>
            </w:pPr>
          </w:p>
          <w:p>
            <w:pPr>
              <w:pStyle w:val="TableParagraph"/>
              <w:spacing w:before="4"/>
              <w:rPr>
                <w:rFonts w:ascii="Times New Roman"/>
                <w:sz w:val="33"/>
              </w:rPr>
            </w:pPr>
          </w:p>
          <w:p>
            <w:pPr>
              <w:pStyle w:val="TableParagraph"/>
              <w:ind w:right="248"/>
              <w:jc w:val="right"/>
              <w:rPr>
                <w:rFonts w:ascii="Arial"/>
                <w:sz w:val="21"/>
              </w:rPr>
            </w:pPr>
            <w:r>
              <w:rPr>
                <w:rFonts w:ascii="Arial"/>
                <w:w w:val="100"/>
                <w:sz w:val="21"/>
              </w:rPr>
              <w:t>7</w:t>
            </w:r>
          </w:p>
        </w:tc>
        <w:tc>
          <w:tcPr>
            <w:tcW w:w="3949" w:type="dxa"/>
          </w:tcPr>
          <w:p>
            <w:pPr>
              <w:pStyle w:val="TableParagraph"/>
              <w:rPr>
                <w:rFonts w:ascii="Times New Roman"/>
                <w:sz w:val="22"/>
              </w:rPr>
            </w:pPr>
          </w:p>
          <w:p>
            <w:pPr>
              <w:pStyle w:val="TableParagraph"/>
              <w:rPr>
                <w:rFonts w:ascii="Times New Roman"/>
                <w:sz w:val="22"/>
              </w:rPr>
            </w:pPr>
          </w:p>
          <w:p>
            <w:pPr>
              <w:pStyle w:val="TableParagraph"/>
              <w:spacing w:before="136"/>
              <w:ind w:left="82" w:right="77"/>
              <w:jc w:val="center"/>
              <w:rPr>
                <w:sz w:val="22"/>
              </w:rPr>
            </w:pPr>
            <w:r>
              <w:rPr>
                <w:sz w:val="22"/>
              </w:rPr>
              <w:t>广发银行股份有限公司</w:t>
            </w:r>
          </w:p>
        </w:tc>
        <w:tc>
          <w:tcPr>
            <w:tcW w:w="3848" w:type="dxa"/>
          </w:tcPr>
          <w:p>
            <w:pPr>
              <w:pStyle w:val="TableParagraph"/>
              <w:spacing w:line="266" w:lineRule="auto" w:before="17"/>
              <w:ind w:left="1134" w:right="95" w:hanging="586"/>
              <w:rPr>
                <w:sz w:val="22"/>
              </w:rPr>
            </w:pPr>
            <w:r>
              <w:rPr>
                <w:spacing w:val="-20"/>
                <w:sz w:val="22"/>
              </w:rPr>
              <w:t>注册</w:t>
            </w:r>
            <w:r>
              <w:rPr>
                <w:sz w:val="22"/>
              </w:rPr>
              <w:t>（</w:t>
            </w:r>
            <w:r>
              <w:rPr>
                <w:spacing w:val="-2"/>
                <w:sz w:val="22"/>
              </w:rPr>
              <w:t>办公</w:t>
            </w:r>
            <w:r>
              <w:rPr>
                <w:spacing w:val="-36"/>
                <w:sz w:val="22"/>
              </w:rPr>
              <w:t>）</w:t>
            </w:r>
            <w:r>
              <w:rPr>
                <w:spacing w:val="-9"/>
                <w:sz w:val="22"/>
              </w:rPr>
              <w:t>地址：广州市越秀区</w:t>
            </w:r>
            <w:r>
              <w:rPr>
                <w:spacing w:val="-11"/>
                <w:sz w:val="22"/>
              </w:rPr>
              <w:t>东风东路 </w:t>
            </w:r>
            <w:r>
              <w:rPr>
                <w:rFonts w:ascii="Arial" w:eastAsia="Arial"/>
                <w:sz w:val="22"/>
              </w:rPr>
              <w:t>713 </w:t>
            </w:r>
            <w:r>
              <w:rPr>
                <w:sz w:val="22"/>
              </w:rPr>
              <w:t>号</w:t>
            </w:r>
          </w:p>
          <w:p>
            <w:pPr>
              <w:pStyle w:val="TableParagraph"/>
              <w:spacing w:line="281" w:lineRule="exact"/>
              <w:ind w:left="1153"/>
              <w:rPr>
                <w:sz w:val="22"/>
              </w:rPr>
            </w:pPr>
            <w:r>
              <w:rPr>
                <w:sz w:val="22"/>
              </w:rPr>
              <w:t>法定代表人：杨明生</w:t>
            </w:r>
          </w:p>
          <w:p>
            <w:pPr>
              <w:pStyle w:val="TableParagraph"/>
              <w:spacing w:before="30"/>
              <w:ind w:left="702"/>
              <w:rPr>
                <w:rFonts w:ascii="Arial" w:eastAsia="Arial"/>
                <w:sz w:val="22"/>
              </w:rPr>
            </w:pPr>
            <w:r>
              <w:rPr>
                <w:spacing w:val="-3"/>
                <w:sz w:val="22"/>
              </w:rPr>
              <w:t>客户服务电话：</w:t>
            </w:r>
            <w:r>
              <w:rPr>
                <w:rFonts w:ascii="Arial" w:eastAsia="Arial"/>
                <w:sz w:val="22"/>
              </w:rPr>
              <w:t>400</w:t>
            </w:r>
            <w:r>
              <w:rPr>
                <w:rFonts w:ascii="Arial" w:eastAsia="Arial"/>
                <w:spacing w:val="-1"/>
                <w:sz w:val="22"/>
              </w:rPr>
              <w:t> </w:t>
            </w:r>
            <w:r>
              <w:rPr>
                <w:rFonts w:ascii="Arial" w:eastAsia="Arial"/>
                <w:sz w:val="22"/>
              </w:rPr>
              <w:t>830</w:t>
            </w:r>
            <w:r>
              <w:rPr>
                <w:rFonts w:ascii="Arial" w:eastAsia="Arial"/>
                <w:spacing w:val="4"/>
                <w:sz w:val="22"/>
              </w:rPr>
              <w:t> </w:t>
            </w:r>
            <w:r>
              <w:rPr>
                <w:rFonts w:ascii="Arial" w:eastAsia="Arial"/>
                <w:sz w:val="22"/>
              </w:rPr>
              <w:t>8003</w:t>
            </w:r>
          </w:p>
          <w:p>
            <w:pPr>
              <w:pStyle w:val="TableParagraph"/>
              <w:spacing w:line="277" w:lineRule="exact" w:before="30"/>
              <w:ind w:left="719"/>
              <w:rPr>
                <w:rFonts w:ascii="Arial" w:eastAsia="Arial"/>
                <w:sz w:val="22"/>
              </w:rPr>
            </w:pPr>
            <w:r>
              <w:rPr>
                <w:spacing w:val="-2"/>
                <w:sz w:val="22"/>
              </w:rPr>
              <w:t>网址：</w:t>
            </w:r>
            <w:hyperlink r:id="rId14">
              <w:r>
                <w:rPr>
                  <w:rFonts w:ascii="Arial" w:eastAsia="Arial"/>
                  <w:spacing w:val="-1"/>
                  <w:sz w:val="22"/>
                </w:rPr>
                <w:t>www.cgbchina.com.cn</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248"/>
              <w:jc w:val="right"/>
              <w:rPr>
                <w:rFonts w:ascii="Arial"/>
                <w:sz w:val="21"/>
              </w:rPr>
            </w:pPr>
            <w:r>
              <w:rPr>
                <w:rFonts w:ascii="Arial"/>
                <w:w w:val="100"/>
                <w:sz w:val="21"/>
              </w:rPr>
              <w:t>8</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2" w:right="77"/>
              <w:jc w:val="center"/>
              <w:rPr>
                <w:sz w:val="22"/>
              </w:rPr>
            </w:pPr>
            <w:r>
              <w:rPr>
                <w:sz w:val="22"/>
              </w:rPr>
              <w:t>上海浦东发展银行股份有限公司</w:t>
            </w:r>
          </w:p>
        </w:tc>
        <w:tc>
          <w:tcPr>
            <w:tcW w:w="3848" w:type="dxa"/>
          </w:tcPr>
          <w:p>
            <w:pPr>
              <w:pStyle w:val="TableParagraph"/>
              <w:spacing w:line="266" w:lineRule="auto" w:before="15"/>
              <w:ind w:left="105" w:right="95"/>
              <w:jc w:val="center"/>
              <w:rPr>
                <w:sz w:val="22"/>
              </w:rPr>
            </w:pPr>
            <w:r>
              <w:rPr>
                <w:sz w:val="22"/>
              </w:rPr>
              <w:t>注册地址：上海市浦东新区浦东南路500 号</w:t>
            </w:r>
          </w:p>
          <w:p>
            <w:pPr>
              <w:pStyle w:val="TableParagraph"/>
              <w:spacing w:line="266" w:lineRule="auto"/>
              <w:ind w:left="217" w:right="204"/>
              <w:jc w:val="center"/>
              <w:rPr>
                <w:sz w:val="22"/>
              </w:rPr>
            </w:pPr>
            <w:r>
              <w:rPr>
                <w:spacing w:val="-7"/>
                <w:sz w:val="22"/>
              </w:rPr>
              <w:t>办公地址：上海市中山东一路 </w:t>
            </w:r>
            <w:r>
              <w:rPr>
                <w:sz w:val="22"/>
              </w:rPr>
              <w:t>12</w:t>
            </w:r>
            <w:r>
              <w:rPr>
                <w:spacing w:val="-32"/>
                <w:sz w:val="22"/>
              </w:rPr>
              <w:t> 号</w:t>
            </w:r>
            <w:r>
              <w:rPr>
                <w:spacing w:val="-2"/>
                <w:sz w:val="22"/>
              </w:rPr>
              <w:t>法定代表人：吉晓辉</w:t>
            </w:r>
          </w:p>
          <w:p>
            <w:pPr>
              <w:pStyle w:val="TableParagraph"/>
              <w:spacing w:line="266" w:lineRule="auto"/>
              <w:ind w:left="767" w:right="755" w:firstLine="165"/>
              <w:rPr>
                <w:sz w:val="22"/>
              </w:rPr>
            </w:pPr>
            <w:r>
              <w:rPr>
                <w:sz w:val="22"/>
              </w:rPr>
              <w:t>联系人：高天、于慧电话：（021）61618888 传真：（021）63604199 客户服务热线：95528</w:t>
            </w:r>
          </w:p>
          <w:p>
            <w:pPr>
              <w:pStyle w:val="TableParagraph"/>
              <w:spacing w:line="274" w:lineRule="exact"/>
              <w:ind w:left="546"/>
              <w:rPr>
                <w:sz w:val="22"/>
              </w:rPr>
            </w:pPr>
            <w:r>
              <w:rPr>
                <w:sz w:val="22"/>
              </w:rPr>
              <w:t>公司网站</w:t>
            </w:r>
            <w:hyperlink r:id="rId15">
              <w:r>
                <w:rPr>
                  <w:sz w:val="22"/>
                </w:rPr>
                <w:t>：www.spdb.com.cn</w:t>
              </w:r>
            </w:hyperlink>
          </w:p>
        </w:tc>
      </w:tr>
      <w:tr>
        <w:trPr>
          <w:trHeight w:val="2183"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248"/>
              <w:jc w:val="right"/>
              <w:rPr>
                <w:rFonts w:ascii="Arial"/>
                <w:sz w:val="21"/>
              </w:rPr>
            </w:pPr>
            <w:r>
              <w:rPr>
                <w:rFonts w:ascii="Arial"/>
                <w:w w:val="100"/>
                <w:sz w:val="21"/>
              </w:rPr>
              <w:t>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2" w:right="77"/>
              <w:jc w:val="center"/>
              <w:rPr>
                <w:sz w:val="22"/>
              </w:rPr>
            </w:pPr>
            <w:r>
              <w:rPr>
                <w:sz w:val="22"/>
              </w:rPr>
              <w:t>兴业银行股份有限公司</w:t>
            </w:r>
          </w:p>
        </w:tc>
        <w:tc>
          <w:tcPr>
            <w:tcW w:w="3848" w:type="dxa"/>
          </w:tcPr>
          <w:p>
            <w:pPr>
              <w:pStyle w:val="TableParagraph"/>
              <w:spacing w:line="266" w:lineRule="auto" w:before="15"/>
              <w:ind w:left="107" w:right="94"/>
              <w:jc w:val="center"/>
              <w:rPr>
                <w:sz w:val="22"/>
              </w:rPr>
            </w:pPr>
            <w:r>
              <w:rPr>
                <w:spacing w:val="-17"/>
                <w:sz w:val="22"/>
              </w:rPr>
              <w:t>注册地址：福州市湖东路 </w:t>
            </w:r>
            <w:r>
              <w:rPr>
                <w:sz w:val="22"/>
              </w:rPr>
              <w:t>154</w:t>
            </w:r>
            <w:r>
              <w:rPr>
                <w:spacing w:val="-14"/>
                <w:sz w:val="22"/>
              </w:rPr>
              <w:t> 号中山大</w:t>
            </w:r>
            <w:r>
              <w:rPr>
                <w:sz w:val="22"/>
              </w:rPr>
              <w:t>厦</w:t>
            </w:r>
          </w:p>
          <w:p>
            <w:pPr>
              <w:pStyle w:val="TableParagraph"/>
              <w:spacing w:line="266" w:lineRule="auto"/>
              <w:ind w:left="932" w:right="920"/>
              <w:jc w:val="center"/>
              <w:rPr>
                <w:sz w:val="22"/>
              </w:rPr>
            </w:pPr>
            <w:r>
              <w:rPr>
                <w:sz w:val="22"/>
              </w:rPr>
              <w:t>法定代表人：高建平联系人：陈丹</w:t>
            </w:r>
          </w:p>
          <w:p>
            <w:pPr>
              <w:pStyle w:val="TableParagraph"/>
              <w:spacing w:line="280" w:lineRule="exact"/>
              <w:ind w:left="105" w:right="95"/>
              <w:jc w:val="center"/>
              <w:rPr>
                <w:sz w:val="22"/>
              </w:rPr>
            </w:pPr>
            <w:r>
              <w:rPr>
                <w:spacing w:val="-1"/>
                <w:sz w:val="22"/>
              </w:rPr>
              <w:t>电话：(0591)87844211</w:t>
            </w:r>
          </w:p>
          <w:p>
            <w:pPr>
              <w:pStyle w:val="TableParagraph"/>
              <w:spacing w:line="310" w:lineRule="atLeast"/>
              <w:ind w:left="822" w:right="810"/>
              <w:jc w:val="center"/>
              <w:rPr>
                <w:sz w:val="22"/>
              </w:rPr>
            </w:pPr>
            <w:r>
              <w:rPr>
                <w:spacing w:val="-1"/>
                <w:sz w:val="22"/>
              </w:rPr>
              <w:t>客户服务电话：</w:t>
            </w:r>
            <w:r>
              <w:rPr>
                <w:sz w:val="22"/>
              </w:rPr>
              <w:t>95561 </w:t>
            </w:r>
            <w:hyperlink r:id="rId16">
              <w:r>
                <w:rPr>
                  <w:sz w:val="22"/>
                </w:rPr>
                <w:t>网址</w:t>
              </w:r>
              <w:r>
                <w:rPr>
                  <w:spacing w:val="-3"/>
                  <w:sz w:val="22"/>
                </w:rPr>
                <w:t>：www.cib.com.cn</w:t>
              </w:r>
            </w:hyperlink>
          </w:p>
        </w:tc>
      </w:tr>
    </w:tbl>
    <w:p>
      <w:pPr>
        <w:spacing w:after="0" w:line="310" w:lineRule="atLeast"/>
        <w:jc w:val="center"/>
        <w:rPr>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184"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87"/>
              <w:jc w:val="right"/>
              <w:rPr>
                <w:rFonts w:ascii="Arial"/>
                <w:sz w:val="21"/>
              </w:rPr>
            </w:pPr>
            <w:r>
              <w:rPr>
                <w:rFonts w:ascii="Arial"/>
                <w:sz w:val="21"/>
              </w:rPr>
              <w:t>10</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77" w:right="77"/>
              <w:jc w:val="center"/>
              <w:rPr>
                <w:sz w:val="22"/>
              </w:rPr>
            </w:pPr>
            <w:r>
              <w:rPr>
                <w:sz w:val="22"/>
              </w:rPr>
              <w:t>中国光大银行股份有限公司</w:t>
            </w:r>
          </w:p>
        </w:tc>
        <w:tc>
          <w:tcPr>
            <w:tcW w:w="3848" w:type="dxa"/>
            <w:tcBorders>
              <w:top w:val="nil"/>
            </w:tcBorders>
          </w:tcPr>
          <w:p>
            <w:pPr>
              <w:pStyle w:val="TableParagraph"/>
              <w:spacing w:before="15"/>
              <w:ind w:left="102" w:right="95"/>
              <w:jc w:val="center"/>
              <w:rPr>
                <w:sz w:val="22"/>
              </w:rPr>
            </w:pPr>
            <w:r>
              <w:rPr>
                <w:sz w:val="22"/>
              </w:rPr>
              <w:t>注册地址：北京市西城区太平桥大街</w:t>
            </w:r>
          </w:p>
          <w:p>
            <w:pPr>
              <w:pStyle w:val="TableParagraph"/>
              <w:spacing w:before="30"/>
              <w:ind w:left="105" w:right="95"/>
              <w:jc w:val="center"/>
              <w:rPr>
                <w:sz w:val="22"/>
              </w:rPr>
            </w:pPr>
            <w:r>
              <w:rPr>
                <w:rFonts w:ascii="Arial" w:eastAsia="Arial"/>
                <w:sz w:val="22"/>
              </w:rPr>
              <w:t>25 </w:t>
            </w:r>
            <w:r>
              <w:rPr>
                <w:sz w:val="22"/>
              </w:rPr>
              <w:t>号光大中心</w:t>
            </w:r>
          </w:p>
          <w:p>
            <w:pPr>
              <w:pStyle w:val="TableParagraph"/>
              <w:spacing w:before="31"/>
              <w:ind w:left="102" w:right="95"/>
              <w:jc w:val="center"/>
              <w:rPr>
                <w:sz w:val="22"/>
              </w:rPr>
            </w:pPr>
            <w:r>
              <w:rPr>
                <w:sz w:val="22"/>
              </w:rPr>
              <w:t>办公地址：北京市西城区太平桥大街</w:t>
            </w:r>
          </w:p>
          <w:p>
            <w:pPr>
              <w:pStyle w:val="TableParagraph"/>
              <w:spacing w:line="266" w:lineRule="auto" w:before="30"/>
              <w:ind w:left="932" w:right="920" w:firstLine="290"/>
              <w:rPr>
                <w:sz w:val="22"/>
              </w:rPr>
            </w:pPr>
            <w:r>
              <w:rPr>
                <w:rFonts w:ascii="Arial" w:eastAsia="Arial"/>
                <w:sz w:val="22"/>
              </w:rPr>
              <w:t>25  </w:t>
            </w:r>
            <w:r>
              <w:rPr>
                <w:sz w:val="22"/>
              </w:rPr>
              <w:t>号光大中心法定代表人：李晓鹏</w:t>
            </w:r>
          </w:p>
          <w:p>
            <w:pPr>
              <w:pStyle w:val="TableParagraph"/>
              <w:spacing w:line="280" w:lineRule="exact"/>
              <w:ind w:left="407"/>
              <w:rPr>
                <w:sz w:val="22"/>
              </w:rPr>
            </w:pPr>
            <w:r>
              <w:rPr>
                <w:sz w:val="22"/>
              </w:rPr>
              <w:t>客户服务电话：</w:t>
            </w:r>
            <w:r>
              <w:rPr>
                <w:rFonts w:ascii="Arial" w:eastAsia="Arial"/>
                <w:sz w:val="22"/>
              </w:rPr>
              <w:t>95595</w:t>
            </w:r>
            <w:r>
              <w:rPr>
                <w:sz w:val="22"/>
              </w:rPr>
              <w:t>（全国）</w:t>
            </w:r>
          </w:p>
          <w:p>
            <w:pPr>
              <w:pStyle w:val="TableParagraph"/>
              <w:spacing w:line="277" w:lineRule="exact" w:before="30"/>
              <w:ind w:left="101" w:right="95"/>
              <w:jc w:val="center"/>
              <w:rPr>
                <w:rFonts w:ascii="Arial" w:eastAsia="Arial"/>
                <w:sz w:val="22"/>
              </w:rPr>
            </w:pPr>
            <w:r>
              <w:rPr>
                <w:sz w:val="22"/>
              </w:rPr>
              <w:t>网址：</w:t>
            </w:r>
            <w:hyperlink r:id="rId17">
              <w:r>
                <w:rPr>
                  <w:rFonts w:ascii="Arial" w:eastAsia="Arial"/>
                  <w:sz w:val="22"/>
                </w:rPr>
                <w:t>www.cebbank.com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11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7" w:right="77"/>
              <w:jc w:val="center"/>
              <w:rPr>
                <w:sz w:val="22"/>
              </w:rPr>
            </w:pPr>
            <w:r>
              <w:rPr>
                <w:sz w:val="22"/>
              </w:rPr>
              <w:t>中国民生银行股份有限公司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地址：北京市西城区复兴</w:t>
            </w:r>
            <w:r>
              <w:rPr>
                <w:spacing w:val="-11"/>
                <w:sz w:val="22"/>
              </w:rPr>
              <w:t>门内大街 </w:t>
            </w:r>
            <w:r>
              <w:rPr>
                <w:rFonts w:ascii="Arial" w:eastAsia="Arial"/>
                <w:sz w:val="22"/>
              </w:rPr>
              <w:t>2</w:t>
            </w:r>
            <w:r>
              <w:rPr>
                <w:rFonts w:ascii="Arial" w:eastAsia="Arial"/>
                <w:spacing w:val="-9"/>
                <w:sz w:val="22"/>
              </w:rPr>
              <w:t> </w:t>
            </w:r>
            <w:r>
              <w:rPr>
                <w:sz w:val="22"/>
              </w:rPr>
              <w:t>号</w:t>
            </w:r>
          </w:p>
          <w:p>
            <w:pPr>
              <w:pStyle w:val="TableParagraph"/>
              <w:spacing w:line="266" w:lineRule="auto"/>
              <w:ind w:left="1043" w:right="1031"/>
              <w:jc w:val="center"/>
              <w:rPr>
                <w:sz w:val="22"/>
              </w:rPr>
            </w:pPr>
            <w:r>
              <w:rPr>
                <w:spacing w:val="-4"/>
                <w:sz w:val="22"/>
              </w:rPr>
              <w:t>法定代表人：洪崎</w:t>
            </w:r>
            <w:r>
              <w:rPr>
                <w:spacing w:val="-1"/>
                <w:sz w:val="22"/>
              </w:rPr>
              <w:t>联系人：穆婷</w:t>
            </w:r>
          </w:p>
          <w:p>
            <w:pPr>
              <w:pStyle w:val="TableParagraph"/>
              <w:spacing w:line="266" w:lineRule="auto"/>
              <w:ind w:left="661" w:right="653"/>
              <w:jc w:val="center"/>
              <w:rPr>
                <w:rFonts w:ascii="Arial" w:eastAsia="Arial"/>
                <w:sz w:val="22"/>
              </w:rPr>
            </w:pPr>
            <w:r>
              <w:rPr>
                <w:sz w:val="22"/>
              </w:rPr>
              <w:t>联系电话：</w:t>
            </w:r>
            <w:r>
              <w:rPr>
                <w:rFonts w:ascii="Arial" w:eastAsia="Arial"/>
                <w:sz w:val="22"/>
              </w:rPr>
              <w:t>010-58560666 </w:t>
            </w:r>
            <w:r>
              <w:rPr>
                <w:sz w:val="22"/>
              </w:rPr>
              <w:t>传真：</w:t>
            </w:r>
            <w:r>
              <w:rPr>
                <w:rFonts w:ascii="Arial" w:eastAsia="Arial"/>
                <w:sz w:val="22"/>
              </w:rPr>
              <w:t>010-57092611</w:t>
            </w:r>
          </w:p>
          <w:p>
            <w:pPr>
              <w:pStyle w:val="TableParagraph"/>
              <w:spacing w:line="280" w:lineRule="exact"/>
              <w:ind w:left="105" w:right="95"/>
              <w:jc w:val="center"/>
              <w:rPr>
                <w:rFonts w:ascii="Arial" w:eastAsia="Arial"/>
                <w:sz w:val="22"/>
              </w:rPr>
            </w:pPr>
            <w:r>
              <w:rPr>
                <w:sz w:val="22"/>
              </w:rPr>
              <w:t>客户服务热线：</w:t>
            </w:r>
            <w:r>
              <w:rPr>
                <w:rFonts w:ascii="Arial" w:eastAsia="Arial"/>
                <w:sz w:val="22"/>
              </w:rPr>
              <w:t>95568</w:t>
            </w:r>
          </w:p>
          <w:p>
            <w:pPr>
              <w:pStyle w:val="TableParagraph"/>
              <w:spacing w:line="277" w:lineRule="exact" w:before="27"/>
              <w:ind w:left="102" w:right="95"/>
              <w:jc w:val="center"/>
              <w:rPr>
                <w:rFonts w:ascii="Arial" w:eastAsia="Arial"/>
                <w:sz w:val="22"/>
              </w:rPr>
            </w:pPr>
            <w:r>
              <w:rPr>
                <w:sz w:val="22"/>
              </w:rPr>
              <w:t>网址：</w:t>
            </w:r>
            <w:hyperlink r:id="rId18">
              <w:r>
                <w:rPr>
                  <w:rFonts w:ascii="Arial" w:eastAsia="Arial"/>
                  <w:sz w:val="22"/>
                </w:rPr>
                <w:t>www.cmbc.com.cn</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12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北京银行股份有限公司</w:t>
            </w:r>
          </w:p>
        </w:tc>
        <w:tc>
          <w:tcPr>
            <w:tcW w:w="3848" w:type="dxa"/>
          </w:tcPr>
          <w:p>
            <w:pPr>
              <w:pStyle w:val="TableParagraph"/>
              <w:spacing w:before="15"/>
              <w:ind w:left="102" w:right="95"/>
              <w:jc w:val="center"/>
              <w:rPr>
                <w:sz w:val="22"/>
              </w:rPr>
            </w:pPr>
            <w:r>
              <w:rPr>
                <w:sz w:val="22"/>
              </w:rPr>
              <w:t>注册地址：北京市西城区金融大街甲</w:t>
            </w:r>
          </w:p>
          <w:p>
            <w:pPr>
              <w:pStyle w:val="TableParagraph"/>
              <w:spacing w:before="30"/>
              <w:ind w:left="102" w:right="95"/>
              <w:jc w:val="center"/>
              <w:rPr>
                <w:sz w:val="22"/>
              </w:rPr>
            </w:pPr>
            <w:r>
              <w:rPr>
                <w:rFonts w:ascii="Arial" w:eastAsia="Arial"/>
                <w:sz w:val="22"/>
              </w:rPr>
              <w:t>17 </w:t>
            </w:r>
            <w:r>
              <w:rPr>
                <w:sz w:val="22"/>
              </w:rPr>
              <w:t>号首层</w:t>
            </w:r>
          </w:p>
          <w:p>
            <w:pPr>
              <w:pStyle w:val="TableParagraph"/>
              <w:spacing w:before="30"/>
              <w:ind w:left="102" w:right="95"/>
              <w:jc w:val="center"/>
              <w:rPr>
                <w:sz w:val="22"/>
              </w:rPr>
            </w:pPr>
            <w:r>
              <w:rPr>
                <w:sz w:val="22"/>
              </w:rPr>
              <w:t>办公地址：北京市西城区金融大街丙</w:t>
            </w:r>
          </w:p>
          <w:p>
            <w:pPr>
              <w:pStyle w:val="TableParagraph"/>
              <w:spacing w:before="30"/>
              <w:ind w:left="102" w:right="95"/>
              <w:jc w:val="center"/>
              <w:rPr>
                <w:sz w:val="22"/>
              </w:rPr>
            </w:pPr>
            <w:r>
              <w:rPr>
                <w:rFonts w:ascii="Arial" w:eastAsia="Arial"/>
                <w:sz w:val="22"/>
              </w:rPr>
              <w:t>17 </w:t>
            </w:r>
            <w:r>
              <w:rPr>
                <w:sz w:val="22"/>
              </w:rPr>
              <w:t>号</w:t>
            </w:r>
          </w:p>
          <w:p>
            <w:pPr>
              <w:pStyle w:val="TableParagraph"/>
              <w:spacing w:line="266" w:lineRule="auto" w:before="30"/>
              <w:ind w:left="882" w:right="872" w:firstLine="2"/>
              <w:jc w:val="center"/>
              <w:rPr>
                <w:rFonts w:ascii="Arial" w:eastAsia="Arial"/>
                <w:sz w:val="22"/>
              </w:rPr>
            </w:pPr>
            <w:r>
              <w:rPr>
                <w:sz w:val="22"/>
              </w:rPr>
              <w:t>法定代表人：闫冰竹传真：</w:t>
            </w:r>
            <w:r>
              <w:rPr>
                <w:rFonts w:ascii="Arial" w:eastAsia="Arial"/>
                <w:sz w:val="22"/>
              </w:rPr>
              <w:t>010-66226045</w:t>
            </w:r>
          </w:p>
          <w:p>
            <w:pPr>
              <w:pStyle w:val="TableParagraph"/>
              <w:spacing w:line="281" w:lineRule="exact"/>
              <w:ind w:left="101" w:right="95"/>
              <w:jc w:val="center"/>
              <w:rPr>
                <w:rFonts w:ascii="Arial" w:eastAsia="Arial"/>
                <w:sz w:val="22"/>
              </w:rPr>
            </w:pPr>
            <w:r>
              <w:rPr>
                <w:sz w:val="22"/>
              </w:rPr>
              <w:t>客户服务电话：</w:t>
            </w:r>
            <w:r>
              <w:rPr>
                <w:rFonts w:ascii="Arial" w:eastAsia="Arial"/>
                <w:sz w:val="22"/>
              </w:rPr>
              <w:t>010-95526</w:t>
            </w:r>
          </w:p>
          <w:p>
            <w:pPr>
              <w:pStyle w:val="TableParagraph"/>
              <w:spacing w:line="277" w:lineRule="exact" w:before="30"/>
              <w:ind w:left="101" w:right="95"/>
              <w:jc w:val="center"/>
              <w:rPr>
                <w:rFonts w:ascii="Arial" w:eastAsia="Arial"/>
                <w:sz w:val="22"/>
              </w:rPr>
            </w:pPr>
            <w:r>
              <w:rPr>
                <w:sz w:val="22"/>
              </w:rPr>
              <w:t>网址：</w:t>
            </w:r>
            <w:hyperlink r:id="rId19">
              <w:r>
                <w:rPr>
                  <w:rFonts w:ascii="Arial" w:eastAsia="Arial"/>
                  <w:sz w:val="22"/>
                </w:rPr>
                <w:t>www.bankofbeijing.com.cn</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13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2" w:right="77"/>
              <w:jc w:val="center"/>
              <w:rPr>
                <w:sz w:val="22"/>
              </w:rPr>
            </w:pPr>
            <w:r>
              <w:rPr>
                <w:sz w:val="22"/>
              </w:rPr>
              <w:t>中信银行股份有限公司</w:t>
            </w:r>
          </w:p>
        </w:tc>
        <w:tc>
          <w:tcPr>
            <w:tcW w:w="3848" w:type="dxa"/>
          </w:tcPr>
          <w:p>
            <w:pPr>
              <w:pStyle w:val="TableParagraph"/>
              <w:spacing w:before="15"/>
              <w:ind w:left="10"/>
              <w:jc w:val="center"/>
              <w:rPr>
                <w:sz w:val="22"/>
              </w:rPr>
            </w:pPr>
            <w:r>
              <w:rPr>
                <w:sz w:val="22"/>
              </w:rPr>
              <w:t>注册地址：北京市东城区朝阳门北大街</w:t>
            </w:r>
          </w:p>
          <w:p>
            <w:pPr>
              <w:pStyle w:val="TableParagraph"/>
              <w:spacing w:before="30"/>
              <w:ind w:left="1722"/>
              <w:jc w:val="both"/>
              <w:rPr>
                <w:sz w:val="22"/>
              </w:rPr>
            </w:pPr>
            <w:r>
              <w:rPr>
                <w:rFonts w:ascii="Arial" w:eastAsia="Arial"/>
                <w:sz w:val="22"/>
              </w:rPr>
              <w:t>9 </w:t>
            </w:r>
            <w:r>
              <w:rPr>
                <w:sz w:val="22"/>
              </w:rPr>
              <w:t>号</w:t>
            </w:r>
          </w:p>
          <w:p>
            <w:pPr>
              <w:pStyle w:val="TableParagraph"/>
              <w:spacing w:before="30"/>
              <w:ind w:left="10"/>
              <w:jc w:val="center"/>
              <w:rPr>
                <w:sz w:val="22"/>
              </w:rPr>
            </w:pPr>
            <w:r>
              <w:rPr>
                <w:sz w:val="22"/>
              </w:rPr>
              <w:t>办公地址：北京市东城区朝阳门北大街</w:t>
            </w:r>
          </w:p>
          <w:p>
            <w:pPr>
              <w:pStyle w:val="TableParagraph"/>
              <w:spacing w:before="30"/>
              <w:ind w:left="1722"/>
              <w:jc w:val="both"/>
              <w:rPr>
                <w:sz w:val="22"/>
              </w:rPr>
            </w:pPr>
            <w:r>
              <w:rPr>
                <w:rFonts w:ascii="Arial" w:eastAsia="Arial"/>
                <w:sz w:val="22"/>
              </w:rPr>
              <w:t>9 </w:t>
            </w:r>
            <w:r>
              <w:rPr>
                <w:sz w:val="22"/>
              </w:rPr>
              <w:t>号</w:t>
            </w:r>
          </w:p>
          <w:p>
            <w:pPr>
              <w:pStyle w:val="TableParagraph"/>
              <w:spacing w:line="266" w:lineRule="auto" w:before="30"/>
              <w:ind w:left="851" w:right="841" w:firstLine="81"/>
              <w:jc w:val="both"/>
              <w:rPr>
                <w:rFonts w:ascii="Arial" w:eastAsia="Arial"/>
                <w:sz w:val="22"/>
              </w:rPr>
            </w:pPr>
            <w:r>
              <w:rPr>
                <w:spacing w:val="-2"/>
                <w:sz w:val="22"/>
              </w:rPr>
              <w:t>法定代表人：李庆萍电话：</w:t>
            </w:r>
            <w:r>
              <w:rPr>
                <w:rFonts w:ascii="Arial" w:eastAsia="Arial"/>
                <w:spacing w:val="-2"/>
                <w:sz w:val="22"/>
              </w:rPr>
              <w:t>010-89937643 </w:t>
            </w:r>
            <w:r>
              <w:rPr>
                <w:spacing w:val="-2"/>
                <w:sz w:val="22"/>
              </w:rPr>
              <w:t>传真：</w:t>
            </w:r>
            <w:r>
              <w:rPr>
                <w:rFonts w:ascii="Arial" w:eastAsia="Arial"/>
                <w:spacing w:val="-2"/>
                <w:sz w:val="22"/>
              </w:rPr>
              <w:t>010</w:t>
            </w:r>
            <w:r>
              <w:rPr>
                <w:rFonts w:ascii="Arial" w:eastAsia="Arial"/>
                <w:spacing w:val="-4"/>
                <w:sz w:val="22"/>
              </w:rPr>
              <w:t>- </w:t>
            </w:r>
            <w:r>
              <w:rPr>
                <w:rFonts w:ascii="Arial" w:eastAsia="Arial"/>
                <w:sz w:val="22"/>
              </w:rPr>
              <w:t>85230127</w:t>
            </w:r>
          </w:p>
          <w:p>
            <w:pPr>
              <w:pStyle w:val="TableParagraph"/>
              <w:spacing w:line="279" w:lineRule="exact"/>
              <w:ind w:left="105" w:right="95"/>
              <w:jc w:val="center"/>
              <w:rPr>
                <w:rFonts w:ascii="Arial" w:eastAsia="Arial"/>
                <w:sz w:val="22"/>
              </w:rPr>
            </w:pPr>
            <w:r>
              <w:rPr>
                <w:spacing w:val="-2"/>
                <w:sz w:val="22"/>
              </w:rPr>
              <w:t>客户服务电话：</w:t>
            </w:r>
            <w:r>
              <w:rPr>
                <w:rFonts w:ascii="Arial" w:eastAsia="Arial"/>
                <w:sz w:val="22"/>
              </w:rPr>
              <w:t>95558</w:t>
            </w:r>
          </w:p>
          <w:p>
            <w:pPr>
              <w:pStyle w:val="TableParagraph"/>
              <w:spacing w:line="277" w:lineRule="exact" w:before="30"/>
              <w:ind w:left="104" w:right="95"/>
              <w:jc w:val="center"/>
              <w:rPr>
                <w:rFonts w:ascii="Arial" w:eastAsia="Arial"/>
                <w:sz w:val="22"/>
              </w:rPr>
            </w:pPr>
            <w:r>
              <w:rPr>
                <w:sz w:val="22"/>
              </w:rPr>
              <w:t>网址：</w:t>
            </w:r>
            <w:hyperlink r:id="rId20">
              <w:r>
                <w:rPr>
                  <w:rFonts w:ascii="Arial" w:eastAsia="Arial"/>
                  <w:sz w:val="22"/>
                </w:rPr>
                <w:t>www.bank.ecitic.com</w:t>
              </w:r>
            </w:hyperlink>
          </w:p>
        </w:tc>
      </w:tr>
      <w:tr>
        <w:trPr>
          <w:trHeight w:val="249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87"/>
              <w:jc w:val="right"/>
              <w:rPr>
                <w:rFonts w:ascii="Arial"/>
                <w:sz w:val="21"/>
              </w:rPr>
            </w:pPr>
            <w:r>
              <w:rPr>
                <w:rFonts w:ascii="Arial"/>
                <w:sz w:val="21"/>
              </w:rPr>
              <w:t>14</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2" w:right="77"/>
              <w:jc w:val="center"/>
              <w:rPr>
                <w:sz w:val="22"/>
              </w:rPr>
            </w:pPr>
            <w:r>
              <w:rPr>
                <w:sz w:val="22"/>
              </w:rPr>
              <w:t>平安银行股份有限公司</w:t>
            </w:r>
          </w:p>
        </w:tc>
        <w:tc>
          <w:tcPr>
            <w:tcW w:w="3848" w:type="dxa"/>
          </w:tcPr>
          <w:p>
            <w:pPr>
              <w:pStyle w:val="TableParagraph"/>
              <w:spacing w:before="17"/>
              <w:ind w:left="102" w:right="95"/>
              <w:jc w:val="center"/>
              <w:rPr>
                <w:sz w:val="22"/>
              </w:rPr>
            </w:pPr>
            <w:r>
              <w:rPr>
                <w:sz w:val="22"/>
              </w:rPr>
              <w:t>注册（办公）地址：深圳市深南东路</w:t>
            </w:r>
          </w:p>
          <w:p>
            <w:pPr>
              <w:pStyle w:val="TableParagraph"/>
              <w:spacing w:line="266" w:lineRule="auto" w:before="30"/>
              <w:ind w:left="638" w:right="630"/>
              <w:jc w:val="center"/>
              <w:rPr>
                <w:sz w:val="22"/>
              </w:rPr>
            </w:pPr>
            <w:r>
              <w:rPr>
                <w:rFonts w:ascii="Arial" w:eastAsia="Arial"/>
                <w:sz w:val="22"/>
              </w:rPr>
              <w:t>5047 </w:t>
            </w:r>
            <w:r>
              <w:rPr>
                <w:sz w:val="22"/>
              </w:rPr>
              <w:t>号深圳发展银行大厦法定代表人：孙建一</w:t>
            </w:r>
          </w:p>
          <w:p>
            <w:pPr>
              <w:pStyle w:val="TableParagraph"/>
              <w:spacing w:line="280" w:lineRule="exact"/>
              <w:ind w:left="102" w:right="95"/>
              <w:jc w:val="center"/>
              <w:rPr>
                <w:sz w:val="22"/>
              </w:rPr>
            </w:pPr>
            <w:r>
              <w:rPr>
                <w:sz w:val="22"/>
              </w:rPr>
              <w:t>联系人：张莉</w:t>
            </w:r>
          </w:p>
          <w:p>
            <w:pPr>
              <w:pStyle w:val="TableParagraph"/>
              <w:spacing w:line="266" w:lineRule="auto" w:before="30"/>
              <w:ind w:left="882" w:right="872"/>
              <w:jc w:val="center"/>
              <w:rPr>
                <w:rFonts w:ascii="Arial" w:eastAsia="Arial"/>
                <w:sz w:val="22"/>
              </w:rPr>
            </w:pPr>
            <w:r>
              <w:rPr>
                <w:sz w:val="22"/>
              </w:rPr>
              <w:t>电话：</w:t>
            </w:r>
            <w:r>
              <w:rPr>
                <w:rFonts w:ascii="Arial" w:eastAsia="Arial"/>
                <w:sz w:val="22"/>
              </w:rPr>
              <w:t>021-38637673 </w:t>
            </w:r>
            <w:r>
              <w:rPr>
                <w:sz w:val="22"/>
              </w:rPr>
              <w:t>传真：</w:t>
            </w:r>
            <w:r>
              <w:rPr>
                <w:rFonts w:ascii="Arial" w:eastAsia="Arial"/>
                <w:sz w:val="22"/>
              </w:rPr>
              <w:t>021-50979507</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95511</w:t>
            </w:r>
            <w:r>
              <w:rPr>
                <w:sz w:val="22"/>
              </w:rPr>
              <w:t>－</w:t>
            </w:r>
            <w:r>
              <w:rPr>
                <w:rFonts w:ascii="Arial" w:eastAsia="Arial"/>
                <w:sz w:val="22"/>
              </w:rPr>
              <w:t>3</w:t>
            </w:r>
          </w:p>
          <w:p>
            <w:pPr>
              <w:pStyle w:val="TableParagraph"/>
              <w:spacing w:line="277" w:lineRule="exact" w:before="30"/>
              <w:ind w:left="101" w:right="95"/>
              <w:jc w:val="center"/>
              <w:rPr>
                <w:rFonts w:ascii="Arial" w:eastAsia="Arial"/>
                <w:sz w:val="22"/>
              </w:rPr>
            </w:pPr>
            <w:r>
              <w:rPr>
                <w:sz w:val="22"/>
              </w:rPr>
              <w:t>网址：</w:t>
            </w:r>
            <w:hyperlink r:id="rId21">
              <w:r>
                <w:rPr>
                  <w:rFonts w:ascii="Arial" w:eastAsia="Arial"/>
                  <w:sz w:val="22"/>
                </w:rPr>
                <w:t>www.bank.pingan.com</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15</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渤海银行股份有限公司</w:t>
            </w:r>
          </w:p>
        </w:tc>
        <w:tc>
          <w:tcPr>
            <w:tcW w:w="3848" w:type="dxa"/>
            <w:tcBorders>
              <w:top w:val="nil"/>
            </w:tcBorders>
          </w:tcPr>
          <w:p>
            <w:pPr>
              <w:pStyle w:val="TableParagraph"/>
              <w:spacing w:before="15"/>
              <w:ind w:left="105" w:right="95"/>
              <w:jc w:val="center"/>
              <w:rPr>
                <w:sz w:val="22"/>
              </w:rPr>
            </w:pPr>
            <w:r>
              <w:rPr>
                <w:sz w:val="22"/>
              </w:rPr>
              <w:t>注册地址：天津市河西区马场道</w:t>
            </w:r>
          </w:p>
          <w:p>
            <w:pPr>
              <w:pStyle w:val="TableParagraph"/>
              <w:spacing w:before="30"/>
              <w:ind w:left="105" w:right="95"/>
              <w:jc w:val="center"/>
              <w:rPr>
                <w:sz w:val="22"/>
              </w:rPr>
            </w:pPr>
            <w:r>
              <w:rPr>
                <w:rFonts w:ascii="Arial" w:eastAsia="Arial"/>
                <w:sz w:val="22"/>
              </w:rPr>
              <w:t>201-205 </w:t>
            </w:r>
            <w:r>
              <w:rPr>
                <w:sz w:val="22"/>
              </w:rPr>
              <w:t>号</w:t>
            </w:r>
          </w:p>
          <w:p>
            <w:pPr>
              <w:pStyle w:val="TableParagraph"/>
              <w:spacing w:before="31"/>
              <w:ind w:left="107"/>
              <w:rPr>
                <w:rFonts w:ascii="Arial" w:eastAsia="Arial"/>
                <w:sz w:val="22"/>
              </w:rPr>
            </w:pPr>
            <w:r>
              <w:rPr>
                <w:spacing w:val="-14"/>
                <w:sz w:val="22"/>
              </w:rPr>
              <w:t>办公地址：天津市河东区海河东路 </w:t>
            </w:r>
            <w:r>
              <w:rPr>
                <w:rFonts w:ascii="Arial" w:eastAsia="Arial"/>
                <w:sz w:val="22"/>
              </w:rPr>
              <w:t>218</w:t>
            </w:r>
          </w:p>
          <w:p>
            <w:pPr>
              <w:pStyle w:val="TableParagraph"/>
              <w:spacing w:line="266" w:lineRule="auto" w:before="30"/>
              <w:ind w:left="932" w:right="920" w:firstLine="218"/>
              <w:rPr>
                <w:sz w:val="22"/>
              </w:rPr>
            </w:pPr>
            <w:r>
              <w:rPr>
                <w:spacing w:val="-1"/>
                <w:sz w:val="22"/>
              </w:rPr>
              <w:t>号渤海银行大厦 </w:t>
            </w:r>
            <w:r>
              <w:rPr>
                <w:spacing w:val="-5"/>
                <w:sz w:val="22"/>
              </w:rPr>
              <w:t>法定代表人：李伏安</w:t>
            </w:r>
          </w:p>
          <w:p>
            <w:pPr>
              <w:pStyle w:val="TableParagraph"/>
              <w:spacing w:line="280" w:lineRule="exact"/>
              <w:ind w:left="1206"/>
              <w:rPr>
                <w:sz w:val="22"/>
              </w:rPr>
            </w:pPr>
            <w:r>
              <w:rPr>
                <w:sz w:val="22"/>
              </w:rPr>
              <w:t>联系人： 王宏</w:t>
            </w:r>
          </w:p>
          <w:p>
            <w:pPr>
              <w:pStyle w:val="TableParagraph"/>
              <w:spacing w:line="266" w:lineRule="auto" w:before="30"/>
              <w:ind w:left="661" w:right="653"/>
              <w:jc w:val="center"/>
              <w:rPr>
                <w:rFonts w:ascii="Arial" w:eastAsia="Arial"/>
                <w:sz w:val="22"/>
              </w:rPr>
            </w:pPr>
            <w:r>
              <w:rPr>
                <w:sz w:val="22"/>
              </w:rPr>
              <w:t>联系电话：</w:t>
            </w:r>
            <w:r>
              <w:rPr>
                <w:rFonts w:ascii="Arial" w:eastAsia="Arial"/>
                <w:sz w:val="22"/>
              </w:rPr>
              <w:t>022-58316666 </w:t>
            </w:r>
            <w:r>
              <w:rPr>
                <w:sz w:val="22"/>
              </w:rPr>
              <w:t>传真：</w:t>
            </w:r>
            <w:r>
              <w:rPr>
                <w:rFonts w:ascii="Arial" w:eastAsia="Arial"/>
                <w:sz w:val="22"/>
              </w:rPr>
              <w:t>022-58316259</w:t>
            </w:r>
          </w:p>
          <w:p>
            <w:pPr>
              <w:pStyle w:val="TableParagraph"/>
              <w:spacing w:line="280" w:lineRule="exact"/>
              <w:ind w:left="105" w:right="95"/>
              <w:jc w:val="center"/>
              <w:rPr>
                <w:rFonts w:ascii="Arial" w:eastAsia="Arial"/>
                <w:sz w:val="22"/>
              </w:rPr>
            </w:pPr>
            <w:r>
              <w:rPr>
                <w:sz w:val="22"/>
              </w:rPr>
              <w:t>客户服务热线：</w:t>
            </w:r>
            <w:r>
              <w:rPr>
                <w:rFonts w:ascii="Arial" w:eastAsia="Arial"/>
                <w:sz w:val="22"/>
              </w:rPr>
              <w:t>95541</w:t>
            </w:r>
          </w:p>
          <w:p>
            <w:pPr>
              <w:pStyle w:val="TableParagraph"/>
              <w:spacing w:line="277" w:lineRule="exact" w:before="30"/>
              <w:ind w:left="105" w:right="95"/>
              <w:jc w:val="center"/>
              <w:rPr>
                <w:rFonts w:ascii="Arial" w:eastAsia="Arial"/>
                <w:sz w:val="22"/>
              </w:rPr>
            </w:pPr>
            <w:r>
              <w:rPr>
                <w:sz w:val="22"/>
              </w:rPr>
              <w:t>网址：</w:t>
            </w:r>
            <w:hyperlink r:id="rId22">
              <w:r>
                <w:rPr>
                  <w:rFonts w:ascii="Arial" w:eastAsia="Arial"/>
                  <w:sz w:val="22"/>
                </w:rPr>
                <w:t>www.cbhb.com.cn</w:t>
              </w:r>
            </w:hyperlink>
          </w:p>
        </w:tc>
      </w:tr>
      <w:tr>
        <w:trPr>
          <w:trHeight w:val="1560" w:hRule="atLeast"/>
        </w:trPr>
        <w:tc>
          <w:tcPr>
            <w:tcW w:w="634" w:type="dxa"/>
          </w:tcPr>
          <w:p>
            <w:pPr>
              <w:pStyle w:val="TableParagraph"/>
              <w:rPr>
                <w:rFonts w:ascii="Times New Roman"/>
                <w:sz w:val="24"/>
              </w:rPr>
            </w:pPr>
          </w:p>
          <w:p>
            <w:pPr>
              <w:pStyle w:val="TableParagraph"/>
              <w:spacing w:before="2"/>
              <w:rPr>
                <w:rFonts w:ascii="Times New Roman"/>
                <w:sz w:val="33"/>
              </w:rPr>
            </w:pPr>
          </w:p>
          <w:p>
            <w:pPr>
              <w:pStyle w:val="TableParagraph"/>
              <w:ind w:right="187"/>
              <w:jc w:val="right"/>
              <w:rPr>
                <w:rFonts w:ascii="Arial"/>
                <w:sz w:val="21"/>
              </w:rPr>
            </w:pPr>
            <w:r>
              <w:rPr>
                <w:rFonts w:ascii="Arial"/>
                <w:sz w:val="21"/>
              </w:rPr>
              <w:t>16</w:t>
            </w:r>
          </w:p>
        </w:tc>
        <w:tc>
          <w:tcPr>
            <w:tcW w:w="3949" w:type="dxa"/>
          </w:tcPr>
          <w:p>
            <w:pPr>
              <w:pStyle w:val="TableParagraph"/>
              <w:rPr>
                <w:rFonts w:ascii="Times New Roman"/>
                <w:sz w:val="22"/>
              </w:rPr>
            </w:pPr>
          </w:p>
          <w:p>
            <w:pPr>
              <w:pStyle w:val="TableParagraph"/>
              <w:rPr>
                <w:rFonts w:ascii="Times New Roman"/>
                <w:sz w:val="22"/>
              </w:rPr>
            </w:pPr>
          </w:p>
          <w:p>
            <w:pPr>
              <w:pStyle w:val="TableParagraph"/>
              <w:spacing w:before="133"/>
              <w:ind w:left="82" w:right="77"/>
              <w:jc w:val="center"/>
              <w:rPr>
                <w:sz w:val="22"/>
              </w:rPr>
            </w:pPr>
            <w:r>
              <w:rPr>
                <w:sz w:val="22"/>
              </w:rPr>
              <w:t>温州银行股份有限公司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地址：温州市车站大道华</w:t>
            </w:r>
            <w:r>
              <w:rPr>
                <w:sz w:val="22"/>
              </w:rPr>
              <w:t>海广场 </w:t>
            </w:r>
            <w:r>
              <w:rPr>
                <w:rFonts w:ascii="Arial" w:eastAsia="Arial"/>
                <w:sz w:val="22"/>
              </w:rPr>
              <w:t>1 </w:t>
            </w:r>
            <w:r>
              <w:rPr>
                <w:sz w:val="22"/>
              </w:rPr>
              <w:t>号楼</w:t>
            </w:r>
          </w:p>
          <w:p>
            <w:pPr>
              <w:pStyle w:val="TableParagraph"/>
              <w:spacing w:line="281" w:lineRule="exact"/>
              <w:ind w:left="105" w:right="95"/>
              <w:jc w:val="center"/>
              <w:rPr>
                <w:sz w:val="22"/>
              </w:rPr>
            </w:pPr>
            <w:r>
              <w:rPr>
                <w:sz w:val="22"/>
              </w:rPr>
              <w:t>法定代表人：夏瑞洲</w:t>
            </w:r>
          </w:p>
          <w:p>
            <w:pPr>
              <w:pStyle w:val="TableParagraph"/>
              <w:spacing w:line="310" w:lineRule="atLeast" w:before="2"/>
              <w:ind w:left="565" w:right="554"/>
              <w:jc w:val="center"/>
              <w:rPr>
                <w:rFonts w:ascii="Arial" w:eastAsia="Arial"/>
                <w:sz w:val="22"/>
              </w:rPr>
            </w:pPr>
            <w:r>
              <w:rPr>
                <w:sz w:val="22"/>
              </w:rPr>
              <w:t>客户服务电话：</w:t>
            </w:r>
            <w:r>
              <w:rPr>
                <w:rFonts w:ascii="Arial" w:eastAsia="Arial"/>
                <w:sz w:val="22"/>
              </w:rPr>
              <w:t>0577-96699 </w:t>
            </w:r>
            <w:r>
              <w:rPr>
                <w:sz w:val="22"/>
              </w:rPr>
              <w:t>网址：</w:t>
            </w:r>
            <w:hyperlink r:id="rId23">
              <w:r>
                <w:rPr>
                  <w:rFonts w:ascii="Arial" w:eastAsia="Arial"/>
                  <w:sz w:val="22"/>
                </w:rPr>
                <w:t>www.wzbank.cn</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17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浙商银行股份有限公司</w:t>
            </w:r>
          </w:p>
        </w:tc>
        <w:tc>
          <w:tcPr>
            <w:tcW w:w="3848" w:type="dxa"/>
          </w:tcPr>
          <w:p>
            <w:pPr>
              <w:pStyle w:val="TableParagraph"/>
              <w:spacing w:before="15"/>
              <w:ind w:left="10"/>
              <w:jc w:val="center"/>
              <w:rPr>
                <w:sz w:val="22"/>
              </w:rPr>
            </w:pPr>
            <w:r>
              <w:rPr>
                <w:sz w:val="22"/>
              </w:rPr>
              <w:t>注册（办公）地址：中国杭州市庆春路</w:t>
            </w:r>
          </w:p>
          <w:p>
            <w:pPr>
              <w:pStyle w:val="TableParagraph"/>
              <w:spacing w:before="30"/>
              <w:ind w:left="100" w:right="95"/>
              <w:jc w:val="center"/>
              <w:rPr>
                <w:sz w:val="22"/>
              </w:rPr>
            </w:pPr>
            <w:r>
              <w:rPr>
                <w:rFonts w:ascii="Arial" w:eastAsia="Arial"/>
                <w:sz w:val="22"/>
              </w:rPr>
              <w:t>288 </w:t>
            </w:r>
            <w:r>
              <w:rPr>
                <w:sz w:val="22"/>
              </w:rPr>
              <w:t>号</w:t>
            </w:r>
          </w:p>
          <w:p>
            <w:pPr>
              <w:pStyle w:val="TableParagraph"/>
              <w:spacing w:line="266" w:lineRule="auto" w:before="30"/>
              <w:ind w:left="822" w:right="810" w:hanging="1"/>
              <w:jc w:val="center"/>
              <w:rPr>
                <w:rFonts w:ascii="Arial" w:eastAsia="Arial"/>
                <w:sz w:val="22"/>
              </w:rPr>
            </w:pPr>
            <w:r>
              <w:rPr>
                <w:spacing w:val="-2"/>
                <w:sz w:val="22"/>
              </w:rPr>
              <w:t>法定代表人：张达洋 </w:t>
            </w:r>
            <w:r>
              <w:rPr>
                <w:spacing w:val="-1"/>
                <w:sz w:val="22"/>
              </w:rPr>
              <w:t>电话：</w:t>
            </w:r>
            <w:r>
              <w:rPr>
                <w:rFonts w:ascii="Arial" w:eastAsia="Arial"/>
                <w:spacing w:val="-1"/>
                <w:sz w:val="22"/>
              </w:rPr>
              <w:t>0571-87659546 </w:t>
            </w:r>
            <w:r>
              <w:rPr>
                <w:spacing w:val="-1"/>
                <w:sz w:val="22"/>
              </w:rPr>
              <w:t>传真：</w:t>
            </w:r>
            <w:r>
              <w:rPr>
                <w:rFonts w:ascii="Arial" w:eastAsia="Arial"/>
                <w:spacing w:val="-1"/>
                <w:sz w:val="22"/>
              </w:rPr>
              <w:t>0571-87659188</w:t>
            </w:r>
          </w:p>
          <w:p>
            <w:pPr>
              <w:pStyle w:val="TableParagraph"/>
              <w:spacing w:line="266" w:lineRule="auto"/>
              <w:ind w:left="846" w:right="834" w:firstLine="304"/>
              <w:rPr>
                <w:rFonts w:ascii="Arial" w:eastAsia="Arial"/>
                <w:sz w:val="22"/>
              </w:rPr>
            </w:pPr>
            <w:r>
              <w:rPr>
                <w:spacing w:val="-1"/>
                <w:sz w:val="22"/>
              </w:rPr>
              <w:t>联系人：毛真海 </w:t>
            </w:r>
            <w:r>
              <w:rPr>
                <w:spacing w:val="-3"/>
                <w:sz w:val="22"/>
              </w:rPr>
              <w:t>客户服务热线：</w:t>
            </w:r>
            <w:r>
              <w:rPr>
                <w:rFonts w:ascii="Arial" w:eastAsia="Arial"/>
                <w:spacing w:val="-4"/>
                <w:sz w:val="22"/>
              </w:rPr>
              <w:t>95527</w:t>
            </w:r>
          </w:p>
          <w:p>
            <w:pPr>
              <w:pStyle w:val="TableParagraph"/>
              <w:spacing w:line="275" w:lineRule="exact"/>
              <w:ind w:left="104" w:right="95"/>
              <w:jc w:val="center"/>
              <w:rPr>
                <w:rFonts w:ascii="Arial" w:eastAsia="Arial"/>
                <w:sz w:val="22"/>
              </w:rPr>
            </w:pPr>
            <w:r>
              <w:rPr>
                <w:sz w:val="22"/>
              </w:rPr>
              <w:t>银行网址：</w:t>
            </w:r>
            <w:hyperlink r:id="rId24">
              <w:r>
                <w:rPr>
                  <w:rFonts w:ascii="Arial" w:eastAsia="Arial"/>
                  <w:sz w:val="22"/>
                </w:rPr>
                <w:t>www.czbank.com</w:t>
              </w:r>
            </w:hyperlink>
          </w:p>
        </w:tc>
      </w:tr>
      <w:tr>
        <w:trPr>
          <w:trHeight w:val="2183"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87"/>
              <w:jc w:val="right"/>
              <w:rPr>
                <w:rFonts w:ascii="Arial"/>
                <w:sz w:val="21"/>
              </w:rPr>
            </w:pPr>
            <w:r>
              <w:rPr>
                <w:rFonts w:ascii="Arial"/>
                <w:sz w:val="21"/>
              </w:rPr>
              <w:t>18</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2" w:right="77"/>
              <w:jc w:val="center"/>
              <w:rPr>
                <w:sz w:val="22"/>
              </w:rPr>
            </w:pPr>
            <w:r>
              <w:rPr>
                <w:sz w:val="22"/>
              </w:rPr>
              <w:t>华夏银行股份有限公司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地址：北京市东城区建国</w:t>
            </w:r>
            <w:r>
              <w:rPr>
                <w:spacing w:val="-11"/>
                <w:sz w:val="22"/>
              </w:rPr>
              <w:t>门内大街 </w:t>
            </w:r>
            <w:r>
              <w:rPr>
                <w:rFonts w:ascii="Arial" w:eastAsia="Arial"/>
                <w:sz w:val="22"/>
              </w:rPr>
              <w:t>22 </w:t>
            </w:r>
            <w:r>
              <w:rPr>
                <w:sz w:val="22"/>
              </w:rPr>
              <w:t>号</w:t>
            </w:r>
          </w:p>
          <w:p>
            <w:pPr>
              <w:pStyle w:val="TableParagraph"/>
              <w:spacing w:line="266" w:lineRule="auto"/>
              <w:ind w:left="1043" w:right="1031"/>
              <w:jc w:val="center"/>
              <w:rPr>
                <w:sz w:val="22"/>
              </w:rPr>
            </w:pPr>
            <w:r>
              <w:rPr>
                <w:sz w:val="22"/>
              </w:rPr>
              <w:t>法定代表人：吴建联系人：马旭</w:t>
            </w:r>
          </w:p>
          <w:p>
            <w:pPr>
              <w:pStyle w:val="TableParagraph"/>
              <w:spacing w:line="280" w:lineRule="exact"/>
              <w:ind w:left="100" w:right="95"/>
              <w:jc w:val="center"/>
              <w:rPr>
                <w:rFonts w:ascii="Arial" w:eastAsia="Arial"/>
                <w:sz w:val="22"/>
              </w:rPr>
            </w:pPr>
            <w:r>
              <w:rPr>
                <w:sz w:val="22"/>
              </w:rPr>
              <w:t>联系电话：</w:t>
            </w:r>
            <w:r>
              <w:rPr>
                <w:rFonts w:ascii="Arial" w:eastAsia="Arial"/>
                <w:sz w:val="22"/>
              </w:rPr>
              <w:t>010-85238425</w:t>
            </w:r>
          </w:p>
          <w:p>
            <w:pPr>
              <w:pStyle w:val="TableParagraph"/>
              <w:spacing w:before="28"/>
              <w:ind w:left="105" w:right="95"/>
              <w:jc w:val="center"/>
              <w:rPr>
                <w:rFonts w:ascii="Arial" w:eastAsia="Arial"/>
                <w:sz w:val="22"/>
              </w:rPr>
            </w:pPr>
            <w:r>
              <w:rPr>
                <w:sz w:val="22"/>
              </w:rPr>
              <w:t>客户服务电话：</w:t>
            </w:r>
            <w:r>
              <w:rPr>
                <w:rFonts w:ascii="Arial" w:eastAsia="Arial"/>
                <w:sz w:val="22"/>
              </w:rPr>
              <w:t>95577</w:t>
            </w:r>
          </w:p>
          <w:p>
            <w:pPr>
              <w:pStyle w:val="TableParagraph"/>
              <w:spacing w:line="277" w:lineRule="exact" w:before="30"/>
              <w:ind w:left="102" w:right="95"/>
              <w:jc w:val="center"/>
              <w:rPr>
                <w:rFonts w:ascii="Arial" w:eastAsia="Arial"/>
                <w:sz w:val="22"/>
              </w:rPr>
            </w:pPr>
            <w:r>
              <w:rPr>
                <w:sz w:val="22"/>
              </w:rPr>
              <w:t>公司网址：</w:t>
            </w:r>
            <w:hyperlink r:id="rId25">
              <w:r>
                <w:rPr>
                  <w:rFonts w:ascii="Arial" w:eastAsia="Arial"/>
                  <w:sz w:val="22"/>
                </w:rPr>
                <w:t>www.hxb.com.cn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right="187"/>
              <w:jc w:val="right"/>
              <w:rPr>
                <w:rFonts w:ascii="Arial"/>
                <w:sz w:val="21"/>
              </w:rPr>
            </w:pPr>
            <w:r>
              <w:rPr>
                <w:rFonts w:ascii="Arial"/>
                <w:sz w:val="21"/>
              </w:rPr>
              <w:t>19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82" w:right="77"/>
              <w:jc w:val="center"/>
              <w:rPr>
                <w:sz w:val="22"/>
              </w:rPr>
            </w:pPr>
            <w:r>
              <w:rPr>
                <w:sz w:val="22"/>
              </w:rPr>
              <w:t>金华银行股份有限公司</w:t>
            </w:r>
          </w:p>
        </w:tc>
        <w:tc>
          <w:tcPr>
            <w:tcW w:w="3848" w:type="dxa"/>
          </w:tcPr>
          <w:p>
            <w:pPr>
              <w:pStyle w:val="TableParagraph"/>
              <w:spacing w:line="266" w:lineRule="auto" w:before="17"/>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地址：浙江省金华市光南</w:t>
            </w:r>
            <w:r>
              <w:rPr>
                <w:spacing w:val="-28"/>
                <w:sz w:val="22"/>
              </w:rPr>
              <w:t>路 </w:t>
            </w:r>
            <w:r>
              <w:rPr>
                <w:rFonts w:ascii="Arial" w:eastAsia="Arial"/>
                <w:sz w:val="22"/>
              </w:rPr>
              <w:t>668 </w:t>
            </w:r>
            <w:r>
              <w:rPr>
                <w:sz w:val="22"/>
              </w:rPr>
              <w:t>号</w:t>
            </w:r>
            <w:r>
              <w:rPr>
                <w:spacing w:val="-3"/>
                <w:sz w:val="22"/>
              </w:rPr>
              <w:t>（</w:t>
            </w:r>
            <w:r>
              <w:rPr>
                <w:sz w:val="22"/>
              </w:rPr>
              <w:t>邮编：</w:t>
            </w:r>
            <w:r>
              <w:rPr>
                <w:rFonts w:ascii="Arial" w:eastAsia="Arial"/>
                <w:sz w:val="22"/>
              </w:rPr>
              <w:t>321015</w:t>
            </w:r>
            <w:r>
              <w:rPr>
                <w:sz w:val="22"/>
              </w:rPr>
              <w:t>）</w:t>
            </w:r>
          </w:p>
          <w:p>
            <w:pPr>
              <w:pStyle w:val="TableParagraph"/>
              <w:spacing w:line="266" w:lineRule="auto"/>
              <w:ind w:left="932" w:right="920"/>
              <w:jc w:val="center"/>
              <w:rPr>
                <w:sz w:val="22"/>
              </w:rPr>
            </w:pPr>
            <w:r>
              <w:rPr>
                <w:sz w:val="22"/>
              </w:rPr>
              <w:t>法定代表人：徐雅清联系人：徐晓峰</w:t>
            </w:r>
          </w:p>
          <w:p>
            <w:pPr>
              <w:pStyle w:val="TableParagraph"/>
              <w:spacing w:line="266" w:lineRule="auto"/>
              <w:ind w:left="822" w:right="810"/>
              <w:jc w:val="center"/>
              <w:rPr>
                <w:rFonts w:ascii="Arial" w:eastAsia="Arial"/>
                <w:sz w:val="22"/>
              </w:rPr>
            </w:pPr>
            <w:r>
              <w:rPr>
                <w:sz w:val="22"/>
              </w:rPr>
              <w:t>电话：</w:t>
            </w:r>
            <w:r>
              <w:rPr>
                <w:rFonts w:ascii="Arial" w:eastAsia="Arial"/>
                <w:sz w:val="22"/>
              </w:rPr>
              <w:t>0579-83207775 </w:t>
            </w:r>
            <w:r>
              <w:rPr>
                <w:sz w:val="22"/>
              </w:rPr>
              <w:t>传真：</w:t>
            </w:r>
            <w:r>
              <w:rPr>
                <w:rFonts w:ascii="Arial" w:eastAsia="Arial"/>
                <w:sz w:val="22"/>
              </w:rPr>
              <w:t>0579-82178321</w:t>
            </w:r>
          </w:p>
          <w:p>
            <w:pPr>
              <w:pStyle w:val="TableParagraph"/>
              <w:spacing w:line="280" w:lineRule="exact"/>
              <w:ind w:left="103" w:right="95"/>
              <w:jc w:val="center"/>
              <w:rPr>
                <w:rFonts w:ascii="Arial" w:eastAsia="Arial"/>
                <w:sz w:val="22"/>
              </w:rPr>
            </w:pPr>
            <w:r>
              <w:rPr>
                <w:spacing w:val="-2"/>
                <w:sz w:val="22"/>
              </w:rPr>
              <w:t>客户服务电话：</w:t>
            </w:r>
            <w:r>
              <w:rPr>
                <w:rFonts w:ascii="Arial" w:eastAsia="Arial"/>
                <w:spacing w:val="-1"/>
                <w:sz w:val="22"/>
              </w:rPr>
              <w:t>400-711-6668</w:t>
            </w:r>
          </w:p>
          <w:p>
            <w:pPr>
              <w:pStyle w:val="TableParagraph"/>
              <w:spacing w:line="277" w:lineRule="exact" w:before="27"/>
              <w:ind w:left="102" w:right="95"/>
              <w:jc w:val="center"/>
              <w:rPr>
                <w:rFonts w:ascii="Arial" w:eastAsia="Arial"/>
                <w:sz w:val="22"/>
              </w:rPr>
            </w:pPr>
            <w:r>
              <w:rPr>
                <w:spacing w:val="-2"/>
                <w:sz w:val="22"/>
              </w:rPr>
              <w:t>银行网址：</w:t>
            </w:r>
            <w:hyperlink r:id="rId26">
              <w:r>
                <w:rPr>
                  <w:rFonts w:ascii="Arial" w:eastAsia="Arial"/>
                  <w:spacing w:val="-1"/>
                  <w:sz w:val="22"/>
                </w:rPr>
                <w:t>www.jhccb.com.cn</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20</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嘉兴银行股份有限公司</w:t>
            </w:r>
          </w:p>
        </w:tc>
        <w:tc>
          <w:tcPr>
            <w:tcW w:w="3848" w:type="dxa"/>
            <w:tcBorders>
              <w:top w:val="nil"/>
            </w:tcBorders>
          </w:tcPr>
          <w:p>
            <w:pPr>
              <w:pStyle w:val="TableParagraph"/>
              <w:spacing w:before="15"/>
              <w:ind w:left="102" w:right="95"/>
              <w:jc w:val="center"/>
              <w:rPr>
                <w:sz w:val="22"/>
              </w:rPr>
            </w:pPr>
            <w:r>
              <w:rPr>
                <w:sz w:val="22"/>
              </w:rPr>
              <w:t>注册（办公）地址：嘉兴市建国南路</w:t>
            </w:r>
          </w:p>
          <w:p>
            <w:pPr>
              <w:pStyle w:val="TableParagraph"/>
              <w:spacing w:before="30"/>
              <w:ind w:left="100" w:right="95"/>
              <w:jc w:val="center"/>
              <w:rPr>
                <w:sz w:val="22"/>
              </w:rPr>
            </w:pPr>
            <w:r>
              <w:rPr>
                <w:rFonts w:ascii="Arial" w:eastAsia="Arial"/>
                <w:sz w:val="22"/>
              </w:rPr>
              <w:t>409 </w:t>
            </w:r>
            <w:r>
              <w:rPr>
                <w:sz w:val="22"/>
              </w:rPr>
              <w:t>号</w:t>
            </w:r>
          </w:p>
          <w:p>
            <w:pPr>
              <w:pStyle w:val="TableParagraph"/>
              <w:spacing w:line="266" w:lineRule="auto" w:before="31"/>
              <w:ind w:left="930" w:right="923"/>
              <w:jc w:val="center"/>
              <w:rPr>
                <w:sz w:val="22"/>
              </w:rPr>
            </w:pPr>
            <w:r>
              <w:rPr>
                <w:sz w:val="22"/>
              </w:rPr>
              <w:t>法定代表人：许洪明联系人：陈兢</w:t>
            </w:r>
          </w:p>
          <w:p>
            <w:pPr>
              <w:pStyle w:val="TableParagraph"/>
              <w:spacing w:line="266" w:lineRule="auto"/>
              <w:ind w:left="822" w:right="810"/>
              <w:jc w:val="center"/>
              <w:rPr>
                <w:rFonts w:ascii="Arial" w:eastAsia="Arial"/>
                <w:sz w:val="22"/>
              </w:rPr>
            </w:pPr>
            <w:r>
              <w:rPr>
                <w:sz w:val="22"/>
              </w:rPr>
              <w:t>电话：</w:t>
            </w:r>
            <w:r>
              <w:rPr>
                <w:rFonts w:ascii="Arial" w:eastAsia="Arial"/>
                <w:sz w:val="22"/>
              </w:rPr>
              <w:t>0573-82082676 </w:t>
            </w:r>
            <w:r>
              <w:rPr>
                <w:sz w:val="22"/>
              </w:rPr>
              <w:t>传真：</w:t>
            </w:r>
            <w:r>
              <w:rPr>
                <w:rFonts w:ascii="Arial" w:eastAsia="Arial"/>
                <w:sz w:val="22"/>
              </w:rPr>
              <w:t>0573-82062161</w:t>
            </w:r>
          </w:p>
          <w:p>
            <w:pPr>
              <w:pStyle w:val="TableParagraph"/>
              <w:spacing w:line="280" w:lineRule="exact"/>
              <w:ind w:left="103" w:right="95"/>
              <w:jc w:val="center"/>
              <w:rPr>
                <w:rFonts w:ascii="Arial" w:eastAsia="Arial"/>
                <w:sz w:val="22"/>
              </w:rPr>
            </w:pPr>
            <w:r>
              <w:rPr>
                <w:spacing w:val="-2"/>
                <w:sz w:val="22"/>
              </w:rPr>
              <w:t>客户服务电话：</w:t>
            </w:r>
            <w:r>
              <w:rPr>
                <w:rFonts w:ascii="Arial" w:eastAsia="Arial"/>
                <w:spacing w:val="-1"/>
                <w:sz w:val="22"/>
              </w:rPr>
              <w:t>057396528</w:t>
            </w:r>
          </w:p>
          <w:p>
            <w:pPr>
              <w:pStyle w:val="TableParagraph"/>
              <w:spacing w:line="277" w:lineRule="exact" w:before="28"/>
              <w:ind w:left="104" w:right="95"/>
              <w:jc w:val="center"/>
              <w:rPr>
                <w:rFonts w:ascii="Arial" w:eastAsia="Arial"/>
                <w:sz w:val="22"/>
              </w:rPr>
            </w:pPr>
            <w:r>
              <w:rPr>
                <w:spacing w:val="-2"/>
                <w:sz w:val="22"/>
              </w:rPr>
              <w:t>银行网址： </w:t>
            </w:r>
            <w:hyperlink r:id="rId27">
              <w:r>
                <w:rPr>
                  <w:rFonts w:ascii="Arial" w:eastAsia="Arial"/>
                  <w:sz w:val="22"/>
                </w:rPr>
                <w:t>www.bojx.com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21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包商银行股份有限公司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地址：内蒙古包头市钢铁</w:t>
            </w:r>
            <w:r>
              <w:rPr>
                <w:spacing w:val="-19"/>
                <w:sz w:val="22"/>
              </w:rPr>
              <w:t>大街 </w:t>
            </w:r>
            <w:r>
              <w:rPr>
                <w:rFonts w:ascii="Arial" w:eastAsia="Arial"/>
                <w:sz w:val="22"/>
              </w:rPr>
              <w:t>6 </w:t>
            </w:r>
            <w:r>
              <w:rPr>
                <w:sz w:val="22"/>
              </w:rPr>
              <w:t>号</w:t>
            </w:r>
          </w:p>
          <w:p>
            <w:pPr>
              <w:pStyle w:val="TableParagraph"/>
              <w:spacing w:line="280" w:lineRule="exact"/>
              <w:ind w:left="106" w:right="95"/>
              <w:jc w:val="center"/>
              <w:rPr>
                <w:rFonts w:ascii="Arial" w:eastAsia="Arial"/>
                <w:sz w:val="22"/>
              </w:rPr>
            </w:pPr>
            <w:r>
              <w:rPr>
                <w:sz w:val="22"/>
              </w:rPr>
              <w:t>办公地址：内蒙古包头市钢铁大街 </w:t>
            </w:r>
            <w:r>
              <w:rPr>
                <w:rFonts w:ascii="Arial" w:eastAsia="Arial"/>
                <w:sz w:val="22"/>
              </w:rPr>
              <w:t>6</w:t>
            </w:r>
          </w:p>
          <w:p>
            <w:pPr>
              <w:pStyle w:val="TableParagraph"/>
              <w:spacing w:before="30"/>
              <w:ind w:left="5"/>
              <w:jc w:val="center"/>
              <w:rPr>
                <w:sz w:val="22"/>
              </w:rPr>
            </w:pPr>
            <w:r>
              <w:rPr>
                <w:w w:val="100"/>
                <w:sz w:val="22"/>
              </w:rPr>
              <w:t>号</w:t>
            </w:r>
          </w:p>
          <w:p>
            <w:pPr>
              <w:pStyle w:val="TableParagraph"/>
              <w:spacing w:line="266" w:lineRule="auto" w:before="31"/>
              <w:ind w:left="932" w:right="920"/>
              <w:jc w:val="center"/>
              <w:rPr>
                <w:sz w:val="22"/>
              </w:rPr>
            </w:pPr>
            <w:r>
              <w:rPr>
                <w:sz w:val="22"/>
              </w:rPr>
              <w:t>法定代表人：李镇西联系人：张建鑫</w:t>
            </w:r>
          </w:p>
          <w:p>
            <w:pPr>
              <w:pStyle w:val="TableParagraph"/>
              <w:spacing w:line="266" w:lineRule="auto"/>
              <w:ind w:left="882" w:right="872"/>
              <w:jc w:val="center"/>
              <w:rPr>
                <w:rFonts w:ascii="Arial" w:eastAsia="Arial"/>
                <w:sz w:val="22"/>
              </w:rPr>
            </w:pPr>
            <w:r>
              <w:rPr>
                <w:sz w:val="22"/>
              </w:rPr>
              <w:t>电话：</w:t>
            </w:r>
            <w:r>
              <w:rPr>
                <w:rFonts w:ascii="Arial" w:eastAsia="Arial"/>
                <w:sz w:val="22"/>
              </w:rPr>
              <w:t>010-64816038 </w:t>
            </w:r>
            <w:r>
              <w:rPr>
                <w:sz w:val="22"/>
              </w:rPr>
              <w:t>传真：</w:t>
            </w:r>
            <w:r>
              <w:rPr>
                <w:rFonts w:ascii="Arial" w:eastAsia="Arial"/>
                <w:sz w:val="22"/>
              </w:rPr>
              <w:t>010-84596546</w:t>
            </w:r>
          </w:p>
          <w:p>
            <w:pPr>
              <w:pStyle w:val="TableParagraph"/>
              <w:spacing w:line="280" w:lineRule="exact"/>
              <w:ind w:left="105" w:right="95"/>
              <w:jc w:val="center"/>
              <w:rPr>
                <w:rFonts w:ascii="Arial" w:eastAsia="Arial"/>
                <w:sz w:val="22"/>
              </w:rPr>
            </w:pPr>
            <w:r>
              <w:rPr>
                <w:sz w:val="22"/>
              </w:rPr>
              <w:t>客服电话： </w:t>
            </w:r>
            <w:r>
              <w:rPr>
                <w:rFonts w:ascii="Arial" w:eastAsia="Arial"/>
                <w:sz w:val="22"/>
              </w:rPr>
              <w:t>95352</w:t>
            </w:r>
          </w:p>
          <w:p>
            <w:pPr>
              <w:pStyle w:val="TableParagraph"/>
              <w:spacing w:line="277" w:lineRule="exact" w:before="28"/>
              <w:ind w:left="102" w:right="95"/>
              <w:jc w:val="center"/>
              <w:rPr>
                <w:rFonts w:ascii="Arial" w:eastAsia="Arial"/>
                <w:sz w:val="22"/>
              </w:rPr>
            </w:pPr>
            <w:r>
              <w:rPr>
                <w:sz w:val="22"/>
              </w:rPr>
              <w:t>网站：</w:t>
            </w:r>
            <w:hyperlink r:id="rId28">
              <w:r>
                <w:rPr>
                  <w:rFonts w:ascii="Arial" w:eastAsia="Arial"/>
                  <w:sz w:val="22"/>
                </w:rPr>
                <w:t>www.bsb.com.cn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22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南京银行股份有限公司</w:t>
            </w:r>
          </w:p>
        </w:tc>
        <w:tc>
          <w:tcPr>
            <w:tcW w:w="3848" w:type="dxa"/>
          </w:tcPr>
          <w:p>
            <w:pPr>
              <w:pStyle w:val="TableParagraph"/>
              <w:spacing w:before="15"/>
              <w:ind w:left="10"/>
              <w:jc w:val="center"/>
              <w:rPr>
                <w:rFonts w:ascii="Arial" w:eastAsia="Arial"/>
                <w:sz w:val="22"/>
              </w:rPr>
            </w:pPr>
            <w:r>
              <w:rPr>
                <w:sz w:val="22"/>
              </w:rPr>
              <w:t>注册（办公）地址：南京市中山路 </w:t>
            </w:r>
            <w:r>
              <w:rPr>
                <w:rFonts w:ascii="Arial" w:eastAsia="Arial"/>
                <w:sz w:val="22"/>
              </w:rPr>
              <w:t>288</w:t>
            </w:r>
          </w:p>
          <w:p>
            <w:pPr>
              <w:pStyle w:val="TableParagraph"/>
              <w:spacing w:before="30"/>
              <w:ind w:left="5"/>
              <w:jc w:val="center"/>
              <w:rPr>
                <w:sz w:val="22"/>
              </w:rPr>
            </w:pPr>
            <w:r>
              <w:rPr>
                <w:w w:val="100"/>
                <w:sz w:val="22"/>
              </w:rPr>
              <w:t>号</w:t>
            </w:r>
          </w:p>
          <w:p>
            <w:pPr>
              <w:pStyle w:val="TableParagraph"/>
              <w:spacing w:line="266" w:lineRule="auto" w:before="30"/>
              <w:ind w:left="1043" w:right="1031"/>
              <w:jc w:val="center"/>
              <w:rPr>
                <w:sz w:val="22"/>
              </w:rPr>
            </w:pPr>
            <w:r>
              <w:rPr>
                <w:sz w:val="22"/>
              </w:rPr>
              <w:t>法定代表人：林复联系人：李冰洁</w:t>
            </w:r>
          </w:p>
          <w:p>
            <w:pPr>
              <w:pStyle w:val="TableParagraph"/>
              <w:spacing w:line="266" w:lineRule="auto"/>
              <w:ind w:left="882" w:right="872"/>
              <w:jc w:val="center"/>
              <w:rPr>
                <w:rFonts w:ascii="Arial" w:eastAsia="Arial"/>
                <w:sz w:val="22"/>
              </w:rPr>
            </w:pPr>
            <w:r>
              <w:rPr>
                <w:sz w:val="22"/>
              </w:rPr>
              <w:t>电话：</w:t>
            </w:r>
            <w:r>
              <w:rPr>
                <w:rFonts w:ascii="Arial" w:eastAsia="Arial"/>
                <w:sz w:val="22"/>
              </w:rPr>
              <w:t>025-86775317 </w:t>
            </w:r>
            <w:r>
              <w:rPr>
                <w:sz w:val="22"/>
              </w:rPr>
              <w:t>传真：</w:t>
            </w:r>
            <w:r>
              <w:rPr>
                <w:rFonts w:ascii="Arial" w:eastAsia="Arial"/>
                <w:sz w:val="22"/>
              </w:rPr>
              <w:t>025-86775376</w:t>
            </w:r>
          </w:p>
          <w:p>
            <w:pPr>
              <w:pStyle w:val="TableParagraph"/>
              <w:spacing w:line="280" w:lineRule="exact"/>
              <w:ind w:left="103" w:right="95"/>
              <w:jc w:val="center"/>
              <w:rPr>
                <w:rFonts w:ascii="Arial" w:eastAsia="Arial"/>
                <w:sz w:val="22"/>
              </w:rPr>
            </w:pPr>
            <w:r>
              <w:rPr>
                <w:sz w:val="22"/>
              </w:rPr>
              <w:t>客户服务电话： </w:t>
            </w:r>
            <w:r>
              <w:rPr>
                <w:rFonts w:ascii="Arial" w:eastAsia="Arial"/>
                <w:sz w:val="22"/>
              </w:rPr>
              <w:t>95302</w:t>
            </w:r>
          </w:p>
          <w:p>
            <w:pPr>
              <w:pStyle w:val="TableParagraph"/>
              <w:spacing w:line="277" w:lineRule="exact" w:before="29"/>
              <w:ind w:left="102" w:right="95"/>
              <w:jc w:val="center"/>
              <w:rPr>
                <w:rFonts w:ascii="Arial" w:eastAsia="Arial"/>
                <w:sz w:val="22"/>
              </w:rPr>
            </w:pPr>
            <w:r>
              <w:rPr>
                <w:sz w:val="22"/>
              </w:rPr>
              <w:t>网址：</w:t>
            </w:r>
            <w:hyperlink r:id="rId29">
              <w:r>
                <w:rPr>
                  <w:rFonts w:ascii="Arial" w:eastAsia="Arial"/>
                  <w:sz w:val="22"/>
                </w:rPr>
                <w:t>www.njcb.com.cn</w:t>
              </w:r>
            </w:hyperlink>
          </w:p>
        </w:tc>
      </w:tr>
      <w:tr>
        <w:trPr>
          <w:trHeight w:val="187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87"/>
              <w:jc w:val="right"/>
              <w:rPr>
                <w:rFonts w:ascii="Arial"/>
                <w:sz w:val="21"/>
              </w:rPr>
            </w:pPr>
            <w:r>
              <w:rPr>
                <w:rFonts w:ascii="Arial"/>
                <w:sz w:val="21"/>
              </w:rPr>
              <w:t>23</w:t>
            </w:r>
          </w:p>
        </w:tc>
        <w:tc>
          <w:tcPr>
            <w:tcW w:w="3949"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2" w:right="77"/>
              <w:jc w:val="center"/>
              <w:rPr>
                <w:sz w:val="22"/>
              </w:rPr>
            </w:pPr>
            <w:r>
              <w:rPr>
                <w:sz w:val="22"/>
              </w:rPr>
              <w:t>苏州银行股份有限公司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地址：苏州工业园区钟园</w:t>
            </w:r>
            <w:r>
              <w:rPr>
                <w:spacing w:val="-31"/>
                <w:sz w:val="22"/>
              </w:rPr>
              <w:t>路 </w:t>
            </w:r>
            <w:r>
              <w:rPr>
                <w:rFonts w:ascii="Arial" w:eastAsia="Arial"/>
                <w:sz w:val="22"/>
              </w:rPr>
              <w:t>728 </w:t>
            </w:r>
            <w:r>
              <w:rPr>
                <w:sz w:val="22"/>
              </w:rPr>
              <w:t>号</w:t>
            </w:r>
          </w:p>
          <w:p>
            <w:pPr>
              <w:pStyle w:val="TableParagraph"/>
              <w:spacing w:line="266" w:lineRule="auto"/>
              <w:ind w:left="822" w:right="810" w:hanging="1"/>
              <w:jc w:val="center"/>
              <w:rPr>
                <w:rFonts w:ascii="Arial" w:eastAsia="Arial"/>
                <w:sz w:val="22"/>
              </w:rPr>
            </w:pPr>
            <w:r>
              <w:rPr>
                <w:spacing w:val="-2"/>
                <w:sz w:val="22"/>
              </w:rPr>
              <w:t>法定代表人：王兰凤 </w:t>
            </w:r>
            <w:r>
              <w:rPr>
                <w:spacing w:val="-1"/>
                <w:sz w:val="22"/>
              </w:rPr>
              <w:t>传真：</w:t>
            </w:r>
            <w:r>
              <w:rPr>
                <w:rFonts w:ascii="Arial" w:eastAsia="Arial"/>
                <w:spacing w:val="-1"/>
                <w:sz w:val="22"/>
              </w:rPr>
              <w:t>0512-69868370</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0512-96067</w:t>
            </w:r>
          </w:p>
          <w:p>
            <w:pPr>
              <w:pStyle w:val="TableParagraph"/>
              <w:spacing w:line="277" w:lineRule="exact" w:before="28"/>
              <w:ind w:left="102" w:right="95"/>
              <w:jc w:val="center"/>
              <w:rPr>
                <w:rFonts w:ascii="Arial" w:eastAsia="Arial"/>
                <w:sz w:val="22"/>
              </w:rPr>
            </w:pPr>
            <w:r>
              <w:rPr>
                <w:sz w:val="22"/>
              </w:rPr>
              <w:t>网址：</w:t>
            </w:r>
            <w:hyperlink r:id="rId30">
              <w:r>
                <w:rPr>
                  <w:rFonts w:ascii="Arial" w:eastAsia="Arial"/>
                  <w:sz w:val="22"/>
                </w:rPr>
                <w:t>www.suzhoubank.com</w:t>
              </w:r>
            </w:hyperlink>
          </w:p>
        </w:tc>
      </w:tr>
      <w:tr>
        <w:trPr>
          <w:trHeight w:val="3121"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right="187"/>
              <w:jc w:val="right"/>
              <w:rPr>
                <w:rFonts w:ascii="Arial"/>
                <w:sz w:val="21"/>
              </w:rPr>
            </w:pPr>
            <w:r>
              <w:rPr>
                <w:rFonts w:ascii="Arial"/>
                <w:sz w:val="21"/>
              </w:rPr>
              <w:t>24</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77" w:right="77"/>
              <w:jc w:val="center"/>
              <w:rPr>
                <w:sz w:val="22"/>
              </w:rPr>
            </w:pPr>
            <w:r>
              <w:rPr>
                <w:sz w:val="22"/>
              </w:rPr>
              <w:t>东亚银行（中国）有限公司</w:t>
            </w:r>
          </w:p>
        </w:tc>
        <w:tc>
          <w:tcPr>
            <w:tcW w:w="3848" w:type="dxa"/>
          </w:tcPr>
          <w:p>
            <w:pPr>
              <w:pStyle w:val="TableParagraph"/>
              <w:spacing w:before="17"/>
              <w:ind w:left="102" w:right="95"/>
              <w:jc w:val="center"/>
              <w:rPr>
                <w:sz w:val="22"/>
              </w:rPr>
            </w:pPr>
            <w:r>
              <w:rPr>
                <w:sz w:val="22"/>
              </w:rPr>
              <w:t>注册地址：上海浦东新区花园石桥路</w:t>
            </w:r>
          </w:p>
          <w:p>
            <w:pPr>
              <w:pStyle w:val="TableParagraph"/>
              <w:spacing w:before="30"/>
              <w:ind w:left="103" w:right="95"/>
              <w:jc w:val="center"/>
              <w:rPr>
                <w:sz w:val="22"/>
              </w:rPr>
            </w:pPr>
            <w:r>
              <w:rPr>
                <w:rFonts w:ascii="Arial" w:eastAsia="Arial"/>
                <w:sz w:val="22"/>
              </w:rPr>
              <w:t>66 </w:t>
            </w:r>
            <w:r>
              <w:rPr>
                <w:sz w:val="22"/>
              </w:rPr>
              <w:t>号东亚银行大厦 </w:t>
            </w:r>
            <w:r>
              <w:rPr>
                <w:rFonts w:ascii="Arial" w:eastAsia="Arial"/>
                <w:sz w:val="22"/>
              </w:rPr>
              <w:t>29 </w:t>
            </w:r>
            <w:r>
              <w:rPr>
                <w:sz w:val="22"/>
              </w:rPr>
              <w:t>楼</w:t>
            </w:r>
          </w:p>
          <w:p>
            <w:pPr>
              <w:pStyle w:val="TableParagraph"/>
              <w:spacing w:before="30"/>
              <w:ind w:left="102" w:right="95"/>
              <w:jc w:val="center"/>
              <w:rPr>
                <w:sz w:val="22"/>
              </w:rPr>
            </w:pPr>
            <w:r>
              <w:rPr>
                <w:sz w:val="22"/>
              </w:rPr>
              <w:t>办公地址：上海浦东新区花园石桥路</w:t>
            </w:r>
          </w:p>
          <w:p>
            <w:pPr>
              <w:pStyle w:val="TableParagraph"/>
              <w:spacing w:line="266" w:lineRule="auto" w:before="30"/>
              <w:ind w:left="932" w:right="920"/>
              <w:jc w:val="center"/>
              <w:rPr>
                <w:sz w:val="22"/>
              </w:rPr>
            </w:pPr>
            <w:r>
              <w:rPr>
                <w:rFonts w:ascii="Arial" w:eastAsia="Arial"/>
                <w:sz w:val="22"/>
              </w:rPr>
              <w:t>66 </w:t>
            </w:r>
            <w:r>
              <w:rPr>
                <w:sz w:val="22"/>
              </w:rPr>
              <w:t>号东亚银行大厦法定代表人：李国宝联系人：杨俊</w:t>
            </w:r>
          </w:p>
          <w:p>
            <w:pPr>
              <w:pStyle w:val="TableParagraph"/>
              <w:spacing w:line="279" w:lineRule="exact"/>
              <w:ind w:left="103" w:right="95"/>
              <w:jc w:val="center"/>
              <w:rPr>
                <w:rFonts w:ascii="Arial" w:eastAsia="Arial"/>
                <w:sz w:val="22"/>
              </w:rPr>
            </w:pPr>
            <w:r>
              <w:rPr>
                <w:sz w:val="22"/>
              </w:rPr>
              <w:t>电话：</w:t>
            </w:r>
            <w:r>
              <w:rPr>
                <w:rFonts w:ascii="Arial" w:eastAsia="Arial"/>
                <w:sz w:val="22"/>
              </w:rPr>
              <w:t>021-3866 3866</w:t>
            </w:r>
          </w:p>
          <w:p>
            <w:pPr>
              <w:pStyle w:val="TableParagraph"/>
              <w:spacing w:before="31"/>
              <w:ind w:left="103" w:right="95"/>
              <w:jc w:val="center"/>
              <w:rPr>
                <w:rFonts w:ascii="Arial" w:eastAsia="Arial"/>
                <w:sz w:val="22"/>
              </w:rPr>
            </w:pPr>
            <w:r>
              <w:rPr>
                <w:sz w:val="22"/>
              </w:rPr>
              <w:t>传真：</w:t>
            </w:r>
            <w:r>
              <w:rPr>
                <w:rFonts w:ascii="Arial" w:eastAsia="Arial"/>
                <w:sz w:val="22"/>
              </w:rPr>
              <w:t>021-3867 5314</w:t>
            </w:r>
          </w:p>
          <w:p>
            <w:pPr>
              <w:pStyle w:val="TableParagraph"/>
              <w:spacing w:before="30"/>
              <w:ind w:left="105" w:right="95"/>
              <w:jc w:val="center"/>
              <w:rPr>
                <w:rFonts w:ascii="Arial" w:eastAsia="Arial"/>
                <w:sz w:val="22"/>
              </w:rPr>
            </w:pPr>
            <w:r>
              <w:rPr>
                <w:spacing w:val="-2"/>
                <w:sz w:val="22"/>
              </w:rPr>
              <w:t>客户服务电话：</w:t>
            </w:r>
            <w:r>
              <w:rPr>
                <w:rFonts w:ascii="Arial" w:eastAsia="Arial"/>
                <w:sz w:val="22"/>
              </w:rPr>
              <w:t>95382</w:t>
            </w:r>
          </w:p>
          <w:p>
            <w:pPr>
              <w:pStyle w:val="TableParagraph"/>
              <w:tabs>
                <w:tab w:pos="888" w:val="left" w:leader="none"/>
              </w:tabs>
              <w:spacing w:line="277" w:lineRule="exact" w:before="30"/>
              <w:ind w:left="5"/>
              <w:jc w:val="center"/>
              <w:rPr>
                <w:rFonts w:ascii="Arial" w:eastAsia="Arial"/>
                <w:sz w:val="22"/>
              </w:rPr>
            </w:pPr>
            <w:r>
              <w:rPr>
                <w:sz w:val="22"/>
              </w:rPr>
              <w:t>网址：</w:t>
              <w:tab/>
            </w:r>
            <w:hyperlink r:id="rId31">
              <w:r>
                <w:rPr>
                  <w:rFonts w:ascii="Arial" w:eastAsia="Arial"/>
                  <w:sz w:val="22"/>
                </w:rPr>
                <w:t>http://www.hkbea.com.cn/</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25</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9" w:right="77"/>
              <w:jc w:val="center"/>
              <w:rPr>
                <w:sz w:val="22"/>
              </w:rPr>
            </w:pPr>
            <w:r>
              <w:rPr>
                <w:sz w:val="22"/>
              </w:rPr>
              <w:t>江苏江南农村商业银行股份有限公司</w:t>
            </w:r>
          </w:p>
        </w:tc>
        <w:tc>
          <w:tcPr>
            <w:tcW w:w="3848" w:type="dxa"/>
            <w:tcBorders>
              <w:top w:val="nil"/>
            </w:tcBorders>
          </w:tcPr>
          <w:p>
            <w:pPr>
              <w:pStyle w:val="TableParagraph"/>
              <w:spacing w:before="15"/>
              <w:ind w:left="10"/>
              <w:jc w:val="center"/>
              <w:rPr>
                <w:rFonts w:ascii="Arial" w:eastAsia="Arial"/>
                <w:sz w:val="22"/>
              </w:rPr>
            </w:pPr>
            <w:r>
              <w:rPr>
                <w:sz w:val="22"/>
              </w:rPr>
              <w:t>注册（办公）地址：常州和平中路 </w:t>
            </w:r>
            <w:r>
              <w:rPr>
                <w:rFonts w:ascii="Arial" w:eastAsia="Arial"/>
                <w:sz w:val="22"/>
              </w:rPr>
              <w:t>413</w:t>
            </w:r>
          </w:p>
          <w:p>
            <w:pPr>
              <w:pStyle w:val="TableParagraph"/>
              <w:spacing w:before="30"/>
              <w:ind w:left="5"/>
              <w:jc w:val="center"/>
              <w:rPr>
                <w:sz w:val="22"/>
              </w:rPr>
            </w:pPr>
            <w:r>
              <w:rPr>
                <w:w w:val="100"/>
                <w:sz w:val="22"/>
              </w:rPr>
              <w:t>号</w:t>
            </w:r>
          </w:p>
          <w:p>
            <w:pPr>
              <w:pStyle w:val="TableParagraph"/>
              <w:spacing w:line="266" w:lineRule="auto" w:before="31"/>
              <w:ind w:left="932" w:right="920"/>
              <w:jc w:val="center"/>
              <w:rPr>
                <w:sz w:val="22"/>
              </w:rPr>
            </w:pPr>
            <w:r>
              <w:rPr>
                <w:sz w:val="22"/>
              </w:rPr>
              <w:t>法定代表人：陆向阳联系人：蒋姣</w:t>
            </w:r>
          </w:p>
          <w:p>
            <w:pPr>
              <w:pStyle w:val="TableParagraph"/>
              <w:spacing w:line="266" w:lineRule="auto"/>
              <w:ind w:left="822" w:right="810"/>
              <w:jc w:val="center"/>
              <w:rPr>
                <w:rFonts w:ascii="Arial" w:eastAsia="Arial"/>
                <w:sz w:val="22"/>
              </w:rPr>
            </w:pPr>
            <w:r>
              <w:rPr>
                <w:spacing w:val="-1"/>
                <w:sz w:val="22"/>
              </w:rPr>
              <w:t>电话：</w:t>
            </w:r>
            <w:r>
              <w:rPr>
                <w:rFonts w:ascii="Arial" w:eastAsia="Arial"/>
                <w:spacing w:val="-1"/>
                <w:sz w:val="22"/>
              </w:rPr>
              <w:t>0519-80585939 </w:t>
            </w:r>
            <w:r>
              <w:rPr>
                <w:spacing w:val="-1"/>
                <w:sz w:val="22"/>
              </w:rPr>
              <w:t>传真：</w:t>
            </w:r>
            <w:r>
              <w:rPr>
                <w:rFonts w:ascii="Arial" w:eastAsia="Arial"/>
                <w:spacing w:val="-1"/>
                <w:sz w:val="22"/>
              </w:rPr>
              <w:t>0519-89995017</w:t>
            </w:r>
          </w:p>
          <w:p>
            <w:pPr>
              <w:pStyle w:val="TableParagraph"/>
              <w:spacing w:line="280" w:lineRule="exact"/>
              <w:ind w:left="105" w:right="95"/>
              <w:jc w:val="center"/>
              <w:rPr>
                <w:rFonts w:ascii="Arial" w:eastAsia="Arial"/>
                <w:sz w:val="22"/>
              </w:rPr>
            </w:pPr>
            <w:r>
              <w:rPr>
                <w:spacing w:val="-2"/>
                <w:sz w:val="22"/>
              </w:rPr>
              <w:t>客户服务电话：</w:t>
            </w:r>
            <w:r>
              <w:rPr>
                <w:rFonts w:ascii="Arial" w:eastAsia="Arial"/>
                <w:sz w:val="22"/>
              </w:rPr>
              <w:t>96005</w:t>
            </w:r>
          </w:p>
          <w:p>
            <w:pPr>
              <w:pStyle w:val="TableParagraph"/>
              <w:spacing w:line="277" w:lineRule="exact" w:before="28"/>
              <w:ind w:left="100" w:right="95"/>
              <w:jc w:val="center"/>
              <w:rPr>
                <w:rFonts w:ascii="Arial" w:eastAsia="Arial"/>
                <w:sz w:val="22"/>
              </w:rPr>
            </w:pPr>
            <w:r>
              <w:rPr>
                <w:sz w:val="22"/>
              </w:rPr>
              <w:t>网址：</w:t>
            </w:r>
            <w:hyperlink r:id="rId32">
              <w:r>
                <w:rPr>
                  <w:rFonts w:ascii="Arial" w:eastAsia="Arial"/>
                  <w:sz w:val="22"/>
                </w:rPr>
                <w:t>www.jnbank.com.cn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26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恒丰银行股份有限公司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地址：中国烟台市芝罘区</w:t>
            </w:r>
            <w:r>
              <w:rPr>
                <w:spacing w:val="-14"/>
                <w:sz w:val="22"/>
              </w:rPr>
              <w:t>南大街 </w:t>
            </w:r>
            <w:r>
              <w:rPr>
                <w:rFonts w:ascii="Arial" w:eastAsia="Arial"/>
                <w:sz w:val="22"/>
              </w:rPr>
              <w:t>248 </w:t>
            </w:r>
            <w:r>
              <w:rPr>
                <w:sz w:val="22"/>
              </w:rPr>
              <w:t>号</w:t>
            </w:r>
          </w:p>
          <w:p>
            <w:pPr>
              <w:pStyle w:val="TableParagraph"/>
              <w:spacing w:line="266" w:lineRule="auto"/>
              <w:ind w:left="932" w:right="920"/>
              <w:jc w:val="center"/>
              <w:rPr>
                <w:sz w:val="22"/>
              </w:rPr>
            </w:pPr>
            <w:r>
              <w:rPr>
                <w:sz w:val="22"/>
              </w:rPr>
              <w:t>法定代表人：蔡国华联系人：李胜贤</w:t>
            </w:r>
          </w:p>
          <w:p>
            <w:pPr>
              <w:pStyle w:val="TableParagraph"/>
              <w:spacing w:line="266" w:lineRule="auto"/>
              <w:ind w:left="882" w:right="872"/>
              <w:jc w:val="center"/>
              <w:rPr>
                <w:rFonts w:ascii="Arial" w:eastAsia="Arial"/>
                <w:sz w:val="22"/>
              </w:rPr>
            </w:pPr>
            <w:r>
              <w:rPr>
                <w:spacing w:val="-1"/>
                <w:sz w:val="22"/>
              </w:rPr>
              <w:t>电话：</w:t>
            </w:r>
            <w:r>
              <w:rPr>
                <w:rFonts w:ascii="Arial" w:eastAsia="Arial"/>
                <w:spacing w:val="-1"/>
                <w:sz w:val="22"/>
              </w:rPr>
              <w:t>021-63890179 </w:t>
            </w:r>
            <w:r>
              <w:rPr>
                <w:spacing w:val="-1"/>
                <w:sz w:val="22"/>
              </w:rPr>
              <w:t>传真：</w:t>
            </w:r>
            <w:r>
              <w:rPr>
                <w:rFonts w:ascii="Arial" w:eastAsia="Arial"/>
                <w:spacing w:val="-1"/>
                <w:sz w:val="22"/>
              </w:rPr>
              <w:t>021-63890196</w:t>
            </w:r>
          </w:p>
          <w:p>
            <w:pPr>
              <w:pStyle w:val="TableParagraph"/>
              <w:spacing w:line="280" w:lineRule="exact"/>
              <w:ind w:left="105" w:right="95"/>
              <w:jc w:val="center"/>
              <w:rPr>
                <w:rFonts w:ascii="Arial" w:eastAsia="Arial"/>
                <w:sz w:val="22"/>
              </w:rPr>
            </w:pPr>
            <w:r>
              <w:rPr>
                <w:spacing w:val="-2"/>
                <w:sz w:val="22"/>
              </w:rPr>
              <w:t>客户服务电话：</w:t>
            </w:r>
            <w:r>
              <w:rPr>
                <w:rFonts w:ascii="Arial" w:eastAsia="Arial"/>
                <w:sz w:val="22"/>
              </w:rPr>
              <w:t>95395</w:t>
            </w:r>
          </w:p>
          <w:p>
            <w:pPr>
              <w:pStyle w:val="TableParagraph"/>
              <w:spacing w:line="277" w:lineRule="exact" w:before="27"/>
              <w:ind w:left="102" w:right="95"/>
              <w:jc w:val="center"/>
              <w:rPr>
                <w:rFonts w:ascii="Arial" w:eastAsia="Arial"/>
                <w:sz w:val="22"/>
              </w:rPr>
            </w:pPr>
            <w:r>
              <w:rPr>
                <w:sz w:val="22"/>
              </w:rPr>
              <w:t>网址：</w:t>
            </w:r>
            <w:hyperlink r:id="rId33">
              <w:r>
                <w:rPr>
                  <w:rFonts w:ascii="Arial" w:eastAsia="Arial"/>
                  <w:sz w:val="22"/>
                </w:rPr>
                <w:t>www.hfbank.com.cn</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27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7" w:right="77"/>
              <w:jc w:val="center"/>
              <w:rPr>
                <w:sz w:val="22"/>
              </w:rPr>
            </w:pPr>
            <w:r>
              <w:rPr>
                <w:sz w:val="22"/>
              </w:rPr>
              <w:t>四川天府银行股份有限公司</w:t>
            </w:r>
          </w:p>
        </w:tc>
        <w:tc>
          <w:tcPr>
            <w:tcW w:w="3848" w:type="dxa"/>
          </w:tcPr>
          <w:p>
            <w:pPr>
              <w:pStyle w:val="TableParagraph"/>
              <w:spacing w:line="266" w:lineRule="auto" w:before="15"/>
              <w:ind w:left="107" w:right="95" w:hanging="2"/>
              <w:jc w:val="center"/>
              <w:rPr>
                <w:sz w:val="22"/>
              </w:rPr>
            </w:pPr>
            <w:r>
              <w:rPr>
                <w:spacing w:val="-7"/>
                <w:sz w:val="22"/>
              </w:rPr>
              <w:t>注册地址：四川省南充市涪江路 </w:t>
            </w:r>
            <w:r>
              <w:rPr>
                <w:rFonts w:ascii="Arial" w:eastAsia="Arial"/>
                <w:sz w:val="22"/>
              </w:rPr>
              <w:t>1 </w:t>
            </w:r>
            <w:r>
              <w:rPr>
                <w:sz w:val="22"/>
              </w:rPr>
              <w:t>号</w:t>
            </w:r>
            <w:r>
              <w:rPr>
                <w:spacing w:val="-13"/>
                <w:sz w:val="22"/>
              </w:rPr>
              <w:t>办公地址：四川省成都市锦江区下东大</w:t>
            </w:r>
            <w:r>
              <w:rPr>
                <w:spacing w:val="-31"/>
                <w:sz w:val="22"/>
              </w:rPr>
              <w:t>街 </w:t>
            </w:r>
            <w:r>
              <w:rPr>
                <w:rFonts w:ascii="Arial" w:eastAsia="Arial"/>
                <w:sz w:val="22"/>
              </w:rPr>
              <w:t>258 </w:t>
            </w:r>
            <w:r>
              <w:rPr>
                <w:sz w:val="22"/>
              </w:rPr>
              <w:t>号</w:t>
            </w:r>
          </w:p>
          <w:p>
            <w:pPr>
              <w:pStyle w:val="TableParagraph"/>
              <w:spacing w:line="266" w:lineRule="auto"/>
              <w:ind w:left="988" w:right="978"/>
              <w:jc w:val="center"/>
              <w:rPr>
                <w:sz w:val="22"/>
              </w:rPr>
            </w:pPr>
            <w:r>
              <w:rPr>
                <w:sz w:val="22"/>
              </w:rPr>
              <w:t>法定代表人： 邢敏联系人：樊海波</w:t>
            </w:r>
          </w:p>
          <w:p>
            <w:pPr>
              <w:pStyle w:val="TableParagraph"/>
              <w:spacing w:line="281" w:lineRule="exact"/>
              <w:ind w:left="102" w:right="95"/>
              <w:jc w:val="center"/>
              <w:rPr>
                <w:rFonts w:ascii="Arial" w:eastAsia="Arial"/>
                <w:sz w:val="22"/>
              </w:rPr>
            </w:pPr>
            <w:r>
              <w:rPr>
                <w:sz w:val="22"/>
              </w:rPr>
              <w:t>电话：</w:t>
            </w:r>
            <w:r>
              <w:rPr>
                <w:rFonts w:ascii="Arial" w:eastAsia="Arial"/>
                <w:sz w:val="22"/>
              </w:rPr>
              <w:t>028-67676033</w:t>
            </w:r>
          </w:p>
          <w:p>
            <w:pPr>
              <w:pStyle w:val="TableParagraph"/>
              <w:spacing w:line="310" w:lineRule="atLeast"/>
              <w:ind w:left="539" w:right="531"/>
              <w:jc w:val="center"/>
              <w:rPr>
                <w:rFonts w:ascii="Arial" w:eastAsia="Arial"/>
                <w:sz w:val="22"/>
              </w:rPr>
            </w:pPr>
            <w:r>
              <w:rPr>
                <w:sz w:val="22"/>
              </w:rPr>
              <w:t>客户服务电话：</w:t>
            </w:r>
            <w:r>
              <w:rPr>
                <w:rFonts w:ascii="Arial" w:eastAsia="Arial"/>
                <w:sz w:val="22"/>
              </w:rPr>
              <w:t>4001696869 </w:t>
            </w:r>
            <w:r>
              <w:rPr>
                <w:sz w:val="22"/>
              </w:rPr>
              <w:t>网址：</w:t>
            </w:r>
            <w:hyperlink r:id="rId34">
              <w:r>
                <w:rPr>
                  <w:rFonts w:ascii="Arial" w:eastAsia="Arial"/>
                  <w:sz w:val="22"/>
                </w:rPr>
                <w:t>www.tf.cn</w:t>
              </w:r>
            </w:hyperlink>
          </w:p>
        </w:tc>
      </w:tr>
      <w:tr>
        <w:trPr>
          <w:trHeight w:val="2183"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87"/>
              <w:jc w:val="right"/>
              <w:rPr>
                <w:rFonts w:ascii="Arial"/>
                <w:sz w:val="21"/>
              </w:rPr>
            </w:pPr>
            <w:r>
              <w:rPr>
                <w:rFonts w:ascii="Arial"/>
                <w:sz w:val="21"/>
              </w:rPr>
              <w:t>28</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2" w:right="77"/>
              <w:jc w:val="center"/>
              <w:rPr>
                <w:sz w:val="22"/>
              </w:rPr>
            </w:pPr>
            <w:r>
              <w:rPr>
                <w:sz w:val="22"/>
              </w:rPr>
              <w:t>上海银行股份有限公司</w:t>
            </w:r>
          </w:p>
        </w:tc>
        <w:tc>
          <w:tcPr>
            <w:tcW w:w="3848" w:type="dxa"/>
          </w:tcPr>
          <w:p>
            <w:pPr>
              <w:pStyle w:val="TableParagraph"/>
              <w:spacing w:line="266" w:lineRule="auto" w:before="15"/>
              <w:ind w:left="107" w:right="95"/>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0"/>
                <w:sz w:val="22"/>
              </w:rPr>
              <w:t>区银城中路 </w:t>
            </w:r>
            <w:r>
              <w:rPr>
                <w:rFonts w:ascii="Arial" w:eastAsia="Arial"/>
                <w:sz w:val="22"/>
              </w:rPr>
              <w:t>168 </w:t>
            </w:r>
            <w:r>
              <w:rPr>
                <w:sz w:val="22"/>
              </w:rPr>
              <w:t>号</w:t>
            </w:r>
          </w:p>
          <w:p>
            <w:pPr>
              <w:pStyle w:val="TableParagraph"/>
              <w:spacing w:line="280" w:lineRule="exact"/>
              <w:ind w:left="102" w:right="95"/>
              <w:jc w:val="center"/>
              <w:rPr>
                <w:sz w:val="22"/>
              </w:rPr>
            </w:pPr>
            <w:r>
              <w:rPr>
                <w:sz w:val="22"/>
              </w:rPr>
              <w:t>办公地址：上海市浦东新区银城中路</w:t>
            </w:r>
          </w:p>
          <w:p>
            <w:pPr>
              <w:pStyle w:val="TableParagraph"/>
              <w:spacing w:before="30"/>
              <w:ind w:left="100" w:right="95"/>
              <w:jc w:val="center"/>
              <w:rPr>
                <w:sz w:val="22"/>
              </w:rPr>
            </w:pPr>
            <w:r>
              <w:rPr>
                <w:rFonts w:ascii="Arial" w:eastAsia="Arial"/>
                <w:sz w:val="22"/>
              </w:rPr>
              <w:t>168 </w:t>
            </w:r>
            <w:r>
              <w:rPr>
                <w:sz w:val="22"/>
              </w:rPr>
              <w:t>号</w:t>
            </w:r>
          </w:p>
          <w:p>
            <w:pPr>
              <w:pStyle w:val="TableParagraph"/>
              <w:spacing w:line="266" w:lineRule="auto" w:before="30"/>
              <w:ind w:left="846" w:right="785" w:firstLine="196"/>
              <w:rPr>
                <w:rFonts w:ascii="Arial" w:eastAsia="Arial"/>
                <w:sz w:val="22"/>
              </w:rPr>
            </w:pPr>
            <w:r>
              <w:rPr>
                <w:sz w:val="22"/>
              </w:rPr>
              <w:t>法定代表人：金煜客户服务电话：</w:t>
            </w:r>
            <w:r>
              <w:rPr>
                <w:rFonts w:ascii="Arial" w:eastAsia="Arial"/>
                <w:sz w:val="22"/>
              </w:rPr>
              <w:t>95594</w:t>
            </w:r>
          </w:p>
          <w:p>
            <w:pPr>
              <w:pStyle w:val="TableParagraph"/>
              <w:spacing w:line="275" w:lineRule="exact"/>
              <w:ind w:left="103" w:right="95"/>
              <w:jc w:val="center"/>
              <w:rPr>
                <w:rFonts w:ascii="Arial" w:eastAsia="Arial"/>
                <w:sz w:val="22"/>
              </w:rPr>
            </w:pPr>
            <w:r>
              <w:rPr>
                <w:sz w:val="22"/>
              </w:rPr>
              <w:t>网址：</w:t>
            </w:r>
            <w:hyperlink r:id="rId35">
              <w:r>
                <w:rPr>
                  <w:rFonts w:ascii="Arial" w:eastAsia="Arial"/>
                  <w:sz w:val="22"/>
                </w:rPr>
                <w:t>http://www.bosc.cn/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right="187"/>
              <w:jc w:val="right"/>
              <w:rPr>
                <w:rFonts w:ascii="Arial"/>
                <w:sz w:val="21"/>
              </w:rPr>
            </w:pPr>
            <w:r>
              <w:rPr>
                <w:rFonts w:ascii="Arial"/>
                <w:sz w:val="21"/>
              </w:rPr>
              <w:t>29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77" w:right="77"/>
              <w:jc w:val="center"/>
              <w:rPr>
                <w:sz w:val="22"/>
              </w:rPr>
            </w:pPr>
            <w:r>
              <w:rPr>
                <w:sz w:val="22"/>
              </w:rPr>
              <w:t>江苏银行股份有限公司</w:t>
            </w:r>
          </w:p>
        </w:tc>
        <w:tc>
          <w:tcPr>
            <w:tcW w:w="3848" w:type="dxa"/>
          </w:tcPr>
          <w:p>
            <w:pPr>
              <w:pStyle w:val="TableParagraph"/>
              <w:spacing w:before="17"/>
              <w:ind w:left="10"/>
              <w:jc w:val="center"/>
              <w:rPr>
                <w:rFonts w:ascii="Arial" w:eastAsia="Arial"/>
                <w:sz w:val="22"/>
              </w:rPr>
            </w:pPr>
            <w:r>
              <w:rPr>
                <w:sz w:val="22"/>
              </w:rPr>
              <w:t>注册（办公）地址： 南京市中华路 </w:t>
            </w:r>
            <w:r>
              <w:rPr>
                <w:rFonts w:ascii="Arial" w:eastAsia="Arial"/>
                <w:sz w:val="22"/>
              </w:rPr>
              <w:t>26</w:t>
            </w:r>
          </w:p>
          <w:p>
            <w:pPr>
              <w:pStyle w:val="TableParagraph"/>
              <w:spacing w:before="31"/>
              <w:ind w:left="5"/>
              <w:jc w:val="center"/>
              <w:rPr>
                <w:sz w:val="22"/>
              </w:rPr>
            </w:pPr>
            <w:r>
              <w:rPr>
                <w:w w:val="100"/>
                <w:sz w:val="22"/>
              </w:rPr>
              <w:t>号</w:t>
            </w:r>
          </w:p>
          <w:p>
            <w:pPr>
              <w:pStyle w:val="TableParagraph"/>
              <w:spacing w:line="266" w:lineRule="auto" w:before="30"/>
              <w:ind w:left="988" w:right="978"/>
              <w:jc w:val="center"/>
              <w:rPr>
                <w:sz w:val="22"/>
              </w:rPr>
            </w:pPr>
            <w:r>
              <w:rPr>
                <w:sz w:val="22"/>
              </w:rPr>
              <w:t>法定代表人： 夏平联系人：张洪玮</w:t>
            </w:r>
          </w:p>
          <w:p>
            <w:pPr>
              <w:pStyle w:val="TableParagraph"/>
              <w:spacing w:line="266" w:lineRule="auto"/>
              <w:ind w:left="882" w:right="872"/>
              <w:jc w:val="center"/>
              <w:rPr>
                <w:rFonts w:ascii="Arial" w:eastAsia="Arial"/>
                <w:sz w:val="22"/>
              </w:rPr>
            </w:pPr>
            <w:r>
              <w:rPr>
                <w:sz w:val="22"/>
              </w:rPr>
              <w:t>电话：</w:t>
            </w:r>
            <w:r>
              <w:rPr>
                <w:rFonts w:ascii="Arial" w:eastAsia="Arial"/>
                <w:sz w:val="22"/>
              </w:rPr>
              <w:t>025-58587036 </w:t>
            </w:r>
            <w:r>
              <w:rPr>
                <w:sz w:val="22"/>
              </w:rPr>
              <w:t>传真：</w:t>
            </w:r>
            <w:r>
              <w:rPr>
                <w:rFonts w:ascii="Arial" w:eastAsia="Arial"/>
                <w:sz w:val="22"/>
              </w:rPr>
              <w:t>025-58587820</w:t>
            </w:r>
          </w:p>
          <w:p>
            <w:pPr>
              <w:pStyle w:val="TableParagraph"/>
              <w:spacing w:line="280" w:lineRule="exact"/>
              <w:ind w:left="105" w:right="95"/>
              <w:jc w:val="center"/>
              <w:rPr>
                <w:rFonts w:ascii="Arial" w:eastAsia="Arial"/>
                <w:sz w:val="22"/>
              </w:rPr>
            </w:pPr>
            <w:r>
              <w:rPr>
                <w:sz w:val="22"/>
              </w:rPr>
              <w:t>客户服务电话：</w:t>
            </w:r>
            <w:r>
              <w:rPr>
                <w:rFonts w:ascii="Arial" w:eastAsia="Arial"/>
                <w:sz w:val="22"/>
              </w:rPr>
              <w:t>95319</w:t>
            </w:r>
          </w:p>
          <w:p>
            <w:pPr>
              <w:pStyle w:val="TableParagraph"/>
              <w:spacing w:line="277" w:lineRule="exact" w:before="28"/>
              <w:ind w:left="100" w:right="95"/>
              <w:jc w:val="center"/>
              <w:rPr>
                <w:rFonts w:ascii="Arial" w:eastAsia="Arial"/>
                <w:sz w:val="22"/>
              </w:rPr>
            </w:pPr>
            <w:r>
              <w:rPr>
                <w:sz w:val="22"/>
              </w:rPr>
              <w:t>网址：</w:t>
            </w:r>
            <w:hyperlink r:id="rId36">
              <w:r>
                <w:rPr>
                  <w:rFonts w:ascii="Arial" w:eastAsia="Arial"/>
                  <w:sz w:val="22"/>
                </w:rPr>
                <w:t>www.jsbchina.cn</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30</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九江银行股份有限公司</w:t>
            </w:r>
          </w:p>
        </w:tc>
        <w:tc>
          <w:tcPr>
            <w:tcW w:w="3848" w:type="dxa"/>
            <w:tcBorders>
              <w:top w:val="nil"/>
            </w:tcBorders>
          </w:tcPr>
          <w:p>
            <w:pPr>
              <w:pStyle w:val="TableParagraph"/>
              <w:spacing w:line="266" w:lineRule="auto" w:before="15"/>
              <w:ind w:left="107" w:right="95"/>
              <w:jc w:val="center"/>
              <w:rPr>
                <w:sz w:val="22"/>
              </w:rPr>
            </w:pPr>
            <w:r>
              <w:rPr>
                <w:sz w:val="22"/>
              </w:rPr>
              <w:t>注册（办公）地址： 江西省九江市濂溪区长虹大道 </w:t>
            </w:r>
            <w:r>
              <w:rPr>
                <w:rFonts w:ascii="Arial" w:eastAsia="Arial"/>
                <w:sz w:val="22"/>
              </w:rPr>
              <w:t>619 </w:t>
            </w:r>
            <w:r>
              <w:rPr>
                <w:sz w:val="22"/>
              </w:rPr>
              <w:t>号</w:t>
            </w:r>
          </w:p>
          <w:p>
            <w:pPr>
              <w:pStyle w:val="TableParagraph"/>
              <w:spacing w:line="266" w:lineRule="auto"/>
              <w:ind w:left="877" w:right="865"/>
              <w:jc w:val="center"/>
              <w:rPr>
                <w:sz w:val="22"/>
              </w:rPr>
            </w:pPr>
            <w:r>
              <w:rPr>
                <w:sz w:val="22"/>
              </w:rPr>
              <w:t>法定代表人： 刘羡庭联系人： 刘心皓</w:t>
            </w:r>
          </w:p>
          <w:p>
            <w:pPr>
              <w:pStyle w:val="TableParagraph"/>
              <w:spacing w:line="280" w:lineRule="exact"/>
              <w:ind w:left="827"/>
              <w:rPr>
                <w:rFonts w:ascii="Arial" w:eastAsia="Arial"/>
                <w:sz w:val="22"/>
              </w:rPr>
            </w:pPr>
            <w:r>
              <w:rPr>
                <w:spacing w:val="-2"/>
                <w:sz w:val="22"/>
              </w:rPr>
              <w:t>电话： </w:t>
            </w:r>
            <w:r>
              <w:rPr>
                <w:rFonts w:ascii="Arial" w:eastAsia="Arial"/>
                <w:sz w:val="22"/>
              </w:rPr>
              <w:t>0792-2190262</w:t>
            </w:r>
          </w:p>
          <w:p>
            <w:pPr>
              <w:pStyle w:val="TableParagraph"/>
              <w:spacing w:before="29"/>
              <w:ind w:left="827"/>
              <w:rPr>
                <w:rFonts w:ascii="Arial" w:eastAsia="Arial"/>
                <w:sz w:val="22"/>
              </w:rPr>
            </w:pPr>
            <w:r>
              <w:rPr>
                <w:spacing w:val="-2"/>
                <w:sz w:val="22"/>
              </w:rPr>
              <w:t>传真： </w:t>
            </w:r>
            <w:r>
              <w:rPr>
                <w:rFonts w:ascii="Arial" w:eastAsia="Arial"/>
                <w:sz w:val="22"/>
              </w:rPr>
              <w:t>0792-8325029</w:t>
            </w:r>
          </w:p>
          <w:p>
            <w:pPr>
              <w:pStyle w:val="TableParagraph"/>
              <w:spacing w:line="310" w:lineRule="atLeast" w:before="2"/>
              <w:ind w:left="810" w:right="799" w:firstLine="36"/>
              <w:rPr>
                <w:rFonts w:ascii="Arial" w:eastAsia="Arial"/>
                <w:sz w:val="22"/>
              </w:rPr>
            </w:pPr>
            <w:r>
              <w:rPr>
                <w:spacing w:val="-1"/>
                <w:sz w:val="22"/>
              </w:rPr>
              <w:t>客户服务电话：</w:t>
            </w:r>
            <w:r>
              <w:rPr>
                <w:rFonts w:ascii="Arial" w:eastAsia="Arial"/>
                <w:sz w:val="22"/>
              </w:rPr>
              <w:t>95316 </w:t>
            </w:r>
            <w:r>
              <w:rPr>
                <w:spacing w:val="-4"/>
                <w:sz w:val="22"/>
              </w:rPr>
              <w:t>网址： </w:t>
            </w:r>
            <w:hyperlink r:id="rId37">
              <w:r>
                <w:rPr>
                  <w:rFonts w:ascii="Arial" w:eastAsia="Arial"/>
                  <w:sz w:val="22"/>
                </w:rPr>
                <w:t>www.jjccb.com</w:t>
              </w:r>
            </w:hyperlink>
          </w:p>
        </w:tc>
      </w:tr>
      <w:tr>
        <w:trPr>
          <w:trHeight w:val="218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87"/>
              <w:jc w:val="right"/>
              <w:rPr>
                <w:rFonts w:ascii="Arial"/>
                <w:sz w:val="21"/>
              </w:rPr>
            </w:pPr>
            <w:r>
              <w:rPr>
                <w:rFonts w:ascii="Arial"/>
                <w:sz w:val="21"/>
              </w:rPr>
              <w:t>31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2" w:right="77"/>
              <w:jc w:val="center"/>
              <w:rPr>
                <w:sz w:val="22"/>
              </w:rPr>
            </w:pPr>
            <w:r>
              <w:rPr>
                <w:sz w:val="22"/>
              </w:rPr>
              <w:t>宁波银行股份有限公司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地址：浙江省宁波市鄞州</w:t>
            </w:r>
            <w:r>
              <w:rPr>
                <w:spacing w:val="-11"/>
                <w:sz w:val="22"/>
              </w:rPr>
              <w:t>区宁东路 </w:t>
            </w:r>
            <w:r>
              <w:rPr>
                <w:rFonts w:ascii="Arial" w:eastAsia="Arial"/>
                <w:sz w:val="22"/>
              </w:rPr>
              <w:t>345 </w:t>
            </w:r>
            <w:r>
              <w:rPr>
                <w:sz w:val="22"/>
              </w:rPr>
              <w:t>号</w:t>
            </w:r>
          </w:p>
          <w:p>
            <w:pPr>
              <w:pStyle w:val="TableParagraph"/>
              <w:spacing w:line="266" w:lineRule="auto"/>
              <w:ind w:left="820" w:right="812" w:firstLine="331"/>
              <w:rPr>
                <w:rFonts w:ascii="Arial" w:eastAsia="Arial"/>
                <w:sz w:val="22"/>
              </w:rPr>
            </w:pPr>
            <w:r>
              <w:rPr>
                <w:spacing w:val="-1"/>
                <w:sz w:val="22"/>
              </w:rPr>
              <w:t>联系人：廖凯亮  电话：</w:t>
            </w:r>
            <w:r>
              <w:rPr>
                <w:rFonts w:ascii="Arial" w:eastAsia="Arial"/>
                <w:spacing w:val="-1"/>
                <w:sz w:val="22"/>
              </w:rPr>
              <w:t>0574-87050028</w:t>
            </w:r>
          </w:p>
          <w:p>
            <w:pPr>
              <w:pStyle w:val="TableParagraph"/>
              <w:spacing w:line="281" w:lineRule="exact"/>
              <w:ind w:left="764"/>
              <w:rPr>
                <w:rFonts w:ascii="Arial" w:eastAsia="Arial"/>
                <w:sz w:val="22"/>
              </w:rPr>
            </w:pPr>
            <w:r>
              <w:rPr>
                <w:spacing w:val="-2"/>
                <w:sz w:val="22"/>
              </w:rPr>
              <w:t>传真： </w:t>
            </w:r>
            <w:r>
              <w:rPr>
                <w:rFonts w:ascii="Arial" w:eastAsia="Arial"/>
                <w:sz w:val="22"/>
              </w:rPr>
              <w:t>0574-87050027</w:t>
            </w:r>
          </w:p>
          <w:p>
            <w:pPr>
              <w:pStyle w:val="TableParagraph"/>
              <w:spacing w:before="28"/>
              <w:ind w:left="103" w:right="95"/>
              <w:jc w:val="center"/>
              <w:rPr>
                <w:rFonts w:ascii="Arial" w:eastAsia="Arial"/>
                <w:sz w:val="22"/>
              </w:rPr>
            </w:pPr>
            <w:r>
              <w:rPr>
                <w:spacing w:val="-1"/>
                <w:sz w:val="22"/>
              </w:rPr>
              <w:t>客户服务电话： </w:t>
            </w:r>
            <w:r>
              <w:rPr>
                <w:rFonts w:ascii="Arial" w:eastAsia="Arial"/>
                <w:sz w:val="22"/>
              </w:rPr>
              <w:t>95574</w:t>
            </w:r>
          </w:p>
          <w:p>
            <w:pPr>
              <w:pStyle w:val="TableParagraph"/>
              <w:spacing w:line="277" w:lineRule="exact" w:before="30"/>
              <w:ind w:left="100" w:right="95"/>
              <w:jc w:val="center"/>
              <w:rPr>
                <w:rFonts w:ascii="Arial" w:eastAsia="Arial"/>
                <w:sz w:val="22"/>
              </w:rPr>
            </w:pPr>
            <w:r>
              <w:rPr>
                <w:sz w:val="22"/>
              </w:rPr>
              <w:t>网址：</w:t>
            </w:r>
            <w:hyperlink r:id="rId38">
              <w:r>
                <w:rPr>
                  <w:rFonts w:ascii="Arial" w:eastAsia="Arial"/>
                  <w:sz w:val="22"/>
                </w:rPr>
                <w:t>www.nbcb.cn</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32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9" w:right="77"/>
              <w:jc w:val="center"/>
              <w:rPr>
                <w:sz w:val="22"/>
              </w:rPr>
            </w:pPr>
            <w:r>
              <w:rPr>
                <w:sz w:val="22"/>
              </w:rPr>
              <w:t>江苏苏州农村商业银行股份有限公司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地址：江苏省苏州市吴江</w:t>
            </w:r>
            <w:r>
              <w:rPr>
                <w:spacing w:val="-10"/>
                <w:sz w:val="22"/>
              </w:rPr>
              <w:t>区中山南路 </w:t>
            </w:r>
            <w:r>
              <w:rPr>
                <w:rFonts w:ascii="Arial" w:eastAsia="Arial"/>
                <w:sz w:val="22"/>
              </w:rPr>
              <w:t>1777 </w:t>
            </w:r>
            <w:r>
              <w:rPr>
                <w:sz w:val="22"/>
              </w:rPr>
              <w:t>号</w:t>
            </w:r>
          </w:p>
          <w:p>
            <w:pPr>
              <w:pStyle w:val="TableParagraph"/>
              <w:spacing w:line="266" w:lineRule="auto"/>
              <w:ind w:left="932" w:right="920"/>
              <w:jc w:val="center"/>
              <w:rPr>
                <w:sz w:val="22"/>
              </w:rPr>
            </w:pPr>
            <w:r>
              <w:rPr>
                <w:sz w:val="22"/>
              </w:rPr>
              <w:t>法定代表人：魏礼亚联系人：葛晓亮</w:t>
            </w:r>
          </w:p>
          <w:p>
            <w:pPr>
              <w:pStyle w:val="TableParagraph"/>
              <w:spacing w:line="266" w:lineRule="auto"/>
              <w:ind w:left="822" w:right="810"/>
              <w:jc w:val="center"/>
              <w:rPr>
                <w:rFonts w:ascii="Arial" w:eastAsia="Arial"/>
                <w:sz w:val="22"/>
              </w:rPr>
            </w:pPr>
            <w:r>
              <w:rPr>
                <w:spacing w:val="-1"/>
                <w:sz w:val="22"/>
              </w:rPr>
              <w:t>电话：</w:t>
            </w:r>
            <w:r>
              <w:rPr>
                <w:rFonts w:ascii="Arial" w:eastAsia="Arial"/>
                <w:spacing w:val="-1"/>
                <w:sz w:val="22"/>
              </w:rPr>
              <w:t>0512-63969209 </w:t>
            </w:r>
            <w:r>
              <w:rPr>
                <w:spacing w:val="-1"/>
                <w:sz w:val="22"/>
              </w:rPr>
              <w:t>传真：</w:t>
            </w:r>
            <w:r>
              <w:rPr>
                <w:rFonts w:ascii="Arial" w:eastAsia="Arial"/>
                <w:spacing w:val="-1"/>
                <w:sz w:val="22"/>
              </w:rPr>
              <w:t>0512-63969209</w:t>
            </w:r>
          </w:p>
          <w:p>
            <w:pPr>
              <w:pStyle w:val="TableParagraph"/>
              <w:spacing w:line="281" w:lineRule="exact"/>
              <w:ind w:left="105" w:right="95"/>
              <w:jc w:val="center"/>
              <w:rPr>
                <w:rFonts w:ascii="Arial" w:eastAsia="Arial"/>
                <w:sz w:val="22"/>
              </w:rPr>
            </w:pPr>
            <w:r>
              <w:rPr>
                <w:spacing w:val="-2"/>
                <w:sz w:val="22"/>
              </w:rPr>
              <w:t>客户服务电话：</w:t>
            </w:r>
            <w:r>
              <w:rPr>
                <w:rFonts w:ascii="Arial" w:eastAsia="Arial"/>
                <w:sz w:val="22"/>
              </w:rPr>
              <w:t>96068</w:t>
            </w:r>
          </w:p>
          <w:p>
            <w:pPr>
              <w:pStyle w:val="TableParagraph"/>
              <w:spacing w:line="277" w:lineRule="exact" w:before="26"/>
              <w:ind w:left="103" w:right="95"/>
              <w:jc w:val="center"/>
              <w:rPr>
                <w:rFonts w:ascii="Arial" w:eastAsia="Arial"/>
                <w:sz w:val="22"/>
              </w:rPr>
            </w:pPr>
            <w:r>
              <w:rPr>
                <w:spacing w:val="-1"/>
                <w:sz w:val="22"/>
              </w:rPr>
              <w:t>网址：</w:t>
            </w:r>
            <w:hyperlink r:id="rId39">
              <w:r>
                <w:rPr>
                  <w:rFonts w:ascii="Arial" w:eastAsia="Arial"/>
                  <w:spacing w:val="-1"/>
                  <w:sz w:val="22"/>
                </w:rPr>
                <w:t>www.szrcb.com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right="187"/>
              <w:jc w:val="right"/>
              <w:rPr>
                <w:rFonts w:ascii="Arial"/>
                <w:sz w:val="21"/>
              </w:rPr>
            </w:pPr>
            <w:r>
              <w:rPr>
                <w:rFonts w:ascii="Arial"/>
                <w:sz w:val="21"/>
              </w:rPr>
              <w:t>33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82" w:right="77"/>
              <w:jc w:val="center"/>
              <w:rPr>
                <w:sz w:val="22"/>
              </w:rPr>
            </w:pPr>
            <w:r>
              <w:rPr>
                <w:sz w:val="22"/>
              </w:rPr>
              <w:t>长城证券股份有限公司</w:t>
            </w:r>
          </w:p>
        </w:tc>
        <w:tc>
          <w:tcPr>
            <w:tcW w:w="3848" w:type="dxa"/>
          </w:tcPr>
          <w:p>
            <w:pPr>
              <w:pStyle w:val="TableParagraph"/>
              <w:spacing w:line="266" w:lineRule="auto" w:before="15"/>
              <w:ind w:left="107" w:right="95"/>
              <w:jc w:val="center"/>
              <w:rPr>
                <w:sz w:val="22"/>
              </w:rPr>
            </w:pPr>
            <w:r>
              <w:rPr>
                <w:spacing w:val="-13"/>
                <w:sz w:val="22"/>
              </w:rPr>
              <w:t>注册地址：广东省深圳市福田区深南大</w:t>
            </w:r>
            <w:r>
              <w:rPr>
                <w:spacing w:val="-28"/>
                <w:sz w:val="22"/>
              </w:rPr>
              <w:t>道 </w:t>
            </w:r>
            <w:r>
              <w:rPr>
                <w:rFonts w:ascii="Arial" w:eastAsia="Arial"/>
                <w:sz w:val="22"/>
              </w:rPr>
              <w:t>6008 </w:t>
            </w:r>
            <w:r>
              <w:rPr>
                <w:spacing w:val="-10"/>
                <w:sz w:val="22"/>
              </w:rPr>
              <w:t>号特区报业大厦 </w:t>
            </w:r>
            <w:r>
              <w:rPr>
                <w:rFonts w:ascii="Arial" w:eastAsia="Arial"/>
                <w:sz w:val="22"/>
              </w:rPr>
              <w:t>16-17 </w:t>
            </w:r>
            <w:r>
              <w:rPr>
                <w:sz w:val="22"/>
              </w:rPr>
              <w:t>层</w:t>
            </w:r>
          </w:p>
          <w:p>
            <w:pPr>
              <w:pStyle w:val="TableParagraph"/>
              <w:spacing w:line="280" w:lineRule="exact"/>
              <w:ind w:left="105" w:right="95"/>
              <w:jc w:val="center"/>
              <w:rPr>
                <w:sz w:val="22"/>
              </w:rPr>
            </w:pPr>
            <w:r>
              <w:rPr>
                <w:sz w:val="22"/>
              </w:rPr>
              <w:t>法定代表人：曹宏</w:t>
            </w:r>
          </w:p>
          <w:p>
            <w:pPr>
              <w:pStyle w:val="TableParagraph"/>
              <w:spacing w:line="266" w:lineRule="auto" w:before="30"/>
              <w:ind w:left="107" w:right="95"/>
              <w:jc w:val="center"/>
              <w:rPr>
                <w:sz w:val="22"/>
              </w:rPr>
            </w:pPr>
            <w:r>
              <w:rPr>
                <w:spacing w:val="-13"/>
                <w:sz w:val="22"/>
              </w:rPr>
              <w:t>办公地址：广东省深圳市福田区深南大</w:t>
            </w:r>
            <w:r>
              <w:rPr>
                <w:spacing w:val="-28"/>
                <w:sz w:val="22"/>
              </w:rPr>
              <w:t>道 </w:t>
            </w:r>
            <w:r>
              <w:rPr>
                <w:rFonts w:ascii="Arial" w:eastAsia="Arial"/>
                <w:sz w:val="22"/>
              </w:rPr>
              <w:t>6008 </w:t>
            </w:r>
            <w:r>
              <w:rPr>
                <w:spacing w:val="-10"/>
                <w:sz w:val="22"/>
              </w:rPr>
              <w:t>号特区报业大厦 </w:t>
            </w:r>
            <w:r>
              <w:rPr>
                <w:rFonts w:ascii="Arial" w:eastAsia="Arial"/>
                <w:sz w:val="22"/>
              </w:rPr>
              <w:t>14</w:t>
            </w:r>
            <w:r>
              <w:rPr>
                <w:sz w:val="22"/>
              </w:rPr>
              <w:t>、</w:t>
            </w:r>
            <w:r>
              <w:rPr>
                <w:rFonts w:ascii="Arial" w:eastAsia="Arial"/>
                <w:sz w:val="22"/>
              </w:rPr>
              <w:t>16</w:t>
            </w:r>
            <w:r>
              <w:rPr>
                <w:sz w:val="22"/>
              </w:rPr>
              <w:t>、</w:t>
            </w:r>
            <w:r>
              <w:rPr>
                <w:rFonts w:ascii="Arial" w:eastAsia="Arial"/>
                <w:sz w:val="22"/>
              </w:rPr>
              <w:t>17 </w:t>
            </w:r>
            <w:r>
              <w:rPr>
                <w:sz w:val="22"/>
              </w:rPr>
              <w:t>层</w:t>
            </w:r>
          </w:p>
          <w:p>
            <w:pPr>
              <w:pStyle w:val="TableParagraph"/>
              <w:spacing w:line="266" w:lineRule="auto"/>
              <w:ind w:left="539" w:right="531"/>
              <w:jc w:val="center"/>
              <w:rPr>
                <w:sz w:val="22"/>
              </w:rPr>
            </w:pPr>
            <w:r>
              <w:rPr>
                <w:sz w:val="22"/>
              </w:rPr>
              <w:t>客户服务电话：</w:t>
            </w:r>
            <w:r>
              <w:rPr>
                <w:rFonts w:ascii="Arial" w:eastAsia="Arial"/>
                <w:sz w:val="22"/>
              </w:rPr>
              <w:t>4006666888 </w:t>
            </w:r>
            <w:r>
              <w:rPr>
                <w:sz w:val="22"/>
              </w:rPr>
              <w:t>联系人：金夏</w:t>
            </w:r>
          </w:p>
          <w:p>
            <w:pPr>
              <w:pStyle w:val="TableParagraph"/>
              <w:spacing w:line="280" w:lineRule="exact"/>
              <w:ind w:left="103" w:right="95"/>
              <w:jc w:val="center"/>
              <w:rPr>
                <w:rFonts w:ascii="Arial" w:eastAsia="Arial"/>
                <w:sz w:val="22"/>
              </w:rPr>
            </w:pPr>
            <w:r>
              <w:rPr>
                <w:sz w:val="22"/>
              </w:rPr>
              <w:t>联系电话：</w:t>
            </w:r>
            <w:r>
              <w:rPr>
                <w:rFonts w:ascii="Arial" w:eastAsia="Arial"/>
                <w:sz w:val="22"/>
              </w:rPr>
              <w:t>0755-83516289</w:t>
            </w:r>
          </w:p>
          <w:p>
            <w:pPr>
              <w:pStyle w:val="TableParagraph"/>
              <w:spacing w:line="310" w:lineRule="atLeast"/>
              <w:ind w:left="740" w:right="732"/>
              <w:jc w:val="center"/>
              <w:rPr>
                <w:rFonts w:ascii="Arial" w:eastAsia="Arial"/>
                <w:sz w:val="22"/>
              </w:rPr>
            </w:pPr>
            <w:r>
              <w:rPr>
                <w:sz w:val="22"/>
              </w:rPr>
              <w:t>邮箱：</w:t>
            </w:r>
            <w:hyperlink r:id="rId40">
              <w:r>
                <w:rPr>
                  <w:rFonts w:ascii="Arial" w:eastAsia="Arial"/>
                  <w:sz w:val="22"/>
                </w:rPr>
                <w:t>jinxia@cgws.com </w:t>
              </w:r>
            </w:hyperlink>
            <w:r>
              <w:rPr>
                <w:sz w:val="22"/>
              </w:rPr>
              <w:t>网址：</w:t>
            </w:r>
            <w:hyperlink r:id="rId41">
              <w:r>
                <w:rPr>
                  <w:rFonts w:ascii="Arial" w:eastAsia="Arial"/>
                  <w:sz w:val="22"/>
                </w:rPr>
                <w:t>www.cgws.com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right="187"/>
              <w:jc w:val="right"/>
              <w:rPr>
                <w:rFonts w:ascii="Arial"/>
                <w:sz w:val="21"/>
              </w:rPr>
            </w:pPr>
            <w:r>
              <w:rPr>
                <w:rFonts w:ascii="Arial"/>
                <w:sz w:val="21"/>
              </w:rPr>
              <w:t>34</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2" w:right="77"/>
              <w:jc w:val="center"/>
              <w:rPr>
                <w:sz w:val="22"/>
              </w:rPr>
            </w:pPr>
            <w:r>
              <w:rPr>
                <w:sz w:val="22"/>
              </w:rPr>
              <w:t>广发证券股份有限公司</w:t>
            </w:r>
          </w:p>
        </w:tc>
        <w:tc>
          <w:tcPr>
            <w:tcW w:w="3848" w:type="dxa"/>
          </w:tcPr>
          <w:p>
            <w:pPr>
              <w:pStyle w:val="TableParagraph"/>
              <w:spacing w:line="266" w:lineRule="auto" w:before="17"/>
              <w:ind w:left="107" w:right="95"/>
              <w:jc w:val="center"/>
              <w:rPr>
                <w:sz w:val="22"/>
              </w:rPr>
            </w:pPr>
            <w:r>
              <w:rPr>
                <w:spacing w:val="-13"/>
                <w:sz w:val="22"/>
              </w:rPr>
              <w:t>注册地址：广州市黄埔区中新广州知识</w:t>
            </w:r>
            <w:r>
              <w:rPr>
                <w:spacing w:val="-1"/>
                <w:sz w:val="22"/>
              </w:rPr>
              <w:t>城腾飞一街 </w:t>
            </w:r>
            <w:r>
              <w:rPr>
                <w:sz w:val="22"/>
              </w:rPr>
              <w:t>2</w:t>
            </w:r>
            <w:r>
              <w:rPr>
                <w:spacing w:val="-1"/>
                <w:sz w:val="22"/>
              </w:rPr>
              <w:t> 号 </w:t>
            </w:r>
            <w:r>
              <w:rPr>
                <w:sz w:val="22"/>
              </w:rPr>
              <w:t>618</w:t>
            </w:r>
            <w:r>
              <w:rPr>
                <w:spacing w:val="-1"/>
                <w:sz w:val="22"/>
              </w:rPr>
              <w:t> 室</w:t>
            </w:r>
          </w:p>
          <w:p>
            <w:pPr>
              <w:pStyle w:val="TableParagraph"/>
              <w:spacing w:line="266" w:lineRule="auto"/>
              <w:ind w:left="107" w:right="96"/>
              <w:jc w:val="center"/>
              <w:rPr>
                <w:sz w:val="22"/>
              </w:rPr>
            </w:pPr>
            <w:r>
              <w:rPr>
                <w:spacing w:val="-7"/>
                <w:sz w:val="22"/>
              </w:rPr>
              <w:t>办公地址：广州市天河区马场路 </w:t>
            </w:r>
            <w:r>
              <w:rPr>
                <w:sz w:val="22"/>
              </w:rPr>
              <w:t>26</w:t>
            </w:r>
            <w:r>
              <w:rPr>
                <w:spacing w:val="-33"/>
                <w:sz w:val="22"/>
              </w:rPr>
              <w:t> 号</w:t>
            </w:r>
            <w:r>
              <w:rPr>
                <w:spacing w:val="-1"/>
                <w:sz w:val="22"/>
              </w:rPr>
              <w:t>广发证券大厦</w:t>
            </w:r>
          </w:p>
          <w:p>
            <w:pPr>
              <w:pStyle w:val="TableParagraph"/>
              <w:spacing w:line="266" w:lineRule="auto"/>
              <w:ind w:left="932" w:right="920"/>
              <w:jc w:val="center"/>
              <w:rPr>
                <w:sz w:val="22"/>
              </w:rPr>
            </w:pPr>
            <w:r>
              <w:rPr>
                <w:spacing w:val="-4"/>
                <w:sz w:val="22"/>
              </w:rPr>
              <w:t>法定代表人：孙树明</w:t>
            </w:r>
            <w:r>
              <w:rPr>
                <w:spacing w:val="-1"/>
                <w:sz w:val="22"/>
              </w:rPr>
              <w:t>联系人：黄岚</w:t>
            </w:r>
          </w:p>
          <w:p>
            <w:pPr>
              <w:pStyle w:val="TableParagraph"/>
              <w:spacing w:line="280" w:lineRule="exact"/>
              <w:ind w:left="105" w:right="95"/>
              <w:jc w:val="center"/>
              <w:rPr>
                <w:sz w:val="22"/>
              </w:rPr>
            </w:pPr>
            <w:r>
              <w:rPr>
                <w:sz w:val="22"/>
              </w:rPr>
              <w:t>电话：020-66338888</w:t>
            </w:r>
          </w:p>
          <w:p>
            <w:pPr>
              <w:pStyle w:val="TableParagraph"/>
              <w:spacing w:line="266" w:lineRule="auto" w:before="27"/>
              <w:ind w:left="107" w:right="96"/>
              <w:jc w:val="center"/>
              <w:rPr>
                <w:sz w:val="22"/>
              </w:rPr>
            </w:pPr>
            <w:r>
              <w:rPr>
                <w:sz w:val="22"/>
              </w:rPr>
              <w:t>客服电话：95575、020-95575 或致电各地营业网点</w:t>
            </w:r>
          </w:p>
          <w:p>
            <w:pPr>
              <w:pStyle w:val="TableParagraph"/>
              <w:spacing w:line="275" w:lineRule="exact"/>
              <w:ind w:left="105" w:right="95"/>
              <w:jc w:val="center"/>
              <w:rPr>
                <w:sz w:val="22"/>
              </w:rPr>
            </w:pPr>
            <w:hyperlink r:id="rId42">
              <w:r>
                <w:rPr>
                  <w:sz w:val="22"/>
                </w:rPr>
                <w:t>网址：www.gf.com.cn</w:t>
              </w:r>
            </w:hyperlink>
          </w:p>
        </w:tc>
      </w:tr>
    </w:tbl>
    <w:p>
      <w:pPr>
        <w:spacing w:after="0" w:line="275" w:lineRule="exact"/>
        <w:jc w:val="center"/>
        <w:rPr>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432"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35</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77" w:right="77"/>
              <w:jc w:val="center"/>
              <w:rPr>
                <w:sz w:val="22"/>
              </w:rPr>
            </w:pPr>
            <w:r>
              <w:rPr>
                <w:sz w:val="22"/>
              </w:rPr>
              <w:t>中国银河证券股份有限公司</w:t>
            </w:r>
          </w:p>
        </w:tc>
        <w:tc>
          <w:tcPr>
            <w:tcW w:w="3848" w:type="dxa"/>
            <w:tcBorders>
              <w:top w:val="nil"/>
            </w:tcBorders>
          </w:tcPr>
          <w:p>
            <w:pPr>
              <w:pStyle w:val="TableParagraph"/>
              <w:spacing w:before="15"/>
              <w:ind w:left="8"/>
              <w:jc w:val="center"/>
              <w:rPr>
                <w:rFonts w:ascii="Arial" w:eastAsia="Arial"/>
                <w:sz w:val="22"/>
              </w:rPr>
            </w:pPr>
            <w:r>
              <w:rPr>
                <w:sz w:val="22"/>
              </w:rPr>
              <w:t>办公地址：北京市西城区金融大街 </w:t>
            </w:r>
            <w:r>
              <w:rPr>
                <w:rFonts w:ascii="Arial" w:eastAsia="Arial"/>
                <w:sz w:val="22"/>
              </w:rPr>
              <w:t>35</w:t>
            </w:r>
          </w:p>
          <w:p>
            <w:pPr>
              <w:pStyle w:val="TableParagraph"/>
              <w:spacing w:before="30"/>
              <w:ind w:left="105" w:right="95"/>
              <w:jc w:val="center"/>
              <w:rPr>
                <w:sz w:val="22"/>
              </w:rPr>
            </w:pPr>
            <w:r>
              <w:rPr>
                <w:sz w:val="22"/>
              </w:rPr>
              <w:t>号国际企业大厦 </w:t>
            </w:r>
            <w:r>
              <w:rPr>
                <w:rFonts w:ascii="Arial" w:eastAsia="Arial"/>
                <w:sz w:val="22"/>
              </w:rPr>
              <w:t>C </w:t>
            </w:r>
            <w:r>
              <w:rPr>
                <w:sz w:val="22"/>
              </w:rPr>
              <w:t>座</w:t>
            </w:r>
          </w:p>
          <w:p>
            <w:pPr>
              <w:pStyle w:val="TableParagraph"/>
              <w:spacing w:before="31"/>
              <w:ind w:left="8"/>
              <w:jc w:val="center"/>
              <w:rPr>
                <w:rFonts w:ascii="Arial" w:eastAsia="Arial"/>
                <w:sz w:val="22"/>
              </w:rPr>
            </w:pPr>
            <w:r>
              <w:rPr>
                <w:sz w:val="22"/>
              </w:rPr>
              <w:t>注册地址：北京市西城区金融大街 </w:t>
            </w:r>
            <w:r>
              <w:rPr>
                <w:rFonts w:ascii="Arial" w:eastAsia="Arial"/>
                <w:sz w:val="22"/>
              </w:rPr>
              <w:t>35</w:t>
            </w:r>
          </w:p>
          <w:p>
            <w:pPr>
              <w:pStyle w:val="TableParagraph"/>
              <w:spacing w:before="30"/>
              <w:ind w:left="102" w:right="95"/>
              <w:jc w:val="center"/>
              <w:rPr>
                <w:sz w:val="22"/>
              </w:rPr>
            </w:pPr>
            <w:r>
              <w:rPr>
                <w:sz w:val="22"/>
              </w:rPr>
              <w:t>号 </w:t>
            </w:r>
            <w:r>
              <w:rPr>
                <w:rFonts w:ascii="Arial" w:eastAsia="Arial"/>
                <w:sz w:val="22"/>
              </w:rPr>
              <w:t>2-6 </w:t>
            </w:r>
            <w:r>
              <w:rPr>
                <w:sz w:val="22"/>
              </w:rPr>
              <w:t>层</w:t>
            </w:r>
          </w:p>
          <w:p>
            <w:pPr>
              <w:pStyle w:val="TableParagraph"/>
              <w:spacing w:line="266" w:lineRule="auto" w:before="30"/>
              <w:ind w:left="932" w:right="920"/>
              <w:jc w:val="center"/>
              <w:rPr>
                <w:sz w:val="22"/>
              </w:rPr>
            </w:pPr>
            <w:r>
              <w:rPr>
                <w:sz w:val="22"/>
              </w:rPr>
              <w:t>法定代表人：陈共炎联系人：辛国政</w:t>
            </w:r>
          </w:p>
          <w:p>
            <w:pPr>
              <w:pStyle w:val="TableParagraph"/>
              <w:spacing w:line="266" w:lineRule="auto"/>
              <w:ind w:left="661" w:right="653"/>
              <w:jc w:val="center"/>
              <w:rPr>
                <w:rFonts w:ascii="Arial" w:eastAsia="Arial"/>
                <w:sz w:val="22"/>
              </w:rPr>
            </w:pPr>
            <w:r>
              <w:rPr>
                <w:sz w:val="22"/>
              </w:rPr>
              <w:t>联系电话：</w:t>
            </w:r>
            <w:r>
              <w:rPr>
                <w:rFonts w:ascii="Arial" w:eastAsia="Arial"/>
                <w:sz w:val="22"/>
              </w:rPr>
              <w:t>010-83574507 </w:t>
            </w:r>
            <w:r>
              <w:rPr>
                <w:sz w:val="22"/>
              </w:rPr>
              <w:t>传真：</w:t>
            </w:r>
            <w:r>
              <w:rPr>
                <w:rFonts w:ascii="Arial" w:eastAsia="Arial"/>
                <w:sz w:val="22"/>
              </w:rPr>
              <w:t>010-83574807</w:t>
            </w:r>
          </w:p>
          <w:p>
            <w:pPr>
              <w:pStyle w:val="TableParagraph"/>
              <w:spacing w:line="280" w:lineRule="exact"/>
              <w:ind w:left="105" w:right="95"/>
              <w:jc w:val="center"/>
              <w:rPr>
                <w:rFonts w:ascii="Arial" w:eastAsia="Arial"/>
                <w:sz w:val="22"/>
              </w:rPr>
            </w:pPr>
            <w:r>
              <w:rPr>
                <w:sz w:val="22"/>
              </w:rPr>
              <w:t>客服电话：</w:t>
            </w:r>
            <w:r>
              <w:rPr>
                <w:rFonts w:ascii="Arial" w:eastAsia="Arial"/>
                <w:sz w:val="22"/>
              </w:rPr>
              <w:t>4008-888-888 </w:t>
            </w:r>
            <w:r>
              <w:rPr>
                <w:sz w:val="22"/>
              </w:rPr>
              <w:t>或 </w:t>
            </w:r>
            <w:r>
              <w:rPr>
                <w:rFonts w:ascii="Arial" w:eastAsia="Arial"/>
                <w:sz w:val="22"/>
              </w:rPr>
              <w:t>95551</w:t>
            </w:r>
          </w:p>
          <w:p>
            <w:pPr>
              <w:pStyle w:val="TableParagraph"/>
              <w:spacing w:line="310" w:lineRule="atLeast"/>
              <w:ind w:left="198" w:right="186"/>
              <w:jc w:val="center"/>
              <w:rPr>
                <w:rFonts w:ascii="Arial" w:eastAsia="Arial"/>
                <w:sz w:val="22"/>
              </w:rPr>
            </w:pPr>
            <w:r>
              <w:rPr>
                <w:sz w:val="22"/>
              </w:rPr>
              <w:t>公司网址：</w:t>
            </w:r>
            <w:hyperlink r:id="rId43">
              <w:r>
                <w:rPr>
                  <w:rFonts w:ascii="Arial" w:eastAsia="Arial"/>
                  <w:sz w:val="22"/>
                </w:rPr>
                <w:t>www.chinastock.com.cn </w:t>
              </w:r>
            </w:hyperlink>
            <w:r>
              <w:rPr>
                <w:sz w:val="22"/>
              </w:rPr>
              <w:t>邮政编码：</w:t>
            </w:r>
            <w:r>
              <w:rPr>
                <w:rFonts w:ascii="Arial" w:eastAsia="Arial"/>
                <w:sz w:val="22"/>
              </w:rPr>
              <w:t>100033</w:t>
            </w:r>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36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77" w:right="77"/>
              <w:jc w:val="center"/>
              <w:rPr>
                <w:sz w:val="22"/>
              </w:rPr>
            </w:pPr>
            <w:r>
              <w:rPr>
                <w:sz w:val="22"/>
              </w:rPr>
              <w:t>国泰君安证券股份有限公司</w:t>
            </w:r>
          </w:p>
        </w:tc>
        <w:tc>
          <w:tcPr>
            <w:tcW w:w="3848" w:type="dxa"/>
          </w:tcPr>
          <w:p>
            <w:pPr>
              <w:pStyle w:val="TableParagraph"/>
              <w:spacing w:line="266" w:lineRule="auto" w:before="15"/>
              <w:ind w:left="107" w:right="95"/>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1"/>
                <w:sz w:val="22"/>
              </w:rPr>
              <w:t>区商城路 </w:t>
            </w:r>
            <w:r>
              <w:rPr>
                <w:rFonts w:ascii="Arial" w:eastAsia="Arial"/>
                <w:sz w:val="22"/>
              </w:rPr>
              <w:t>618 </w:t>
            </w:r>
            <w:r>
              <w:rPr>
                <w:sz w:val="22"/>
              </w:rPr>
              <w:t>号</w:t>
            </w:r>
          </w:p>
          <w:p>
            <w:pPr>
              <w:pStyle w:val="TableParagraph"/>
              <w:spacing w:line="280" w:lineRule="exact"/>
              <w:ind w:left="10"/>
              <w:jc w:val="center"/>
              <w:rPr>
                <w:rFonts w:ascii="Arial" w:eastAsia="Arial"/>
                <w:sz w:val="22"/>
              </w:rPr>
            </w:pPr>
            <w:r>
              <w:rPr>
                <w:sz w:val="22"/>
              </w:rPr>
              <w:t>办公地址：上海市静安区南京西路 </w:t>
            </w:r>
            <w:r>
              <w:rPr>
                <w:rFonts w:ascii="Arial" w:eastAsia="Arial"/>
                <w:sz w:val="22"/>
              </w:rPr>
              <w:t>768</w:t>
            </w:r>
          </w:p>
          <w:p>
            <w:pPr>
              <w:pStyle w:val="TableParagraph"/>
              <w:spacing w:line="266" w:lineRule="auto" w:before="30"/>
              <w:ind w:left="1040" w:right="1033" w:firstLine="2"/>
              <w:jc w:val="center"/>
              <w:rPr>
                <w:sz w:val="22"/>
              </w:rPr>
            </w:pPr>
            <w:r>
              <w:rPr>
                <w:spacing w:val="-1"/>
                <w:sz w:val="22"/>
              </w:rPr>
              <w:t>号国泰君安大厦 </w:t>
            </w:r>
            <w:r>
              <w:rPr>
                <w:spacing w:val="-5"/>
                <w:sz w:val="22"/>
              </w:rPr>
              <w:t>法定代表人：贺青</w:t>
            </w:r>
          </w:p>
          <w:p>
            <w:pPr>
              <w:pStyle w:val="TableParagraph"/>
              <w:spacing w:line="266" w:lineRule="auto"/>
              <w:ind w:left="882" w:right="653" w:hanging="221"/>
              <w:rPr>
                <w:rFonts w:ascii="Arial" w:eastAsia="Arial"/>
                <w:sz w:val="22"/>
              </w:rPr>
            </w:pPr>
            <w:r>
              <w:rPr>
                <w:spacing w:val="-2"/>
                <w:sz w:val="22"/>
              </w:rPr>
              <w:t>联系电话：</w:t>
            </w:r>
            <w:r>
              <w:rPr>
                <w:rFonts w:ascii="Arial" w:eastAsia="Arial"/>
                <w:spacing w:val="-1"/>
                <w:sz w:val="22"/>
              </w:rPr>
              <w:t>021-38676666 </w:t>
            </w:r>
            <w:r>
              <w:rPr>
                <w:sz w:val="22"/>
              </w:rPr>
              <w:t>传真：</w:t>
            </w:r>
            <w:r>
              <w:rPr>
                <w:rFonts w:ascii="Arial" w:eastAsia="Arial"/>
                <w:sz w:val="22"/>
              </w:rPr>
              <w:t>021-38670666</w:t>
            </w:r>
          </w:p>
          <w:p>
            <w:pPr>
              <w:pStyle w:val="TableParagraph"/>
              <w:spacing w:line="266" w:lineRule="auto"/>
              <w:ind w:left="906" w:right="898" w:firstLine="244"/>
              <w:rPr>
                <w:rFonts w:ascii="Arial" w:eastAsia="Arial"/>
                <w:sz w:val="22"/>
              </w:rPr>
            </w:pPr>
            <w:r>
              <w:rPr>
                <w:spacing w:val="-1"/>
                <w:sz w:val="22"/>
              </w:rPr>
              <w:t>联系人：钟伟镇 </w:t>
            </w:r>
            <w:r>
              <w:rPr>
                <w:spacing w:val="-2"/>
                <w:sz w:val="22"/>
              </w:rPr>
              <w:t>网址：</w:t>
            </w:r>
            <w:hyperlink r:id="rId44">
              <w:r>
                <w:rPr>
                  <w:rFonts w:ascii="Arial" w:eastAsia="Arial"/>
                  <w:spacing w:val="-2"/>
                  <w:sz w:val="22"/>
                </w:rPr>
                <w:t>www.gtja.com</w:t>
              </w:r>
            </w:hyperlink>
          </w:p>
          <w:p>
            <w:pPr>
              <w:pStyle w:val="TableParagraph"/>
              <w:spacing w:line="280" w:lineRule="exact"/>
              <w:ind w:left="1276"/>
              <w:rPr>
                <w:rFonts w:ascii="Arial" w:eastAsia="Arial"/>
                <w:sz w:val="22"/>
              </w:rPr>
            </w:pPr>
            <w:r>
              <w:rPr>
                <w:sz w:val="22"/>
              </w:rPr>
              <w:t>服务热线 </w:t>
            </w:r>
            <w:r>
              <w:rPr>
                <w:rFonts w:ascii="Arial" w:eastAsia="Arial"/>
                <w:sz w:val="22"/>
              </w:rPr>
              <w:t>: 95521 /</w:t>
            </w:r>
          </w:p>
          <w:p>
            <w:pPr>
              <w:pStyle w:val="TableParagraph"/>
              <w:spacing w:before="41"/>
              <w:ind w:left="1309"/>
              <w:rPr>
                <w:rFonts w:ascii="Arial"/>
                <w:sz w:val="22"/>
              </w:rPr>
            </w:pPr>
            <w:r>
              <w:rPr>
                <w:rFonts w:ascii="Arial"/>
                <w:sz w:val="22"/>
              </w:rPr>
              <w:t>4008888666</w:t>
            </w:r>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37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7" w:right="77"/>
              <w:jc w:val="center"/>
              <w:rPr>
                <w:sz w:val="22"/>
              </w:rPr>
            </w:pPr>
            <w:r>
              <w:rPr>
                <w:sz w:val="22"/>
              </w:rPr>
              <w:t>中信建投证券股份有限公司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地址：北京市朝阳区安立</w:t>
            </w:r>
            <w:r>
              <w:rPr>
                <w:spacing w:val="-28"/>
                <w:sz w:val="22"/>
              </w:rPr>
              <w:t>路 </w:t>
            </w:r>
            <w:r>
              <w:rPr>
                <w:rFonts w:ascii="Arial" w:eastAsia="Arial"/>
                <w:sz w:val="22"/>
              </w:rPr>
              <w:t>66</w:t>
            </w:r>
            <w:r>
              <w:rPr>
                <w:rFonts w:ascii="Arial" w:eastAsia="Arial"/>
                <w:spacing w:val="-7"/>
                <w:sz w:val="22"/>
              </w:rPr>
              <w:t> </w:t>
            </w:r>
            <w:r>
              <w:rPr>
                <w:spacing w:val="-28"/>
                <w:sz w:val="22"/>
              </w:rPr>
              <w:t>号 </w:t>
            </w:r>
            <w:r>
              <w:rPr>
                <w:rFonts w:ascii="Arial" w:eastAsia="Arial"/>
                <w:sz w:val="22"/>
              </w:rPr>
              <w:t>4</w:t>
            </w:r>
            <w:r>
              <w:rPr>
                <w:rFonts w:ascii="Arial" w:eastAsia="Arial"/>
                <w:spacing w:val="-7"/>
                <w:sz w:val="22"/>
              </w:rPr>
              <w:t> </w:t>
            </w:r>
            <w:r>
              <w:rPr>
                <w:spacing w:val="-3"/>
                <w:sz w:val="22"/>
              </w:rPr>
              <w:t>号楼</w:t>
            </w:r>
          </w:p>
          <w:p>
            <w:pPr>
              <w:pStyle w:val="TableParagraph"/>
              <w:spacing w:line="266" w:lineRule="auto"/>
              <w:ind w:left="932" w:right="920"/>
              <w:jc w:val="center"/>
              <w:rPr>
                <w:sz w:val="22"/>
              </w:rPr>
            </w:pPr>
            <w:r>
              <w:rPr>
                <w:spacing w:val="-4"/>
                <w:sz w:val="22"/>
              </w:rPr>
              <w:t>法定代表人：王常青</w:t>
            </w:r>
            <w:r>
              <w:rPr>
                <w:spacing w:val="-1"/>
                <w:sz w:val="22"/>
              </w:rPr>
              <w:t>联系人：许梦园</w:t>
            </w:r>
          </w:p>
          <w:p>
            <w:pPr>
              <w:pStyle w:val="TableParagraph"/>
              <w:spacing w:line="266" w:lineRule="auto"/>
              <w:ind w:left="700" w:right="687" w:hanging="1"/>
              <w:jc w:val="center"/>
              <w:rPr>
                <w:rFonts w:ascii="Arial" w:eastAsia="Arial"/>
                <w:sz w:val="22"/>
              </w:rPr>
            </w:pPr>
            <w:r>
              <w:rPr>
                <w:sz w:val="22"/>
              </w:rPr>
              <w:t>电话：（</w:t>
            </w:r>
            <w:r>
              <w:rPr>
                <w:rFonts w:ascii="Arial" w:eastAsia="Arial"/>
                <w:sz w:val="22"/>
              </w:rPr>
              <w:t>010</w:t>
            </w:r>
            <w:r>
              <w:rPr>
                <w:sz w:val="22"/>
              </w:rPr>
              <w:t>）</w:t>
            </w:r>
            <w:r>
              <w:rPr>
                <w:rFonts w:ascii="Arial" w:eastAsia="Arial"/>
                <w:sz w:val="22"/>
              </w:rPr>
              <w:t>85156398 </w:t>
            </w:r>
            <w:r>
              <w:rPr>
                <w:sz w:val="22"/>
              </w:rPr>
              <w:t>传真：（</w:t>
            </w:r>
            <w:r>
              <w:rPr>
                <w:rFonts w:ascii="Arial" w:eastAsia="Arial"/>
                <w:sz w:val="22"/>
              </w:rPr>
              <w:t>010</w:t>
            </w:r>
            <w:r>
              <w:rPr>
                <w:sz w:val="22"/>
              </w:rPr>
              <w:t>）</w:t>
            </w:r>
            <w:r>
              <w:rPr>
                <w:rFonts w:ascii="Arial" w:eastAsia="Arial"/>
                <w:sz w:val="22"/>
              </w:rPr>
              <w:t>65182261</w:t>
            </w:r>
          </w:p>
          <w:p>
            <w:pPr>
              <w:pStyle w:val="TableParagraph"/>
              <w:spacing w:line="280" w:lineRule="exact"/>
              <w:ind w:left="105" w:right="95"/>
              <w:jc w:val="center"/>
              <w:rPr>
                <w:rFonts w:ascii="Arial" w:eastAsia="Arial"/>
                <w:sz w:val="22"/>
              </w:rPr>
            </w:pPr>
            <w:r>
              <w:rPr>
                <w:sz w:val="22"/>
              </w:rPr>
              <w:t>客户服务电话</w:t>
            </w:r>
            <w:r>
              <w:rPr>
                <w:rFonts w:ascii="Arial" w:eastAsia="Arial"/>
                <w:sz w:val="22"/>
              </w:rPr>
              <w:t>: 4008888108/95587</w:t>
            </w:r>
          </w:p>
          <w:p>
            <w:pPr>
              <w:pStyle w:val="TableParagraph"/>
              <w:spacing w:line="277" w:lineRule="exact" w:before="26"/>
              <w:ind w:left="101" w:right="95"/>
              <w:jc w:val="center"/>
              <w:rPr>
                <w:rFonts w:ascii="Arial" w:eastAsia="Arial"/>
                <w:sz w:val="22"/>
              </w:rPr>
            </w:pPr>
            <w:r>
              <w:rPr>
                <w:sz w:val="22"/>
              </w:rPr>
              <w:t>网址：</w:t>
            </w:r>
            <w:hyperlink r:id="rId45">
              <w:r>
                <w:rPr>
                  <w:rFonts w:ascii="Arial" w:eastAsia="Arial"/>
                  <w:sz w:val="22"/>
                </w:rPr>
                <w:t>www.csc108.com</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38</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申万宏源证券有限公司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地址：上海市徐汇区长乐</w:t>
            </w:r>
            <w:r>
              <w:rPr>
                <w:spacing w:val="-28"/>
                <w:sz w:val="22"/>
              </w:rPr>
              <w:t>路 </w:t>
            </w:r>
            <w:r>
              <w:rPr>
                <w:rFonts w:ascii="Arial" w:eastAsia="Arial"/>
                <w:sz w:val="22"/>
              </w:rPr>
              <w:t>989 </w:t>
            </w:r>
            <w:r>
              <w:rPr>
                <w:spacing w:val="-28"/>
                <w:sz w:val="22"/>
              </w:rPr>
              <w:t>号 </w:t>
            </w:r>
            <w:r>
              <w:rPr>
                <w:rFonts w:ascii="Arial" w:eastAsia="Arial"/>
                <w:sz w:val="22"/>
              </w:rPr>
              <w:t>45 </w:t>
            </w:r>
            <w:r>
              <w:rPr>
                <w:sz w:val="22"/>
              </w:rPr>
              <w:t>层</w:t>
            </w:r>
          </w:p>
          <w:p>
            <w:pPr>
              <w:pStyle w:val="TableParagraph"/>
              <w:spacing w:line="266" w:lineRule="auto"/>
              <w:ind w:left="1043" w:right="1031"/>
              <w:jc w:val="center"/>
              <w:rPr>
                <w:sz w:val="22"/>
              </w:rPr>
            </w:pPr>
            <w:r>
              <w:rPr>
                <w:sz w:val="22"/>
              </w:rPr>
              <w:t>法定代表人：李梅联系人：曹晔</w:t>
            </w:r>
          </w:p>
          <w:p>
            <w:pPr>
              <w:pStyle w:val="TableParagraph"/>
              <w:spacing w:line="266" w:lineRule="auto"/>
              <w:ind w:left="882" w:right="872"/>
              <w:jc w:val="center"/>
              <w:rPr>
                <w:rFonts w:ascii="Arial" w:eastAsia="Arial"/>
                <w:sz w:val="22"/>
              </w:rPr>
            </w:pPr>
            <w:r>
              <w:rPr>
                <w:sz w:val="22"/>
              </w:rPr>
              <w:t>电话：</w:t>
            </w:r>
            <w:r>
              <w:rPr>
                <w:rFonts w:ascii="Arial" w:eastAsia="Arial"/>
                <w:sz w:val="22"/>
              </w:rPr>
              <w:t>021-33389888 </w:t>
            </w:r>
            <w:r>
              <w:rPr>
                <w:sz w:val="22"/>
              </w:rPr>
              <w:t>传真：</w:t>
            </w:r>
            <w:r>
              <w:rPr>
                <w:rFonts w:ascii="Arial" w:eastAsia="Arial"/>
                <w:sz w:val="22"/>
              </w:rPr>
              <w:t>021-33388224</w:t>
            </w:r>
          </w:p>
          <w:p>
            <w:pPr>
              <w:pStyle w:val="TableParagraph"/>
              <w:spacing w:line="280" w:lineRule="exact"/>
              <w:ind w:left="8"/>
              <w:jc w:val="center"/>
              <w:rPr>
                <w:rFonts w:ascii="Arial" w:eastAsia="Arial"/>
                <w:sz w:val="22"/>
              </w:rPr>
            </w:pPr>
            <w:r>
              <w:rPr>
                <w:sz w:val="22"/>
              </w:rPr>
              <w:t>客户服务电话：</w:t>
            </w:r>
            <w:r>
              <w:rPr>
                <w:rFonts w:ascii="Arial" w:eastAsia="Arial"/>
                <w:sz w:val="22"/>
              </w:rPr>
              <w:t>95523 </w:t>
            </w:r>
            <w:r>
              <w:rPr>
                <w:sz w:val="22"/>
              </w:rPr>
              <w:t>或 </w:t>
            </w:r>
            <w:r>
              <w:rPr>
                <w:rFonts w:ascii="Arial" w:eastAsia="Arial"/>
                <w:sz w:val="22"/>
              </w:rPr>
              <w:t>4008895523</w:t>
            </w:r>
          </w:p>
          <w:p>
            <w:pPr>
              <w:pStyle w:val="TableParagraph"/>
              <w:spacing w:line="279" w:lineRule="exact" w:before="27"/>
              <w:ind w:left="101" w:right="95"/>
              <w:jc w:val="center"/>
              <w:rPr>
                <w:rFonts w:ascii="Arial" w:eastAsia="Arial"/>
                <w:sz w:val="22"/>
              </w:rPr>
            </w:pPr>
            <w:r>
              <w:rPr>
                <w:sz w:val="22"/>
              </w:rPr>
              <w:t>网址：</w:t>
            </w:r>
            <w:hyperlink r:id="rId46">
              <w:r>
                <w:rPr>
                  <w:rFonts w:ascii="Arial" w:eastAsia="Arial"/>
                  <w:sz w:val="22"/>
                </w:rPr>
                <w:t>www.swhysc.com</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39</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77" w:right="77"/>
              <w:jc w:val="center"/>
              <w:rPr>
                <w:sz w:val="22"/>
              </w:rPr>
            </w:pPr>
            <w:r>
              <w:rPr>
                <w:sz w:val="22"/>
              </w:rPr>
              <w:t>申万宏源西部证券有限公司</w:t>
            </w:r>
          </w:p>
        </w:tc>
        <w:tc>
          <w:tcPr>
            <w:tcW w:w="3848" w:type="dxa"/>
            <w:tcBorders>
              <w:top w:val="nil"/>
            </w:tcBorders>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地址：新疆乌鲁木齐市高</w:t>
            </w:r>
            <w:r>
              <w:rPr>
                <w:sz w:val="22"/>
              </w:rPr>
              <w:t>新区（</w:t>
            </w:r>
            <w:r>
              <w:rPr>
                <w:spacing w:val="-2"/>
                <w:sz w:val="22"/>
              </w:rPr>
              <w:t>新市区</w:t>
            </w:r>
            <w:r>
              <w:rPr>
                <w:spacing w:val="-3"/>
                <w:sz w:val="22"/>
              </w:rPr>
              <w:t>）</w:t>
            </w:r>
            <w:r>
              <w:rPr>
                <w:spacing w:val="-12"/>
                <w:sz w:val="22"/>
              </w:rPr>
              <w:t>北京南路 </w:t>
            </w:r>
            <w:r>
              <w:rPr>
                <w:rFonts w:ascii="Arial" w:eastAsia="Arial"/>
                <w:sz w:val="22"/>
              </w:rPr>
              <w:t>358 </w:t>
            </w:r>
            <w:r>
              <w:rPr>
                <w:spacing w:val="-2"/>
                <w:sz w:val="22"/>
              </w:rPr>
              <w:t>号大成</w:t>
            </w:r>
          </w:p>
          <w:p>
            <w:pPr>
              <w:pStyle w:val="TableParagraph"/>
              <w:spacing w:line="266" w:lineRule="auto"/>
              <w:ind w:left="784" w:right="773"/>
              <w:jc w:val="center"/>
              <w:rPr>
                <w:sz w:val="22"/>
              </w:rPr>
            </w:pPr>
            <w:r>
              <w:rPr>
                <w:spacing w:val="-11"/>
                <w:sz w:val="22"/>
              </w:rPr>
              <w:t>国际大厦 </w:t>
            </w:r>
            <w:r>
              <w:rPr>
                <w:rFonts w:ascii="Arial" w:eastAsia="Arial"/>
                <w:sz w:val="22"/>
              </w:rPr>
              <w:t>20 </w:t>
            </w:r>
            <w:r>
              <w:rPr>
                <w:spacing w:val="-27"/>
                <w:sz w:val="22"/>
              </w:rPr>
              <w:t>楼 </w:t>
            </w:r>
            <w:r>
              <w:rPr>
                <w:rFonts w:ascii="Arial" w:eastAsia="Arial"/>
                <w:sz w:val="22"/>
              </w:rPr>
              <w:t>2005 </w:t>
            </w:r>
            <w:r>
              <w:rPr>
                <w:spacing w:val="-14"/>
                <w:sz w:val="22"/>
              </w:rPr>
              <w:t>室</w:t>
            </w:r>
            <w:r>
              <w:rPr>
                <w:spacing w:val="-2"/>
                <w:sz w:val="22"/>
              </w:rPr>
              <w:t>法定代表人：李季</w:t>
            </w:r>
          </w:p>
          <w:p>
            <w:pPr>
              <w:pStyle w:val="TableParagraph"/>
              <w:spacing w:line="280" w:lineRule="exact"/>
              <w:ind w:left="102" w:right="95"/>
              <w:jc w:val="center"/>
              <w:rPr>
                <w:sz w:val="22"/>
              </w:rPr>
            </w:pPr>
            <w:r>
              <w:rPr>
                <w:sz w:val="22"/>
              </w:rPr>
              <w:t>联系人：王君</w:t>
            </w:r>
          </w:p>
          <w:p>
            <w:pPr>
              <w:pStyle w:val="TableParagraph"/>
              <w:spacing w:line="266" w:lineRule="auto" w:before="29"/>
              <w:ind w:left="882" w:right="872"/>
              <w:jc w:val="center"/>
              <w:rPr>
                <w:rFonts w:ascii="Arial" w:eastAsia="Arial"/>
                <w:sz w:val="22"/>
              </w:rPr>
            </w:pPr>
            <w:r>
              <w:rPr>
                <w:sz w:val="22"/>
              </w:rPr>
              <w:t>电话：</w:t>
            </w:r>
            <w:r>
              <w:rPr>
                <w:rFonts w:ascii="Arial" w:eastAsia="Arial"/>
                <w:sz w:val="22"/>
              </w:rPr>
              <w:t>0991-7885083 </w:t>
            </w:r>
            <w:r>
              <w:rPr>
                <w:sz w:val="22"/>
              </w:rPr>
              <w:t>传真：</w:t>
            </w:r>
            <w:r>
              <w:rPr>
                <w:rFonts w:ascii="Arial" w:eastAsia="Arial"/>
                <w:sz w:val="22"/>
              </w:rPr>
              <w:t>0991-2310927</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400-800-0562</w:t>
            </w:r>
          </w:p>
          <w:p>
            <w:pPr>
              <w:pStyle w:val="TableParagraph"/>
              <w:spacing w:line="277" w:lineRule="exact" w:before="30"/>
              <w:ind w:left="103" w:right="95"/>
              <w:jc w:val="center"/>
              <w:rPr>
                <w:rFonts w:ascii="Arial" w:eastAsia="Arial"/>
                <w:sz w:val="22"/>
              </w:rPr>
            </w:pPr>
            <w:r>
              <w:rPr>
                <w:sz w:val="22"/>
              </w:rPr>
              <w:t>网址：</w:t>
            </w:r>
            <w:hyperlink r:id="rId47">
              <w:r>
                <w:rPr>
                  <w:rFonts w:ascii="Arial" w:eastAsia="Arial"/>
                  <w:sz w:val="22"/>
                </w:rPr>
                <w:t>www.hysec.com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40</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招商证券股份有限公司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地址：深圳市益田路江苏</w:t>
            </w:r>
            <w:r>
              <w:rPr>
                <w:spacing w:val="-19"/>
                <w:sz w:val="22"/>
              </w:rPr>
              <w:t>大厦 </w:t>
            </w:r>
            <w:r>
              <w:rPr>
                <w:rFonts w:ascii="Arial" w:eastAsia="Arial"/>
                <w:sz w:val="22"/>
              </w:rPr>
              <w:t>38-45 </w:t>
            </w:r>
            <w:r>
              <w:rPr>
                <w:sz w:val="22"/>
              </w:rPr>
              <w:t>层</w:t>
            </w:r>
          </w:p>
          <w:p>
            <w:pPr>
              <w:pStyle w:val="TableParagraph"/>
              <w:spacing w:line="266" w:lineRule="auto"/>
              <w:ind w:left="932" w:right="920"/>
              <w:jc w:val="center"/>
              <w:rPr>
                <w:sz w:val="22"/>
              </w:rPr>
            </w:pPr>
            <w:r>
              <w:rPr>
                <w:sz w:val="22"/>
              </w:rPr>
              <w:t>法定代表人：宫少林联系人：黄婵君</w:t>
            </w:r>
          </w:p>
          <w:p>
            <w:pPr>
              <w:pStyle w:val="TableParagraph"/>
              <w:spacing w:line="266" w:lineRule="auto"/>
              <w:ind w:left="822" w:right="810"/>
              <w:jc w:val="center"/>
              <w:rPr>
                <w:rFonts w:ascii="Arial" w:eastAsia="Arial"/>
                <w:sz w:val="22"/>
              </w:rPr>
            </w:pPr>
            <w:r>
              <w:rPr>
                <w:sz w:val="22"/>
              </w:rPr>
              <w:t>电话：</w:t>
            </w:r>
            <w:r>
              <w:rPr>
                <w:rFonts w:ascii="Arial" w:eastAsia="Arial"/>
                <w:sz w:val="22"/>
              </w:rPr>
              <w:t>0755-82943666 </w:t>
            </w:r>
            <w:r>
              <w:rPr>
                <w:sz w:val="22"/>
              </w:rPr>
              <w:t>传真：</w:t>
            </w:r>
            <w:r>
              <w:rPr>
                <w:rFonts w:ascii="Arial" w:eastAsia="Arial"/>
                <w:sz w:val="22"/>
              </w:rPr>
              <w:t>0755-83734343</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:400-8888-111</w:t>
            </w:r>
            <w:r>
              <w:rPr>
                <w:sz w:val="22"/>
              </w:rPr>
              <w:t>，</w:t>
            </w:r>
            <w:r>
              <w:rPr>
                <w:rFonts w:ascii="Arial" w:eastAsia="Arial"/>
                <w:sz w:val="22"/>
              </w:rPr>
              <w:t>95565</w:t>
            </w:r>
          </w:p>
          <w:p>
            <w:pPr>
              <w:pStyle w:val="TableParagraph"/>
              <w:spacing w:line="277" w:lineRule="exact" w:before="27"/>
              <w:ind w:left="105" w:right="95"/>
              <w:jc w:val="center"/>
              <w:rPr>
                <w:rFonts w:ascii="Arial" w:eastAsia="Arial"/>
                <w:sz w:val="22"/>
              </w:rPr>
            </w:pPr>
            <w:r>
              <w:rPr>
                <w:sz w:val="22"/>
              </w:rPr>
              <w:t>网址：</w:t>
            </w:r>
            <w:hyperlink r:id="rId48">
              <w:r>
                <w:rPr>
                  <w:rFonts w:ascii="Arial" w:eastAsia="Arial"/>
                  <w:sz w:val="22"/>
                </w:rPr>
                <w:t>www.newone.com.cn</w:t>
              </w:r>
            </w:hyperlink>
          </w:p>
        </w:tc>
      </w:tr>
      <w:tr>
        <w:trPr>
          <w:trHeight w:val="218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87"/>
              <w:jc w:val="right"/>
              <w:rPr>
                <w:rFonts w:ascii="Arial"/>
                <w:sz w:val="21"/>
              </w:rPr>
            </w:pPr>
            <w:r>
              <w:rPr>
                <w:rFonts w:ascii="Arial"/>
                <w:sz w:val="21"/>
              </w:rPr>
              <w:t>41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2" w:right="77"/>
              <w:jc w:val="center"/>
              <w:rPr>
                <w:sz w:val="22"/>
              </w:rPr>
            </w:pPr>
            <w:r>
              <w:rPr>
                <w:sz w:val="22"/>
              </w:rPr>
              <w:t>国都证券股份有限公司</w:t>
            </w:r>
          </w:p>
        </w:tc>
        <w:tc>
          <w:tcPr>
            <w:tcW w:w="3848" w:type="dxa"/>
          </w:tcPr>
          <w:p>
            <w:pPr>
              <w:pStyle w:val="TableParagraph"/>
              <w:spacing w:line="266" w:lineRule="auto" w:before="15"/>
              <w:ind w:left="107" w:right="94" w:hanging="1"/>
              <w:jc w:val="center"/>
              <w:rPr>
                <w:sz w:val="22"/>
              </w:rPr>
            </w:pPr>
            <w:r>
              <w:rPr>
                <w:spacing w:val="-18"/>
                <w:sz w:val="22"/>
              </w:rPr>
              <w:t>注册</w:t>
            </w:r>
            <w:r>
              <w:rPr>
                <w:sz w:val="22"/>
              </w:rPr>
              <w:t>（</w:t>
            </w:r>
            <w:r>
              <w:rPr>
                <w:spacing w:val="-2"/>
                <w:sz w:val="22"/>
              </w:rPr>
              <w:t>办公</w:t>
            </w:r>
            <w:r>
              <w:rPr>
                <w:spacing w:val="-39"/>
                <w:sz w:val="22"/>
              </w:rPr>
              <w:t>）</w:t>
            </w:r>
            <w:r>
              <w:rPr>
                <w:spacing w:val="-8"/>
                <w:sz w:val="22"/>
              </w:rPr>
              <w:t>地址：北京市东城区东直</w:t>
            </w:r>
            <w:r>
              <w:rPr>
                <w:spacing w:val="-13"/>
                <w:sz w:val="22"/>
              </w:rPr>
              <w:t>门南大街 </w:t>
            </w:r>
            <w:r>
              <w:rPr>
                <w:rFonts w:ascii="Arial" w:eastAsia="Arial"/>
                <w:sz w:val="22"/>
              </w:rPr>
              <w:t>3</w:t>
            </w:r>
            <w:r>
              <w:rPr>
                <w:rFonts w:ascii="Arial" w:eastAsia="Arial"/>
                <w:spacing w:val="-15"/>
                <w:sz w:val="22"/>
              </w:rPr>
              <w:t> </w:t>
            </w:r>
            <w:r>
              <w:rPr>
                <w:spacing w:val="-9"/>
                <w:sz w:val="22"/>
              </w:rPr>
              <w:t>号国华投资大厦 </w:t>
            </w:r>
            <w:r>
              <w:rPr>
                <w:rFonts w:ascii="Arial" w:eastAsia="Arial"/>
                <w:sz w:val="22"/>
              </w:rPr>
              <w:t>9</w:t>
            </w:r>
            <w:r>
              <w:rPr>
                <w:rFonts w:ascii="Arial" w:eastAsia="Arial"/>
                <w:spacing w:val="-15"/>
                <w:sz w:val="22"/>
              </w:rPr>
              <w:t> </w:t>
            </w:r>
            <w:r>
              <w:rPr>
                <w:spacing w:val="-30"/>
                <w:sz w:val="22"/>
              </w:rPr>
              <w:t>号 </w:t>
            </w:r>
            <w:r>
              <w:rPr>
                <w:rFonts w:ascii="Arial" w:eastAsia="Arial"/>
                <w:sz w:val="22"/>
              </w:rPr>
              <w:t>10</w:t>
            </w:r>
            <w:r>
              <w:rPr>
                <w:rFonts w:ascii="Arial" w:eastAsia="Arial"/>
                <w:spacing w:val="-15"/>
                <w:sz w:val="22"/>
              </w:rPr>
              <w:t> </w:t>
            </w:r>
            <w:r>
              <w:rPr>
                <w:spacing w:val="-15"/>
                <w:sz w:val="22"/>
              </w:rPr>
              <w:t>层</w:t>
            </w:r>
            <w:r>
              <w:rPr>
                <w:spacing w:val="-1"/>
                <w:sz w:val="22"/>
              </w:rPr>
              <w:t>联系人：黄静</w:t>
            </w:r>
          </w:p>
          <w:p>
            <w:pPr>
              <w:pStyle w:val="TableParagraph"/>
              <w:spacing w:line="279" w:lineRule="exact"/>
              <w:ind w:left="102" w:right="95"/>
              <w:jc w:val="center"/>
              <w:rPr>
                <w:rFonts w:ascii="Arial" w:eastAsia="Arial"/>
                <w:sz w:val="22"/>
              </w:rPr>
            </w:pPr>
            <w:r>
              <w:rPr>
                <w:sz w:val="22"/>
              </w:rPr>
              <w:t>电话：</w:t>
            </w:r>
            <w:r>
              <w:rPr>
                <w:rFonts w:ascii="Arial" w:eastAsia="Arial"/>
                <w:sz w:val="22"/>
              </w:rPr>
              <w:t>010-84183333</w:t>
            </w:r>
          </w:p>
          <w:p>
            <w:pPr>
              <w:pStyle w:val="TableParagraph"/>
              <w:spacing w:line="266" w:lineRule="auto" w:before="30"/>
              <w:ind w:left="601" w:right="590"/>
              <w:jc w:val="center"/>
              <w:rPr>
                <w:rFonts w:ascii="Arial" w:eastAsia="Arial"/>
                <w:sz w:val="22"/>
              </w:rPr>
            </w:pPr>
            <w:r>
              <w:rPr>
                <w:sz w:val="22"/>
              </w:rPr>
              <w:t>传真：</w:t>
            </w:r>
            <w:r>
              <w:rPr>
                <w:rFonts w:ascii="Arial" w:eastAsia="Arial"/>
                <w:sz w:val="22"/>
              </w:rPr>
              <w:t>010-84183311-3389 </w:t>
            </w:r>
            <w:r>
              <w:rPr>
                <w:sz w:val="22"/>
              </w:rPr>
              <w:t>客服电话：</w:t>
            </w:r>
            <w:r>
              <w:rPr>
                <w:rFonts w:ascii="Arial" w:eastAsia="Arial"/>
                <w:sz w:val="22"/>
              </w:rPr>
              <w:t>400-818-8118</w:t>
            </w:r>
          </w:p>
          <w:p>
            <w:pPr>
              <w:pStyle w:val="TableParagraph"/>
              <w:spacing w:line="275" w:lineRule="exact"/>
              <w:ind w:left="104" w:right="95"/>
              <w:jc w:val="center"/>
              <w:rPr>
                <w:rFonts w:ascii="Arial" w:eastAsia="Arial"/>
                <w:sz w:val="22"/>
              </w:rPr>
            </w:pPr>
            <w:r>
              <w:rPr>
                <w:sz w:val="22"/>
              </w:rPr>
              <w:t>网址：</w:t>
            </w:r>
            <w:hyperlink r:id="rId49">
              <w:r>
                <w:rPr>
                  <w:rFonts w:ascii="Arial" w:eastAsia="Arial"/>
                  <w:sz w:val="22"/>
                </w:rPr>
                <w:t>www.guodu.com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42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2" w:right="77"/>
              <w:jc w:val="center"/>
              <w:rPr>
                <w:sz w:val="22"/>
              </w:rPr>
            </w:pPr>
            <w:r>
              <w:rPr>
                <w:sz w:val="22"/>
              </w:rPr>
              <w:t>兴业证券股份有限公司</w:t>
            </w:r>
          </w:p>
        </w:tc>
        <w:tc>
          <w:tcPr>
            <w:tcW w:w="3848" w:type="dxa"/>
          </w:tcPr>
          <w:p>
            <w:pPr>
              <w:pStyle w:val="TableParagraph"/>
              <w:spacing w:before="15"/>
              <w:ind w:left="105" w:right="95"/>
              <w:jc w:val="center"/>
              <w:rPr>
                <w:sz w:val="22"/>
              </w:rPr>
            </w:pPr>
            <w:r>
              <w:rPr>
                <w:sz w:val="22"/>
              </w:rPr>
              <w:t>注册地址：福州市湖东路 </w:t>
            </w:r>
            <w:r>
              <w:rPr>
                <w:rFonts w:ascii="Arial" w:eastAsia="Arial"/>
                <w:sz w:val="22"/>
              </w:rPr>
              <w:t>268 </w:t>
            </w:r>
            <w:r>
              <w:rPr>
                <w:sz w:val="22"/>
              </w:rPr>
              <w:t>号</w:t>
            </w:r>
          </w:p>
          <w:p>
            <w:pPr>
              <w:pStyle w:val="TableParagraph"/>
              <w:spacing w:before="30"/>
              <w:ind w:left="8"/>
              <w:jc w:val="center"/>
              <w:rPr>
                <w:rFonts w:ascii="Arial" w:eastAsia="Arial"/>
                <w:sz w:val="22"/>
              </w:rPr>
            </w:pPr>
            <w:r>
              <w:rPr>
                <w:sz w:val="22"/>
              </w:rPr>
              <w:t>办公地址：上海市浦东新区长柳路 </w:t>
            </w:r>
            <w:r>
              <w:rPr>
                <w:rFonts w:ascii="Arial" w:eastAsia="Arial"/>
                <w:sz w:val="22"/>
              </w:rPr>
              <w:t>36</w:t>
            </w:r>
          </w:p>
          <w:p>
            <w:pPr>
              <w:pStyle w:val="TableParagraph"/>
              <w:spacing w:before="30"/>
              <w:ind w:left="5"/>
              <w:jc w:val="center"/>
              <w:rPr>
                <w:sz w:val="22"/>
              </w:rPr>
            </w:pPr>
            <w:r>
              <w:rPr>
                <w:w w:val="100"/>
                <w:sz w:val="22"/>
              </w:rPr>
              <w:t>号</w:t>
            </w:r>
          </w:p>
          <w:p>
            <w:pPr>
              <w:pStyle w:val="TableParagraph"/>
              <w:spacing w:line="266" w:lineRule="auto" w:before="30"/>
              <w:ind w:left="932" w:right="920"/>
              <w:jc w:val="center"/>
              <w:rPr>
                <w:sz w:val="22"/>
              </w:rPr>
            </w:pPr>
            <w:r>
              <w:rPr>
                <w:sz w:val="22"/>
              </w:rPr>
              <w:t>法定代表人：杨华辉联系人：乔琳雪</w:t>
            </w:r>
          </w:p>
          <w:p>
            <w:pPr>
              <w:pStyle w:val="TableParagraph"/>
              <w:spacing w:line="266" w:lineRule="auto"/>
              <w:ind w:left="716" w:right="598"/>
              <w:jc w:val="center"/>
              <w:rPr>
                <w:rFonts w:ascii="Arial" w:eastAsia="Arial"/>
                <w:sz w:val="22"/>
              </w:rPr>
            </w:pPr>
            <w:r>
              <w:rPr>
                <w:sz w:val="22"/>
              </w:rPr>
              <w:t>联系电话：</w:t>
            </w:r>
            <w:r>
              <w:rPr>
                <w:rFonts w:ascii="Arial" w:eastAsia="Arial"/>
                <w:sz w:val="22"/>
              </w:rPr>
              <w:t>021-38565547 </w:t>
            </w:r>
            <w:r>
              <w:rPr>
                <w:sz w:val="22"/>
              </w:rPr>
              <w:t>传真：</w:t>
            </w:r>
            <w:r>
              <w:rPr>
                <w:rFonts w:ascii="Arial" w:eastAsia="Arial"/>
                <w:sz w:val="22"/>
              </w:rPr>
              <w:t>0591-38507538</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:95562</w:t>
            </w:r>
          </w:p>
          <w:p>
            <w:pPr>
              <w:pStyle w:val="TableParagraph"/>
              <w:spacing w:line="277" w:lineRule="exact" w:before="29"/>
              <w:ind w:left="104" w:right="95"/>
              <w:jc w:val="center"/>
              <w:rPr>
                <w:rFonts w:ascii="Arial" w:eastAsia="Arial"/>
                <w:sz w:val="22"/>
              </w:rPr>
            </w:pPr>
            <w:r>
              <w:rPr>
                <w:sz w:val="22"/>
              </w:rPr>
              <w:t>网址：</w:t>
            </w:r>
            <w:hyperlink r:id="rId50">
              <w:r>
                <w:rPr>
                  <w:rFonts w:ascii="Arial" w:eastAsia="Arial"/>
                  <w:sz w:val="22"/>
                </w:rPr>
                <w:t>www.xyzq.com.cn</w:t>
              </w:r>
            </w:hyperlink>
          </w:p>
        </w:tc>
      </w:tr>
      <w:tr>
        <w:trPr>
          <w:trHeight w:val="281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right="187"/>
              <w:jc w:val="right"/>
              <w:rPr>
                <w:rFonts w:ascii="Arial"/>
                <w:sz w:val="21"/>
              </w:rPr>
            </w:pPr>
            <w:r>
              <w:rPr>
                <w:rFonts w:ascii="Arial"/>
                <w:sz w:val="21"/>
              </w:rPr>
              <w:t>43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2" w:right="77"/>
              <w:jc w:val="center"/>
              <w:rPr>
                <w:sz w:val="22"/>
              </w:rPr>
            </w:pPr>
            <w:r>
              <w:rPr>
                <w:sz w:val="22"/>
              </w:rPr>
              <w:t>光大证券股份有限公司</w:t>
            </w:r>
          </w:p>
        </w:tc>
        <w:tc>
          <w:tcPr>
            <w:tcW w:w="3848" w:type="dxa"/>
          </w:tcPr>
          <w:p>
            <w:pPr>
              <w:pStyle w:val="TableParagraph"/>
              <w:spacing w:line="266" w:lineRule="auto" w:before="17"/>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地址：上海市静安区新闸</w:t>
            </w:r>
            <w:r>
              <w:rPr>
                <w:spacing w:val="-31"/>
                <w:sz w:val="22"/>
              </w:rPr>
              <w:t>路 </w:t>
            </w:r>
            <w:r>
              <w:rPr>
                <w:rFonts w:ascii="Arial" w:eastAsia="Arial"/>
                <w:sz w:val="22"/>
              </w:rPr>
              <w:t>1508 </w:t>
            </w:r>
            <w:r>
              <w:rPr>
                <w:sz w:val="22"/>
              </w:rPr>
              <w:t>号</w:t>
            </w:r>
          </w:p>
          <w:p>
            <w:pPr>
              <w:pStyle w:val="TableParagraph"/>
              <w:spacing w:line="266" w:lineRule="auto"/>
              <w:ind w:left="932" w:right="920"/>
              <w:jc w:val="center"/>
              <w:rPr>
                <w:sz w:val="22"/>
              </w:rPr>
            </w:pPr>
            <w:r>
              <w:rPr>
                <w:sz w:val="22"/>
              </w:rPr>
              <w:t>法定代表人：周健男联系人：郁疆</w:t>
            </w:r>
          </w:p>
          <w:p>
            <w:pPr>
              <w:pStyle w:val="TableParagraph"/>
              <w:spacing w:line="266" w:lineRule="auto"/>
              <w:ind w:left="882" w:right="872"/>
              <w:jc w:val="center"/>
              <w:rPr>
                <w:rFonts w:ascii="Arial" w:eastAsia="Arial"/>
                <w:sz w:val="22"/>
              </w:rPr>
            </w:pPr>
            <w:r>
              <w:rPr>
                <w:sz w:val="22"/>
              </w:rPr>
              <w:t>电话：</w:t>
            </w:r>
            <w:r>
              <w:rPr>
                <w:rFonts w:ascii="Arial" w:eastAsia="Arial"/>
                <w:sz w:val="22"/>
              </w:rPr>
              <w:t>021-22169999 </w:t>
            </w:r>
            <w:r>
              <w:rPr>
                <w:sz w:val="22"/>
              </w:rPr>
              <w:t>传真：</w:t>
            </w:r>
            <w:r>
              <w:rPr>
                <w:rFonts w:ascii="Arial" w:eastAsia="Arial"/>
                <w:sz w:val="22"/>
              </w:rPr>
              <w:t>021-22169134</w:t>
            </w:r>
          </w:p>
          <w:p>
            <w:pPr>
              <w:pStyle w:val="TableParagraph"/>
              <w:spacing w:line="280" w:lineRule="exact"/>
              <w:ind w:left="107" w:right="-15"/>
              <w:jc w:val="center"/>
              <w:rPr>
                <w:sz w:val="22"/>
              </w:rPr>
            </w:pPr>
            <w:r>
              <w:rPr>
                <w:spacing w:val="-3"/>
                <w:sz w:val="22"/>
              </w:rPr>
              <w:t>客户服务电话：</w:t>
            </w:r>
            <w:r>
              <w:rPr>
                <w:rFonts w:ascii="Arial" w:eastAsia="Arial"/>
                <w:spacing w:val="-8"/>
                <w:sz w:val="22"/>
              </w:rPr>
              <w:t>95525</w:t>
            </w:r>
            <w:r>
              <w:rPr>
                <w:spacing w:val="-36"/>
                <w:sz w:val="22"/>
              </w:rPr>
              <w:t>、</w:t>
            </w:r>
            <w:r>
              <w:rPr>
                <w:rFonts w:ascii="Arial" w:eastAsia="Arial"/>
                <w:sz w:val="22"/>
              </w:rPr>
              <w:t>4008888788</w:t>
            </w:r>
            <w:r>
              <w:rPr>
                <w:spacing w:val="-11"/>
                <w:sz w:val="22"/>
              </w:rPr>
              <w:t>、</w:t>
            </w:r>
          </w:p>
          <w:p>
            <w:pPr>
              <w:pStyle w:val="TableParagraph"/>
              <w:spacing w:before="40"/>
              <w:ind w:left="100" w:right="95"/>
              <w:jc w:val="center"/>
              <w:rPr>
                <w:rFonts w:ascii="Arial"/>
                <w:sz w:val="22"/>
              </w:rPr>
            </w:pPr>
            <w:r>
              <w:rPr>
                <w:rFonts w:ascii="Arial"/>
                <w:sz w:val="22"/>
              </w:rPr>
              <w:t>10108998</w:t>
            </w:r>
          </w:p>
          <w:p>
            <w:pPr>
              <w:pStyle w:val="TableParagraph"/>
              <w:spacing w:line="277" w:lineRule="exact" w:before="46"/>
              <w:ind w:left="101" w:right="95"/>
              <w:jc w:val="center"/>
              <w:rPr>
                <w:rFonts w:ascii="Arial" w:eastAsia="Arial"/>
                <w:sz w:val="22"/>
              </w:rPr>
            </w:pPr>
            <w:r>
              <w:rPr>
                <w:sz w:val="22"/>
              </w:rPr>
              <w:t>网址：</w:t>
            </w:r>
            <w:hyperlink r:id="rId51">
              <w:r>
                <w:rPr>
                  <w:rFonts w:ascii="Arial" w:eastAsia="Arial"/>
                  <w:sz w:val="22"/>
                </w:rPr>
                <w:t>www.ebscn.com</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44</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海通证券股份有限公司</w:t>
            </w:r>
          </w:p>
        </w:tc>
        <w:tc>
          <w:tcPr>
            <w:tcW w:w="3848" w:type="dxa"/>
            <w:tcBorders>
              <w:top w:val="nil"/>
            </w:tcBorders>
          </w:tcPr>
          <w:p>
            <w:pPr>
              <w:pStyle w:val="TableParagraph"/>
              <w:spacing w:before="15"/>
              <w:ind w:left="10"/>
              <w:jc w:val="center"/>
              <w:rPr>
                <w:rFonts w:ascii="Arial" w:eastAsia="Arial"/>
                <w:sz w:val="22"/>
              </w:rPr>
            </w:pPr>
            <w:r>
              <w:rPr>
                <w:sz w:val="22"/>
              </w:rPr>
              <w:t>注册（办公）地址：上海市广东路 </w:t>
            </w:r>
            <w:r>
              <w:rPr>
                <w:rFonts w:ascii="Arial" w:eastAsia="Arial"/>
                <w:sz w:val="22"/>
              </w:rPr>
              <w:t>689</w:t>
            </w:r>
          </w:p>
          <w:p>
            <w:pPr>
              <w:pStyle w:val="TableParagraph"/>
              <w:spacing w:before="30"/>
              <w:ind w:left="5"/>
              <w:jc w:val="center"/>
              <w:rPr>
                <w:sz w:val="22"/>
              </w:rPr>
            </w:pPr>
            <w:r>
              <w:rPr>
                <w:w w:val="100"/>
                <w:sz w:val="22"/>
              </w:rPr>
              <w:t>号</w:t>
            </w:r>
          </w:p>
          <w:p>
            <w:pPr>
              <w:pStyle w:val="TableParagraph"/>
              <w:spacing w:line="266" w:lineRule="auto" w:before="31"/>
              <w:ind w:left="1043" w:right="1031"/>
              <w:jc w:val="center"/>
              <w:rPr>
                <w:sz w:val="22"/>
              </w:rPr>
            </w:pPr>
            <w:r>
              <w:rPr>
                <w:sz w:val="22"/>
              </w:rPr>
              <w:t>法定代表人：周杰联系人：李笑鸣</w:t>
            </w:r>
          </w:p>
          <w:p>
            <w:pPr>
              <w:pStyle w:val="TableParagraph"/>
              <w:spacing w:line="266" w:lineRule="auto"/>
              <w:ind w:left="882" w:right="872"/>
              <w:jc w:val="center"/>
              <w:rPr>
                <w:rFonts w:ascii="Arial" w:eastAsia="Arial"/>
                <w:sz w:val="22"/>
              </w:rPr>
            </w:pPr>
            <w:r>
              <w:rPr>
                <w:sz w:val="22"/>
              </w:rPr>
              <w:t>电话：</w:t>
            </w:r>
            <w:r>
              <w:rPr>
                <w:rFonts w:ascii="Arial" w:eastAsia="Arial"/>
                <w:sz w:val="22"/>
              </w:rPr>
              <w:t>021-23219000 </w:t>
            </w:r>
            <w:r>
              <w:rPr>
                <w:sz w:val="22"/>
              </w:rPr>
              <w:t>传真：</w:t>
            </w:r>
            <w:r>
              <w:rPr>
                <w:rFonts w:ascii="Arial" w:eastAsia="Arial"/>
                <w:sz w:val="22"/>
              </w:rPr>
              <w:t>021-23219100</w:t>
            </w:r>
          </w:p>
          <w:p>
            <w:pPr>
              <w:pStyle w:val="TableParagraph"/>
              <w:spacing w:line="280" w:lineRule="exact"/>
              <w:ind w:left="105" w:right="95"/>
              <w:jc w:val="center"/>
              <w:rPr>
                <w:rFonts w:ascii="Arial" w:eastAsia="Arial"/>
                <w:sz w:val="22"/>
              </w:rPr>
            </w:pPr>
            <w:r>
              <w:rPr>
                <w:sz w:val="22"/>
              </w:rPr>
              <w:t>客服电话：</w:t>
            </w:r>
            <w:r>
              <w:rPr>
                <w:rFonts w:ascii="Arial" w:eastAsia="Arial"/>
                <w:sz w:val="22"/>
              </w:rPr>
              <w:t>95553</w:t>
            </w:r>
          </w:p>
          <w:p>
            <w:pPr>
              <w:pStyle w:val="TableParagraph"/>
              <w:spacing w:line="277" w:lineRule="exact" w:before="28"/>
              <w:ind w:left="104" w:right="95"/>
              <w:jc w:val="center"/>
              <w:rPr>
                <w:rFonts w:ascii="Arial" w:eastAsia="Arial"/>
                <w:sz w:val="22"/>
              </w:rPr>
            </w:pPr>
            <w:r>
              <w:rPr>
                <w:sz w:val="22"/>
              </w:rPr>
              <w:t>网址：</w:t>
            </w:r>
            <w:hyperlink r:id="rId52">
              <w:r>
                <w:rPr>
                  <w:rFonts w:ascii="Arial" w:eastAsia="Arial"/>
                  <w:sz w:val="22"/>
                </w:rPr>
                <w:t>www.htsec.com</w:t>
              </w:r>
            </w:hyperlink>
          </w:p>
        </w:tc>
      </w:tr>
      <w:tr>
        <w:trPr>
          <w:trHeight w:val="218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87"/>
              <w:jc w:val="right"/>
              <w:rPr>
                <w:rFonts w:ascii="Arial"/>
                <w:sz w:val="21"/>
              </w:rPr>
            </w:pPr>
            <w:r>
              <w:rPr>
                <w:rFonts w:ascii="Arial"/>
                <w:sz w:val="21"/>
              </w:rPr>
              <w:t>45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77" w:right="77"/>
              <w:jc w:val="center"/>
              <w:rPr>
                <w:sz w:val="22"/>
              </w:rPr>
            </w:pPr>
            <w:r>
              <w:rPr>
                <w:sz w:val="22"/>
              </w:rPr>
              <w:t>中银国际证券股份有限公司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地址：上海市浦东新区银</w:t>
            </w:r>
            <w:r>
              <w:rPr>
                <w:spacing w:val="-14"/>
                <w:sz w:val="22"/>
              </w:rPr>
              <w:t>城中路 </w:t>
            </w:r>
            <w:r>
              <w:rPr>
                <w:rFonts w:ascii="Arial" w:eastAsia="Arial"/>
                <w:sz w:val="22"/>
              </w:rPr>
              <w:t>200 </w:t>
            </w:r>
            <w:r>
              <w:rPr>
                <w:spacing w:val="-10"/>
                <w:sz w:val="22"/>
              </w:rPr>
              <w:t>号中银大厦 </w:t>
            </w:r>
            <w:r>
              <w:rPr>
                <w:rFonts w:ascii="Arial" w:eastAsia="Arial"/>
                <w:sz w:val="22"/>
              </w:rPr>
              <w:t>31 </w:t>
            </w:r>
            <w:r>
              <w:rPr>
                <w:sz w:val="22"/>
              </w:rPr>
              <w:t>楼</w:t>
            </w:r>
          </w:p>
          <w:p>
            <w:pPr>
              <w:pStyle w:val="TableParagraph"/>
              <w:spacing w:line="266" w:lineRule="auto"/>
              <w:ind w:left="1043" w:right="1031"/>
              <w:jc w:val="center"/>
              <w:rPr>
                <w:sz w:val="22"/>
              </w:rPr>
            </w:pPr>
            <w:r>
              <w:rPr>
                <w:sz w:val="22"/>
              </w:rPr>
              <w:t>法定代表人：宁敏联系人：许慧琳</w:t>
            </w:r>
          </w:p>
          <w:p>
            <w:pPr>
              <w:pStyle w:val="TableParagraph"/>
              <w:spacing w:line="281" w:lineRule="exact"/>
              <w:ind w:left="102" w:right="95"/>
              <w:jc w:val="center"/>
              <w:rPr>
                <w:rFonts w:ascii="Arial" w:eastAsia="Arial"/>
                <w:sz w:val="22"/>
              </w:rPr>
            </w:pPr>
            <w:r>
              <w:rPr>
                <w:sz w:val="22"/>
              </w:rPr>
              <w:t>电话：</w:t>
            </w:r>
            <w:r>
              <w:rPr>
                <w:rFonts w:ascii="Arial" w:eastAsia="Arial"/>
                <w:sz w:val="22"/>
              </w:rPr>
              <w:t>021-20328531</w:t>
            </w:r>
          </w:p>
          <w:p>
            <w:pPr>
              <w:pStyle w:val="TableParagraph"/>
              <w:spacing w:before="28"/>
              <w:ind w:left="103" w:right="95"/>
              <w:jc w:val="center"/>
              <w:rPr>
                <w:rFonts w:ascii="Arial" w:eastAsia="Arial"/>
                <w:sz w:val="22"/>
              </w:rPr>
            </w:pPr>
            <w:r>
              <w:rPr>
                <w:spacing w:val="-1"/>
                <w:sz w:val="22"/>
              </w:rPr>
              <w:t>客户服务电话</w:t>
            </w:r>
            <w:r>
              <w:rPr>
                <w:rFonts w:ascii="Arial" w:eastAsia="Arial"/>
                <w:sz w:val="22"/>
              </w:rPr>
              <w:t>: 4006208888</w:t>
            </w:r>
          </w:p>
          <w:p>
            <w:pPr>
              <w:pStyle w:val="TableParagraph"/>
              <w:spacing w:line="277" w:lineRule="exact" w:before="30"/>
              <w:ind w:left="104" w:right="95"/>
              <w:jc w:val="center"/>
              <w:rPr>
                <w:rFonts w:ascii="Arial" w:eastAsia="Arial"/>
                <w:sz w:val="22"/>
              </w:rPr>
            </w:pPr>
            <w:r>
              <w:rPr>
                <w:spacing w:val="-1"/>
                <w:sz w:val="22"/>
              </w:rPr>
              <w:t>网址：</w:t>
            </w:r>
            <w:hyperlink r:id="rId53">
              <w:r>
                <w:rPr>
                  <w:rFonts w:ascii="Arial" w:eastAsia="Arial"/>
                  <w:spacing w:val="-1"/>
                  <w:sz w:val="22"/>
                </w:rPr>
                <w:t>www.bocichina.com</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46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2" w:right="77"/>
              <w:jc w:val="center"/>
              <w:rPr>
                <w:sz w:val="22"/>
              </w:rPr>
            </w:pPr>
            <w:r>
              <w:rPr>
                <w:sz w:val="22"/>
              </w:rPr>
              <w:t>安信证券股份有限公司</w:t>
            </w:r>
          </w:p>
        </w:tc>
        <w:tc>
          <w:tcPr>
            <w:tcW w:w="3848" w:type="dxa"/>
          </w:tcPr>
          <w:p>
            <w:pPr>
              <w:pStyle w:val="TableParagraph"/>
              <w:spacing w:line="266" w:lineRule="auto" w:before="15"/>
              <w:ind w:left="107" w:right="93" w:hanging="2"/>
              <w:jc w:val="center"/>
              <w:rPr>
                <w:sz w:val="22"/>
              </w:rPr>
            </w:pPr>
            <w:r>
              <w:rPr>
                <w:spacing w:val="-18"/>
                <w:sz w:val="22"/>
              </w:rPr>
              <w:t>注册</w:t>
            </w:r>
            <w:r>
              <w:rPr>
                <w:sz w:val="22"/>
              </w:rPr>
              <w:t>（</w:t>
            </w:r>
            <w:r>
              <w:rPr>
                <w:spacing w:val="-2"/>
                <w:sz w:val="22"/>
              </w:rPr>
              <w:t>办公</w:t>
            </w:r>
            <w:r>
              <w:rPr>
                <w:spacing w:val="-39"/>
                <w:sz w:val="22"/>
              </w:rPr>
              <w:t>）</w:t>
            </w:r>
            <w:r>
              <w:rPr>
                <w:spacing w:val="-8"/>
                <w:sz w:val="22"/>
              </w:rPr>
              <w:t>地址：深圳市福田区金田</w:t>
            </w:r>
            <w:r>
              <w:rPr>
                <w:spacing w:val="-27"/>
                <w:sz w:val="22"/>
              </w:rPr>
              <w:t>路 </w:t>
            </w:r>
            <w:r>
              <w:rPr>
                <w:rFonts w:ascii="Arial" w:eastAsia="Arial"/>
                <w:sz w:val="22"/>
              </w:rPr>
              <w:t>4018 </w:t>
            </w:r>
            <w:r>
              <w:rPr>
                <w:spacing w:val="-11"/>
                <w:sz w:val="22"/>
              </w:rPr>
              <w:t>号安联大厦 </w:t>
            </w:r>
            <w:r>
              <w:rPr>
                <w:rFonts w:ascii="Arial" w:eastAsia="Arial"/>
                <w:sz w:val="22"/>
              </w:rPr>
              <w:t>35 </w:t>
            </w:r>
            <w:r>
              <w:rPr>
                <w:spacing w:val="-25"/>
                <w:sz w:val="22"/>
              </w:rPr>
              <w:t>层、</w:t>
            </w:r>
            <w:r>
              <w:rPr>
                <w:rFonts w:ascii="Arial" w:eastAsia="Arial"/>
                <w:sz w:val="22"/>
              </w:rPr>
              <w:t>28 </w:t>
            </w:r>
            <w:r>
              <w:rPr>
                <w:spacing w:val="-27"/>
                <w:sz w:val="22"/>
              </w:rPr>
              <w:t>层 </w:t>
            </w:r>
            <w:r>
              <w:rPr>
                <w:rFonts w:ascii="Arial" w:eastAsia="Arial"/>
                <w:spacing w:val="-5"/>
                <w:sz w:val="22"/>
              </w:rPr>
              <w:t>A02 </w:t>
            </w:r>
            <w:r>
              <w:rPr>
                <w:sz w:val="22"/>
              </w:rPr>
              <w:t>单元</w:t>
            </w:r>
          </w:p>
          <w:p>
            <w:pPr>
              <w:pStyle w:val="TableParagraph"/>
              <w:spacing w:line="266" w:lineRule="auto"/>
              <w:ind w:left="932" w:right="920"/>
              <w:jc w:val="center"/>
              <w:rPr>
                <w:sz w:val="22"/>
              </w:rPr>
            </w:pPr>
            <w:r>
              <w:rPr>
                <w:sz w:val="22"/>
              </w:rPr>
              <w:t>法定代表人：王连志联系人：郑向溢</w:t>
            </w:r>
          </w:p>
          <w:p>
            <w:pPr>
              <w:pStyle w:val="TableParagraph"/>
              <w:spacing w:line="266" w:lineRule="auto"/>
              <w:ind w:left="748" w:right="735"/>
              <w:jc w:val="center"/>
              <w:rPr>
                <w:rFonts w:ascii="Arial" w:eastAsia="Arial"/>
                <w:sz w:val="22"/>
              </w:rPr>
            </w:pPr>
            <w:r>
              <w:rPr>
                <w:sz w:val="22"/>
              </w:rPr>
              <w:t>电话：</w:t>
            </w:r>
            <w:r>
              <w:rPr>
                <w:rFonts w:ascii="Arial" w:eastAsia="Arial"/>
                <w:sz w:val="22"/>
              </w:rPr>
              <w:t>0755</w:t>
            </w:r>
            <w:r>
              <w:rPr>
                <w:sz w:val="22"/>
              </w:rPr>
              <w:t>－</w:t>
            </w:r>
            <w:r>
              <w:rPr>
                <w:rFonts w:ascii="Arial" w:eastAsia="Arial"/>
                <w:sz w:val="22"/>
              </w:rPr>
              <w:t>82558038 </w:t>
            </w:r>
            <w:r>
              <w:rPr>
                <w:sz w:val="22"/>
              </w:rPr>
              <w:t>传真：</w:t>
            </w:r>
            <w:r>
              <w:rPr>
                <w:rFonts w:ascii="Arial" w:eastAsia="Arial"/>
                <w:sz w:val="22"/>
              </w:rPr>
              <w:t>0755-82558355</w:t>
            </w:r>
          </w:p>
          <w:p>
            <w:pPr>
              <w:pStyle w:val="TableParagraph"/>
              <w:spacing w:line="281" w:lineRule="exact"/>
              <w:ind w:left="103" w:right="95"/>
              <w:jc w:val="center"/>
              <w:rPr>
                <w:rFonts w:ascii="Arial" w:eastAsia="Arial"/>
                <w:sz w:val="22"/>
              </w:rPr>
            </w:pPr>
            <w:r>
              <w:rPr>
                <w:sz w:val="22"/>
              </w:rPr>
              <w:t>客户服务电话</w:t>
            </w:r>
            <w:r>
              <w:rPr>
                <w:rFonts w:ascii="Arial" w:eastAsia="Arial"/>
                <w:sz w:val="22"/>
              </w:rPr>
              <w:t>:4008001001</w:t>
            </w:r>
          </w:p>
          <w:p>
            <w:pPr>
              <w:pStyle w:val="TableParagraph"/>
              <w:spacing w:line="277" w:lineRule="exact" w:before="25"/>
              <w:ind w:left="102" w:right="95"/>
              <w:jc w:val="center"/>
              <w:rPr>
                <w:rFonts w:ascii="Arial" w:eastAsia="Arial"/>
                <w:sz w:val="22"/>
              </w:rPr>
            </w:pPr>
            <w:r>
              <w:rPr>
                <w:sz w:val="22"/>
              </w:rPr>
              <w:t>网址：</w:t>
            </w:r>
            <w:hyperlink r:id="rId54">
              <w:r>
                <w:rPr>
                  <w:rFonts w:ascii="Arial" w:eastAsia="Arial"/>
                  <w:sz w:val="22"/>
                </w:rPr>
                <w:t>www.essence.com.cn</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47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2" w:right="77"/>
              <w:jc w:val="center"/>
              <w:rPr>
                <w:sz w:val="22"/>
              </w:rPr>
            </w:pPr>
            <w:r>
              <w:rPr>
                <w:sz w:val="22"/>
              </w:rPr>
              <w:t>国元证券有限责任公司</w:t>
            </w:r>
          </w:p>
        </w:tc>
        <w:tc>
          <w:tcPr>
            <w:tcW w:w="3848" w:type="dxa"/>
          </w:tcPr>
          <w:p>
            <w:pPr>
              <w:pStyle w:val="TableParagraph"/>
              <w:spacing w:line="266" w:lineRule="auto" w:before="15"/>
              <w:ind w:left="107" w:right="94"/>
              <w:jc w:val="center"/>
              <w:rPr>
                <w:sz w:val="22"/>
              </w:rPr>
            </w:pPr>
            <w:r>
              <w:rPr>
                <w:spacing w:val="-18"/>
                <w:sz w:val="22"/>
              </w:rPr>
              <w:t>注册</w:t>
            </w:r>
            <w:r>
              <w:rPr>
                <w:sz w:val="22"/>
              </w:rPr>
              <w:t>（</w:t>
            </w:r>
            <w:r>
              <w:rPr>
                <w:spacing w:val="-2"/>
                <w:sz w:val="22"/>
              </w:rPr>
              <w:t>办公</w:t>
            </w:r>
            <w:r>
              <w:rPr>
                <w:spacing w:val="-39"/>
                <w:sz w:val="22"/>
              </w:rPr>
              <w:t>）</w:t>
            </w:r>
            <w:r>
              <w:rPr>
                <w:spacing w:val="-8"/>
                <w:sz w:val="22"/>
              </w:rPr>
              <w:t>地址：安徽省合肥市寿春</w:t>
            </w:r>
            <w:r>
              <w:rPr>
                <w:spacing w:val="-31"/>
                <w:sz w:val="22"/>
              </w:rPr>
              <w:t>路 </w:t>
            </w:r>
            <w:r>
              <w:rPr>
                <w:rFonts w:ascii="Arial" w:eastAsia="Arial"/>
                <w:sz w:val="22"/>
              </w:rPr>
              <w:t>179 </w:t>
            </w:r>
            <w:r>
              <w:rPr>
                <w:sz w:val="22"/>
              </w:rPr>
              <w:t>号</w:t>
            </w:r>
          </w:p>
          <w:p>
            <w:pPr>
              <w:pStyle w:val="TableParagraph"/>
              <w:spacing w:line="266" w:lineRule="auto"/>
              <w:ind w:left="1043" w:right="1031"/>
              <w:jc w:val="center"/>
              <w:rPr>
                <w:sz w:val="22"/>
              </w:rPr>
            </w:pPr>
            <w:r>
              <w:rPr>
                <w:sz w:val="22"/>
              </w:rPr>
              <w:t>法定代表人：蔡咏联系人：李飞</w:t>
            </w:r>
          </w:p>
          <w:p>
            <w:pPr>
              <w:pStyle w:val="TableParagraph"/>
              <w:spacing w:line="266" w:lineRule="auto"/>
              <w:ind w:left="748" w:right="735"/>
              <w:jc w:val="center"/>
              <w:rPr>
                <w:rFonts w:ascii="Arial" w:hAnsi="Arial" w:eastAsia="Arial"/>
                <w:sz w:val="22"/>
              </w:rPr>
            </w:pPr>
            <w:r>
              <w:rPr>
                <w:sz w:val="22"/>
              </w:rPr>
              <w:t>电话：</w:t>
            </w:r>
            <w:r>
              <w:rPr>
                <w:rFonts w:ascii="Arial" w:hAnsi="Arial" w:eastAsia="Arial"/>
                <w:sz w:val="22"/>
              </w:rPr>
              <w:t>0551-62246298 </w:t>
            </w:r>
            <w:r>
              <w:rPr>
                <w:sz w:val="22"/>
              </w:rPr>
              <w:t>传真：</w:t>
            </w:r>
            <w:r>
              <w:rPr>
                <w:rFonts w:ascii="Arial" w:hAnsi="Arial" w:eastAsia="Arial"/>
                <w:sz w:val="22"/>
              </w:rPr>
              <w:t>0551—62272108</w:t>
            </w:r>
          </w:p>
          <w:p>
            <w:pPr>
              <w:pStyle w:val="TableParagraph"/>
              <w:spacing w:line="266" w:lineRule="auto"/>
              <w:ind w:left="208" w:right="195" w:hanging="3"/>
              <w:jc w:val="center"/>
              <w:rPr>
                <w:rFonts w:ascii="Arial" w:eastAsia="Arial"/>
                <w:sz w:val="22"/>
              </w:rPr>
            </w:pPr>
            <w:r>
              <w:rPr>
                <w:spacing w:val="-8"/>
                <w:sz w:val="22"/>
              </w:rPr>
              <w:t>客服电话：全国统一热线 </w:t>
            </w:r>
            <w:r>
              <w:rPr>
                <w:rFonts w:ascii="Arial" w:eastAsia="Arial"/>
                <w:sz w:val="22"/>
              </w:rPr>
              <w:t>95578</w:t>
            </w:r>
            <w:r>
              <w:rPr>
                <w:sz w:val="22"/>
              </w:rPr>
              <w:t>， </w:t>
            </w:r>
            <w:r>
              <w:rPr>
                <w:rFonts w:ascii="Arial" w:eastAsia="Arial"/>
                <w:sz w:val="22"/>
              </w:rPr>
              <w:t>4008888777</w:t>
            </w:r>
            <w:r>
              <w:rPr>
                <w:spacing w:val="-9"/>
                <w:sz w:val="22"/>
              </w:rPr>
              <w:t>，安徽省内热线 </w:t>
            </w:r>
            <w:r>
              <w:rPr>
                <w:rFonts w:ascii="Arial" w:eastAsia="Arial"/>
                <w:sz w:val="22"/>
              </w:rPr>
              <w:t>96888</w:t>
            </w:r>
          </w:p>
          <w:p>
            <w:pPr>
              <w:pStyle w:val="TableParagraph"/>
              <w:spacing w:line="275" w:lineRule="exact"/>
              <w:ind w:left="102" w:right="95"/>
              <w:jc w:val="center"/>
              <w:rPr>
                <w:rFonts w:ascii="Arial" w:eastAsia="Arial"/>
                <w:sz w:val="22"/>
              </w:rPr>
            </w:pPr>
            <w:r>
              <w:rPr>
                <w:sz w:val="22"/>
              </w:rPr>
              <w:t>网址：</w:t>
            </w:r>
            <w:hyperlink r:id="rId55">
              <w:r>
                <w:rPr>
                  <w:rFonts w:ascii="Arial" w:eastAsia="Arial"/>
                  <w:sz w:val="22"/>
                </w:rPr>
                <w:t>www.gyzq.com.cn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87"/>
              <w:jc w:val="right"/>
              <w:rPr>
                <w:rFonts w:ascii="Arial"/>
                <w:sz w:val="21"/>
              </w:rPr>
            </w:pPr>
            <w:r>
              <w:rPr>
                <w:rFonts w:ascii="Arial"/>
                <w:sz w:val="21"/>
              </w:rPr>
              <w:t>48</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2" w:right="77"/>
              <w:jc w:val="center"/>
              <w:rPr>
                <w:sz w:val="22"/>
              </w:rPr>
            </w:pPr>
            <w:r>
              <w:rPr>
                <w:sz w:val="22"/>
              </w:rPr>
              <w:t>平安证券股份有限公司</w:t>
            </w:r>
          </w:p>
        </w:tc>
        <w:tc>
          <w:tcPr>
            <w:tcW w:w="3848" w:type="dxa"/>
          </w:tcPr>
          <w:p>
            <w:pPr>
              <w:pStyle w:val="TableParagraph"/>
              <w:spacing w:line="266" w:lineRule="auto" w:before="17"/>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地址：深圳市福田区益田</w:t>
            </w:r>
            <w:r>
              <w:rPr>
                <w:spacing w:val="-27"/>
                <w:sz w:val="22"/>
              </w:rPr>
              <w:t>路 </w:t>
            </w:r>
            <w:r>
              <w:rPr>
                <w:rFonts w:ascii="Arial" w:eastAsia="Arial"/>
                <w:sz w:val="22"/>
              </w:rPr>
              <w:t>5033 </w:t>
            </w:r>
            <w:r>
              <w:rPr>
                <w:spacing w:val="-10"/>
                <w:sz w:val="22"/>
              </w:rPr>
              <w:t>号平安金融中心 </w:t>
            </w:r>
            <w:r>
              <w:rPr>
                <w:rFonts w:ascii="Arial" w:eastAsia="Arial"/>
                <w:sz w:val="22"/>
              </w:rPr>
              <w:t>61 </w:t>
            </w:r>
            <w:r>
              <w:rPr>
                <w:sz w:val="22"/>
              </w:rPr>
              <w:t>层</w:t>
            </w:r>
            <w:r>
              <w:rPr>
                <w:rFonts w:ascii="Arial" w:eastAsia="Arial"/>
                <w:sz w:val="22"/>
              </w:rPr>
              <w:t>-64 </w:t>
            </w:r>
            <w:r>
              <w:rPr>
                <w:sz w:val="22"/>
              </w:rPr>
              <w:t>层</w:t>
            </w:r>
            <w:r>
              <w:rPr>
                <w:spacing w:val="-2"/>
                <w:sz w:val="22"/>
              </w:rPr>
              <w:t>法人代表：何之江</w:t>
            </w:r>
          </w:p>
          <w:p>
            <w:pPr>
              <w:pStyle w:val="TableParagraph"/>
              <w:spacing w:line="279" w:lineRule="exact"/>
              <w:ind w:left="102" w:right="95"/>
              <w:jc w:val="center"/>
              <w:rPr>
                <w:sz w:val="22"/>
              </w:rPr>
            </w:pPr>
            <w:r>
              <w:rPr>
                <w:sz w:val="22"/>
              </w:rPr>
              <w:t>联系人：王阳</w:t>
            </w:r>
          </w:p>
          <w:p>
            <w:pPr>
              <w:pStyle w:val="TableParagraph"/>
              <w:spacing w:line="266" w:lineRule="auto" w:before="30"/>
              <w:ind w:left="882" w:right="872"/>
              <w:jc w:val="center"/>
              <w:rPr>
                <w:rFonts w:ascii="Arial" w:eastAsia="Arial"/>
                <w:sz w:val="22"/>
              </w:rPr>
            </w:pPr>
            <w:r>
              <w:rPr>
                <w:sz w:val="22"/>
              </w:rPr>
              <w:t>电话：</w:t>
            </w:r>
            <w:r>
              <w:rPr>
                <w:rFonts w:ascii="Arial" w:eastAsia="Arial"/>
                <w:sz w:val="22"/>
              </w:rPr>
              <w:t>021-38632136 </w:t>
            </w:r>
            <w:r>
              <w:rPr>
                <w:sz w:val="22"/>
              </w:rPr>
              <w:t>传真：</w:t>
            </w:r>
            <w:r>
              <w:rPr>
                <w:rFonts w:ascii="Arial" w:eastAsia="Arial"/>
                <w:sz w:val="22"/>
              </w:rPr>
              <w:t>021-33830395</w:t>
            </w:r>
          </w:p>
          <w:p>
            <w:pPr>
              <w:pStyle w:val="TableParagraph"/>
              <w:spacing w:line="280" w:lineRule="exact"/>
              <w:ind w:left="103" w:right="95"/>
              <w:jc w:val="center"/>
              <w:rPr>
                <w:rFonts w:ascii="Arial" w:eastAsia="Arial"/>
                <w:sz w:val="22"/>
              </w:rPr>
            </w:pPr>
            <w:r>
              <w:rPr>
                <w:spacing w:val="-2"/>
                <w:sz w:val="22"/>
              </w:rPr>
              <w:t>客户服务电话：</w:t>
            </w:r>
            <w:r>
              <w:rPr>
                <w:rFonts w:ascii="Arial" w:eastAsia="Arial"/>
                <w:spacing w:val="-1"/>
                <w:sz w:val="22"/>
              </w:rPr>
              <w:t>95511-8</w:t>
            </w:r>
          </w:p>
          <w:p>
            <w:pPr>
              <w:pStyle w:val="TableParagraph"/>
              <w:spacing w:line="277" w:lineRule="exact" w:before="30"/>
              <w:ind w:left="102" w:right="95"/>
              <w:jc w:val="center"/>
              <w:rPr>
                <w:rFonts w:ascii="Arial" w:eastAsia="Arial"/>
                <w:sz w:val="22"/>
              </w:rPr>
            </w:pPr>
            <w:r>
              <w:rPr>
                <w:spacing w:val="-1"/>
                <w:sz w:val="22"/>
              </w:rPr>
              <w:t>网址：</w:t>
            </w:r>
            <w:r>
              <w:rPr>
                <w:rFonts w:ascii="Arial" w:eastAsia="Arial"/>
                <w:spacing w:val="-1"/>
                <w:sz w:val="22"/>
              </w:rPr>
              <w:t>stock.pingan.com</w:t>
            </w:r>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49</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2" w:right="77"/>
              <w:jc w:val="center"/>
              <w:rPr>
                <w:sz w:val="22"/>
              </w:rPr>
            </w:pPr>
            <w:r>
              <w:rPr>
                <w:sz w:val="22"/>
              </w:rPr>
              <w:t>国信证券股份有限公司</w:t>
            </w:r>
          </w:p>
        </w:tc>
        <w:tc>
          <w:tcPr>
            <w:tcW w:w="3848" w:type="dxa"/>
            <w:tcBorders>
              <w:top w:val="nil"/>
            </w:tcBorders>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地址：深圳市罗湖区红岭</w:t>
            </w:r>
            <w:r>
              <w:rPr>
                <w:spacing w:val="15"/>
                <w:sz w:val="22"/>
              </w:rPr>
              <w:t>中路</w:t>
            </w:r>
            <w:r>
              <w:rPr>
                <w:rFonts w:ascii="Arial" w:eastAsia="Arial"/>
                <w:sz w:val="22"/>
              </w:rPr>
              <w:t>1012 </w:t>
            </w:r>
            <w:r>
              <w:rPr>
                <w:spacing w:val="-4"/>
                <w:sz w:val="22"/>
              </w:rPr>
              <w:t>号国信证券大厦十六层至二</w:t>
            </w:r>
            <w:r>
              <w:rPr>
                <w:sz w:val="22"/>
              </w:rPr>
              <w:t>十六层</w:t>
            </w:r>
          </w:p>
          <w:p>
            <w:pPr>
              <w:pStyle w:val="TableParagraph"/>
              <w:spacing w:line="266" w:lineRule="auto"/>
              <w:ind w:left="1043" w:right="1031"/>
              <w:jc w:val="center"/>
              <w:rPr>
                <w:sz w:val="22"/>
              </w:rPr>
            </w:pPr>
            <w:r>
              <w:rPr>
                <w:sz w:val="22"/>
              </w:rPr>
              <w:t>法定代表人：何如联系人：李颖</w:t>
            </w:r>
          </w:p>
          <w:p>
            <w:pPr>
              <w:pStyle w:val="TableParagraph"/>
              <w:spacing w:line="266" w:lineRule="auto"/>
              <w:ind w:left="822" w:right="810"/>
              <w:jc w:val="center"/>
              <w:rPr>
                <w:rFonts w:ascii="Arial" w:eastAsia="Arial"/>
                <w:sz w:val="22"/>
              </w:rPr>
            </w:pPr>
            <w:r>
              <w:rPr>
                <w:sz w:val="22"/>
              </w:rPr>
              <w:t>电话：</w:t>
            </w:r>
            <w:r>
              <w:rPr>
                <w:rFonts w:ascii="Arial" w:eastAsia="Arial"/>
                <w:sz w:val="22"/>
              </w:rPr>
              <w:t>0755-82130833 </w:t>
            </w:r>
            <w:r>
              <w:rPr>
                <w:sz w:val="22"/>
              </w:rPr>
              <w:t>传真：</w:t>
            </w:r>
            <w:r>
              <w:rPr>
                <w:rFonts w:ascii="Arial" w:eastAsia="Arial"/>
                <w:sz w:val="22"/>
              </w:rPr>
              <w:t>0755-82133952</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:95536</w:t>
            </w:r>
          </w:p>
          <w:p>
            <w:pPr>
              <w:pStyle w:val="TableParagraph"/>
              <w:spacing w:line="277" w:lineRule="exact" w:before="26"/>
              <w:ind w:left="105" w:right="95"/>
              <w:jc w:val="center"/>
              <w:rPr>
                <w:rFonts w:ascii="Arial" w:eastAsia="Arial"/>
                <w:sz w:val="22"/>
              </w:rPr>
            </w:pPr>
            <w:r>
              <w:rPr>
                <w:sz w:val="22"/>
              </w:rPr>
              <w:t>网址：</w:t>
            </w:r>
            <w:hyperlink r:id="rId56">
              <w:r>
                <w:rPr>
                  <w:rFonts w:ascii="Arial" w:eastAsia="Arial"/>
                  <w:sz w:val="22"/>
                </w:rPr>
                <w:t>www.guosen.com.cn</w:t>
              </w:r>
            </w:hyperlink>
          </w:p>
        </w:tc>
      </w:tr>
      <w:tr>
        <w:trPr>
          <w:trHeight w:val="218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87"/>
              <w:jc w:val="right"/>
              <w:rPr>
                <w:rFonts w:ascii="Arial"/>
                <w:sz w:val="21"/>
              </w:rPr>
            </w:pPr>
            <w:r>
              <w:rPr>
                <w:rFonts w:ascii="Arial"/>
                <w:sz w:val="21"/>
              </w:rPr>
              <w:t>50</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77" w:right="77"/>
              <w:jc w:val="center"/>
              <w:rPr>
                <w:sz w:val="22"/>
              </w:rPr>
            </w:pPr>
            <w:r>
              <w:rPr>
                <w:sz w:val="22"/>
              </w:rPr>
              <w:t>中国国际金融股份有限公司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地址：北京市建国门外大</w:t>
            </w:r>
            <w:r>
              <w:rPr>
                <w:spacing w:val="-28"/>
                <w:sz w:val="22"/>
              </w:rPr>
              <w:t>街 </w:t>
            </w:r>
            <w:r>
              <w:rPr>
                <w:rFonts w:ascii="Arial" w:eastAsia="Arial"/>
                <w:sz w:val="22"/>
              </w:rPr>
              <w:t>1 </w:t>
            </w:r>
            <w:r>
              <w:rPr>
                <w:spacing w:val="-10"/>
                <w:sz w:val="22"/>
              </w:rPr>
              <w:t>号国贸大厦 </w:t>
            </w:r>
            <w:r>
              <w:rPr>
                <w:rFonts w:ascii="Arial" w:eastAsia="Arial"/>
                <w:sz w:val="22"/>
              </w:rPr>
              <w:t>2 </w:t>
            </w:r>
            <w:r>
              <w:rPr>
                <w:spacing w:val="-27"/>
                <w:sz w:val="22"/>
              </w:rPr>
              <w:t>座 </w:t>
            </w:r>
            <w:r>
              <w:rPr>
                <w:rFonts w:ascii="Arial" w:eastAsia="Arial"/>
                <w:sz w:val="22"/>
              </w:rPr>
              <w:t>28 </w:t>
            </w:r>
            <w:r>
              <w:rPr>
                <w:sz w:val="22"/>
              </w:rPr>
              <w:t>层</w:t>
            </w:r>
          </w:p>
          <w:p>
            <w:pPr>
              <w:pStyle w:val="TableParagraph"/>
              <w:spacing w:line="266" w:lineRule="auto"/>
              <w:ind w:left="932" w:right="920"/>
              <w:jc w:val="center"/>
              <w:rPr>
                <w:sz w:val="22"/>
              </w:rPr>
            </w:pPr>
            <w:r>
              <w:rPr>
                <w:sz w:val="22"/>
              </w:rPr>
              <w:t>法定代表人：丁学东联系人：杨涵宇</w:t>
            </w:r>
          </w:p>
          <w:p>
            <w:pPr>
              <w:pStyle w:val="TableParagraph"/>
              <w:spacing w:line="280" w:lineRule="exact"/>
              <w:ind w:left="102" w:right="95"/>
              <w:jc w:val="center"/>
              <w:rPr>
                <w:rFonts w:ascii="Arial" w:eastAsia="Arial"/>
                <w:sz w:val="22"/>
              </w:rPr>
            </w:pPr>
            <w:r>
              <w:rPr>
                <w:sz w:val="22"/>
              </w:rPr>
              <w:t>电话：</w:t>
            </w:r>
            <w:r>
              <w:rPr>
                <w:rFonts w:ascii="Arial" w:eastAsia="Arial"/>
                <w:sz w:val="22"/>
              </w:rPr>
              <w:t>010</w:t>
            </w:r>
            <w:r>
              <w:rPr>
                <w:sz w:val="22"/>
              </w:rPr>
              <w:t>－</w:t>
            </w:r>
            <w:r>
              <w:rPr>
                <w:rFonts w:ascii="Arial" w:eastAsia="Arial"/>
                <w:sz w:val="22"/>
              </w:rPr>
              <w:t>65051166</w:t>
            </w:r>
          </w:p>
          <w:p>
            <w:pPr>
              <w:pStyle w:val="TableParagraph"/>
              <w:spacing w:before="29"/>
              <w:ind w:left="103" w:right="95"/>
              <w:jc w:val="center"/>
              <w:rPr>
                <w:rFonts w:ascii="Arial" w:eastAsia="Arial"/>
                <w:sz w:val="22"/>
              </w:rPr>
            </w:pPr>
            <w:r>
              <w:rPr>
                <w:sz w:val="22"/>
              </w:rPr>
              <w:t>客户服务电话：</w:t>
            </w:r>
            <w:r>
              <w:rPr>
                <w:rFonts w:ascii="Arial" w:eastAsia="Arial"/>
                <w:sz w:val="22"/>
              </w:rPr>
              <w:t>400 910 1166</w:t>
            </w:r>
          </w:p>
          <w:p>
            <w:pPr>
              <w:pStyle w:val="TableParagraph"/>
              <w:spacing w:line="277" w:lineRule="exact" w:before="30"/>
              <w:ind w:left="103" w:right="95"/>
              <w:jc w:val="center"/>
              <w:rPr>
                <w:rFonts w:ascii="Arial" w:eastAsia="Arial"/>
                <w:sz w:val="22"/>
              </w:rPr>
            </w:pPr>
            <w:r>
              <w:rPr>
                <w:sz w:val="22"/>
              </w:rPr>
              <w:t>网址：</w:t>
            </w:r>
            <w:hyperlink r:id="rId57">
              <w:r>
                <w:rPr>
                  <w:rFonts w:ascii="Arial" w:eastAsia="Arial"/>
                  <w:sz w:val="22"/>
                </w:rPr>
                <w:t>www.cicc.com.cn</w:t>
              </w:r>
            </w:hyperlink>
          </w:p>
        </w:tc>
      </w:tr>
      <w:tr>
        <w:trPr>
          <w:trHeight w:val="3431"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right="187"/>
              <w:jc w:val="right"/>
              <w:rPr>
                <w:rFonts w:ascii="Arial"/>
                <w:sz w:val="21"/>
              </w:rPr>
            </w:pPr>
            <w:r>
              <w:rPr>
                <w:rFonts w:ascii="Arial"/>
                <w:sz w:val="21"/>
              </w:rPr>
              <w:t>51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2" w:right="77"/>
              <w:jc w:val="center"/>
              <w:rPr>
                <w:sz w:val="22"/>
              </w:rPr>
            </w:pPr>
            <w:r>
              <w:rPr>
                <w:sz w:val="22"/>
              </w:rPr>
              <w:t>方正证券股份有限公司</w:t>
            </w:r>
          </w:p>
        </w:tc>
        <w:tc>
          <w:tcPr>
            <w:tcW w:w="3848" w:type="dxa"/>
          </w:tcPr>
          <w:p>
            <w:pPr>
              <w:pStyle w:val="TableParagraph"/>
              <w:spacing w:line="266" w:lineRule="auto" w:before="15"/>
              <w:ind w:left="107" w:right="95"/>
              <w:jc w:val="center"/>
              <w:rPr>
                <w:sz w:val="22"/>
              </w:rPr>
            </w:pPr>
            <w:r>
              <w:rPr>
                <w:spacing w:val="-13"/>
                <w:sz w:val="22"/>
              </w:rPr>
              <w:t>注册地址：湖南省长沙市芙蓉中路二段</w:t>
            </w:r>
            <w:r>
              <w:rPr>
                <w:spacing w:val="-9"/>
                <w:sz w:val="22"/>
              </w:rPr>
              <w:t>华侨国际大厦 </w:t>
            </w:r>
            <w:r>
              <w:rPr>
                <w:rFonts w:ascii="Arial" w:eastAsia="Arial"/>
                <w:sz w:val="22"/>
              </w:rPr>
              <w:t>22</w:t>
            </w:r>
            <w:r>
              <w:rPr>
                <w:sz w:val="22"/>
              </w:rPr>
              <w:t>－</w:t>
            </w:r>
            <w:r>
              <w:rPr>
                <w:rFonts w:ascii="Arial" w:eastAsia="Arial"/>
                <w:sz w:val="22"/>
              </w:rPr>
              <w:t>24 </w:t>
            </w:r>
            <w:r>
              <w:rPr>
                <w:sz w:val="22"/>
              </w:rPr>
              <w:t>层</w:t>
            </w:r>
          </w:p>
          <w:p>
            <w:pPr>
              <w:pStyle w:val="TableParagraph"/>
              <w:spacing w:line="271" w:lineRule="auto"/>
              <w:ind w:left="107" w:right="95"/>
              <w:jc w:val="center"/>
              <w:rPr>
                <w:rFonts w:ascii="Arial" w:eastAsia="Arial"/>
                <w:sz w:val="22"/>
              </w:rPr>
            </w:pPr>
            <w:r>
              <w:rPr>
                <w:spacing w:val="-13"/>
                <w:sz w:val="22"/>
              </w:rPr>
              <w:t>办公地址：湖南省长沙市天心区湘江中</w:t>
            </w:r>
            <w:r>
              <w:rPr>
                <w:spacing w:val="-14"/>
                <w:sz w:val="22"/>
              </w:rPr>
              <w:t>路二段 </w:t>
            </w:r>
            <w:r>
              <w:rPr>
                <w:rFonts w:ascii="Arial" w:eastAsia="Arial"/>
                <w:sz w:val="22"/>
              </w:rPr>
              <w:t>36 </w:t>
            </w:r>
            <w:r>
              <w:rPr>
                <w:spacing w:val="-11"/>
                <w:sz w:val="22"/>
              </w:rPr>
              <w:t>号华远华中心 </w:t>
            </w:r>
            <w:r>
              <w:rPr>
                <w:rFonts w:ascii="Arial" w:eastAsia="Arial"/>
                <w:sz w:val="22"/>
              </w:rPr>
              <w:t>4</w:t>
            </w:r>
            <w:r>
              <w:rPr>
                <w:sz w:val="22"/>
              </w:rPr>
              <w:t>、</w:t>
            </w:r>
            <w:r>
              <w:rPr>
                <w:rFonts w:ascii="Arial" w:eastAsia="Arial"/>
                <w:sz w:val="22"/>
              </w:rPr>
              <w:t>5 </w:t>
            </w:r>
            <w:r>
              <w:rPr>
                <w:sz w:val="22"/>
              </w:rPr>
              <w:t>号楼</w:t>
            </w:r>
            <w:r>
              <w:rPr>
                <w:rFonts w:ascii="Arial" w:eastAsia="Arial"/>
                <w:sz w:val="22"/>
              </w:rPr>
              <w:t>2701-3717</w:t>
            </w:r>
          </w:p>
          <w:p>
            <w:pPr>
              <w:pStyle w:val="TableParagraph"/>
              <w:spacing w:line="266" w:lineRule="auto" w:before="11"/>
              <w:ind w:left="1043" w:right="1031"/>
              <w:jc w:val="center"/>
              <w:rPr>
                <w:sz w:val="22"/>
              </w:rPr>
            </w:pPr>
            <w:r>
              <w:rPr>
                <w:sz w:val="22"/>
              </w:rPr>
              <w:t>法定代表人：高利联系人：胡创</w:t>
            </w:r>
          </w:p>
          <w:p>
            <w:pPr>
              <w:pStyle w:val="TableParagraph"/>
              <w:spacing w:line="266" w:lineRule="auto"/>
              <w:ind w:left="851" w:right="841"/>
              <w:jc w:val="center"/>
              <w:rPr>
                <w:rFonts w:ascii="Arial" w:eastAsia="Arial"/>
                <w:sz w:val="22"/>
              </w:rPr>
            </w:pPr>
            <w:r>
              <w:rPr>
                <w:sz w:val="22"/>
              </w:rPr>
              <w:t>电话：</w:t>
            </w:r>
            <w:r>
              <w:rPr>
                <w:rFonts w:ascii="Arial" w:eastAsia="Arial"/>
                <w:sz w:val="22"/>
              </w:rPr>
              <w:t>010-59355941 </w:t>
            </w:r>
            <w:r>
              <w:rPr>
                <w:sz w:val="22"/>
              </w:rPr>
              <w:t>传真：</w:t>
            </w:r>
            <w:r>
              <w:rPr>
                <w:rFonts w:ascii="Arial" w:eastAsia="Arial"/>
                <w:sz w:val="22"/>
              </w:rPr>
              <w:t>010- 56437013</w:t>
            </w:r>
          </w:p>
          <w:p>
            <w:pPr>
              <w:pStyle w:val="TableParagraph"/>
              <w:spacing w:line="280" w:lineRule="exact"/>
              <w:ind w:left="105" w:right="95"/>
              <w:jc w:val="center"/>
              <w:rPr>
                <w:rFonts w:ascii="Arial" w:eastAsia="Arial"/>
                <w:sz w:val="22"/>
              </w:rPr>
            </w:pPr>
            <w:r>
              <w:rPr>
                <w:sz w:val="22"/>
              </w:rPr>
              <w:t>客服热线：</w:t>
            </w:r>
            <w:r>
              <w:rPr>
                <w:rFonts w:ascii="Arial" w:eastAsia="Arial"/>
                <w:sz w:val="22"/>
              </w:rPr>
              <w:t>95571</w:t>
            </w:r>
          </w:p>
          <w:p>
            <w:pPr>
              <w:pStyle w:val="TableParagraph"/>
              <w:spacing w:line="277" w:lineRule="exact" w:before="29"/>
              <w:ind w:left="101" w:right="95"/>
              <w:jc w:val="center"/>
              <w:rPr>
                <w:rFonts w:ascii="Arial" w:eastAsia="Arial"/>
                <w:sz w:val="22"/>
              </w:rPr>
            </w:pPr>
            <w:r>
              <w:rPr>
                <w:sz w:val="22"/>
              </w:rPr>
              <w:t>网址：</w:t>
            </w:r>
            <w:hyperlink r:id="rId58">
              <w:r>
                <w:rPr>
                  <w:rFonts w:ascii="Arial" w:eastAsia="Arial"/>
                  <w:sz w:val="22"/>
                </w:rPr>
                <w:t>www.foundersc.com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52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天相投资顾问有限公司</w:t>
            </w:r>
          </w:p>
        </w:tc>
        <w:tc>
          <w:tcPr>
            <w:tcW w:w="3848" w:type="dxa"/>
          </w:tcPr>
          <w:p>
            <w:pPr>
              <w:pStyle w:val="TableParagraph"/>
              <w:spacing w:line="266" w:lineRule="auto" w:before="15"/>
              <w:ind w:left="1033" w:right="14" w:hanging="927"/>
              <w:rPr>
                <w:rFonts w:ascii="Arial" w:eastAsia="Arial"/>
                <w:sz w:val="22"/>
              </w:rPr>
            </w:pPr>
            <w:r>
              <w:rPr>
                <w:sz w:val="22"/>
              </w:rPr>
              <w:t>注册地址：北京市西城区金融街 </w:t>
            </w:r>
            <w:r>
              <w:rPr>
                <w:rFonts w:ascii="Arial" w:eastAsia="Arial"/>
                <w:sz w:val="22"/>
              </w:rPr>
              <w:t>19 </w:t>
            </w:r>
            <w:r>
              <w:rPr>
                <w:sz w:val="22"/>
              </w:rPr>
              <w:t>号富凯大厦 </w:t>
            </w:r>
            <w:r>
              <w:rPr>
                <w:rFonts w:ascii="Arial" w:eastAsia="Arial"/>
                <w:sz w:val="22"/>
              </w:rPr>
              <w:t>B </w:t>
            </w:r>
            <w:r>
              <w:rPr>
                <w:sz w:val="22"/>
              </w:rPr>
              <w:t>座 </w:t>
            </w:r>
            <w:r>
              <w:rPr>
                <w:rFonts w:ascii="Arial" w:eastAsia="Arial"/>
                <w:sz w:val="22"/>
              </w:rPr>
              <w:t>701</w:t>
            </w:r>
          </w:p>
          <w:p>
            <w:pPr>
              <w:pStyle w:val="TableParagraph"/>
              <w:spacing w:line="280" w:lineRule="exact"/>
              <w:ind w:left="107"/>
              <w:rPr>
                <w:sz w:val="22"/>
              </w:rPr>
            </w:pPr>
            <w:r>
              <w:rPr>
                <w:spacing w:val="-12"/>
                <w:sz w:val="22"/>
              </w:rPr>
              <w:t>办公地址：北京市西城区新街口外大街</w:t>
            </w:r>
          </w:p>
          <w:p>
            <w:pPr>
              <w:pStyle w:val="TableParagraph"/>
              <w:spacing w:line="266" w:lineRule="auto" w:before="30"/>
              <w:ind w:left="932" w:right="920" w:firstLine="259"/>
              <w:rPr>
                <w:sz w:val="22"/>
              </w:rPr>
            </w:pPr>
            <w:r>
              <w:rPr>
                <w:rFonts w:ascii="Arial" w:eastAsia="Arial"/>
                <w:sz w:val="22"/>
              </w:rPr>
              <w:t>28 </w:t>
            </w:r>
            <w:r>
              <w:rPr>
                <w:sz w:val="22"/>
              </w:rPr>
              <w:t>号 </w:t>
            </w:r>
            <w:r>
              <w:rPr>
                <w:rFonts w:ascii="Arial" w:eastAsia="Arial"/>
                <w:sz w:val="22"/>
              </w:rPr>
              <w:t>C </w:t>
            </w:r>
            <w:r>
              <w:rPr>
                <w:spacing w:val="-42"/>
                <w:sz w:val="22"/>
              </w:rPr>
              <w:t>座 </w:t>
            </w:r>
            <w:r>
              <w:rPr>
                <w:rFonts w:ascii="Arial" w:eastAsia="Arial"/>
                <w:sz w:val="22"/>
              </w:rPr>
              <w:t>5 </w:t>
            </w:r>
            <w:r>
              <w:rPr>
                <w:sz w:val="22"/>
              </w:rPr>
              <w:t>层法</w:t>
            </w:r>
            <w:r>
              <w:rPr>
                <w:spacing w:val="-4"/>
                <w:sz w:val="22"/>
              </w:rPr>
              <w:t>定代表人：林义相</w:t>
            </w:r>
          </w:p>
          <w:p>
            <w:pPr>
              <w:pStyle w:val="TableParagraph"/>
              <w:spacing w:line="281" w:lineRule="exact"/>
              <w:ind w:left="1261"/>
              <w:rPr>
                <w:sz w:val="22"/>
              </w:rPr>
            </w:pPr>
            <w:r>
              <w:rPr>
                <w:sz w:val="22"/>
              </w:rPr>
              <w:t>联系人：尹伶</w:t>
            </w:r>
          </w:p>
          <w:p>
            <w:pPr>
              <w:pStyle w:val="TableParagraph"/>
              <w:spacing w:line="266" w:lineRule="auto" w:before="30"/>
              <w:ind w:left="882" w:right="872"/>
              <w:jc w:val="center"/>
              <w:rPr>
                <w:rFonts w:ascii="Arial" w:eastAsia="Arial"/>
                <w:sz w:val="22"/>
              </w:rPr>
            </w:pPr>
            <w:r>
              <w:rPr>
                <w:sz w:val="22"/>
              </w:rPr>
              <w:t>电话：</w:t>
            </w:r>
            <w:r>
              <w:rPr>
                <w:rFonts w:ascii="Arial" w:eastAsia="Arial"/>
                <w:sz w:val="22"/>
              </w:rPr>
              <w:t>010-66045529 </w:t>
            </w:r>
            <w:r>
              <w:rPr>
                <w:sz w:val="22"/>
              </w:rPr>
              <w:t>传真：</w:t>
            </w:r>
            <w:r>
              <w:rPr>
                <w:rFonts w:ascii="Arial" w:eastAsia="Arial"/>
                <w:sz w:val="22"/>
              </w:rPr>
              <w:t>010-66045518</w:t>
            </w:r>
          </w:p>
          <w:p>
            <w:pPr>
              <w:pStyle w:val="TableParagraph"/>
              <w:spacing w:line="280" w:lineRule="exact"/>
              <w:ind w:left="100" w:right="95"/>
              <w:jc w:val="center"/>
              <w:rPr>
                <w:rFonts w:ascii="Arial" w:eastAsia="Arial"/>
                <w:sz w:val="22"/>
              </w:rPr>
            </w:pPr>
            <w:r>
              <w:rPr>
                <w:sz w:val="22"/>
              </w:rPr>
              <w:t>客服热线：</w:t>
            </w:r>
            <w:r>
              <w:rPr>
                <w:rFonts w:ascii="Arial" w:eastAsia="Arial"/>
                <w:sz w:val="22"/>
              </w:rPr>
              <w:t>010-66045678</w:t>
            </w:r>
          </w:p>
          <w:p>
            <w:pPr>
              <w:pStyle w:val="TableParagraph"/>
              <w:spacing w:line="277" w:lineRule="exact" w:before="30"/>
              <w:ind w:left="99" w:right="95"/>
              <w:jc w:val="center"/>
              <w:rPr>
                <w:rFonts w:ascii="Arial" w:eastAsia="Arial"/>
                <w:sz w:val="22"/>
              </w:rPr>
            </w:pPr>
            <w:r>
              <w:rPr>
                <w:sz w:val="22"/>
              </w:rPr>
              <w:t>网址：</w:t>
            </w:r>
            <w:hyperlink r:id="rId59">
              <w:r>
                <w:rPr>
                  <w:rFonts w:ascii="Arial" w:eastAsia="Arial"/>
                  <w:sz w:val="22"/>
                </w:rPr>
                <w:t>www.txsec.com</w:t>
              </w:r>
            </w:hyperlink>
          </w:p>
        </w:tc>
      </w:tr>
      <w:tr>
        <w:trPr>
          <w:trHeight w:val="218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right="187"/>
              <w:jc w:val="right"/>
              <w:rPr>
                <w:rFonts w:ascii="Arial"/>
                <w:sz w:val="21"/>
              </w:rPr>
            </w:pPr>
            <w:r>
              <w:rPr>
                <w:rFonts w:ascii="Arial"/>
                <w:sz w:val="21"/>
              </w:rPr>
              <w:t>53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2" w:right="77"/>
              <w:jc w:val="center"/>
              <w:rPr>
                <w:sz w:val="22"/>
              </w:rPr>
            </w:pPr>
            <w:r>
              <w:rPr>
                <w:sz w:val="22"/>
              </w:rPr>
              <w:t>西部证券股份有限公司</w:t>
            </w:r>
          </w:p>
        </w:tc>
        <w:tc>
          <w:tcPr>
            <w:tcW w:w="3848" w:type="dxa"/>
          </w:tcPr>
          <w:p>
            <w:pPr>
              <w:pStyle w:val="TableParagraph"/>
              <w:spacing w:line="266" w:lineRule="auto" w:before="17"/>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地址：西安市新城区东新</w:t>
            </w:r>
            <w:r>
              <w:rPr>
                <w:spacing w:val="-28"/>
                <w:sz w:val="22"/>
              </w:rPr>
              <w:t>街 </w:t>
            </w:r>
            <w:r>
              <w:rPr>
                <w:rFonts w:ascii="Arial" w:eastAsia="Arial"/>
                <w:sz w:val="22"/>
              </w:rPr>
              <w:t>319 </w:t>
            </w:r>
            <w:r>
              <w:rPr>
                <w:spacing w:val="-28"/>
                <w:sz w:val="22"/>
              </w:rPr>
              <w:t>号 </w:t>
            </w:r>
            <w:r>
              <w:rPr>
                <w:rFonts w:ascii="Arial" w:eastAsia="Arial"/>
                <w:sz w:val="22"/>
              </w:rPr>
              <w:t>7 </w:t>
            </w:r>
            <w:r>
              <w:rPr>
                <w:spacing w:val="-28"/>
                <w:sz w:val="22"/>
              </w:rPr>
              <w:t>幢 </w:t>
            </w:r>
            <w:r>
              <w:rPr>
                <w:rFonts w:ascii="Arial" w:eastAsia="Arial"/>
                <w:sz w:val="22"/>
              </w:rPr>
              <w:t>10000 </w:t>
            </w:r>
            <w:r>
              <w:rPr>
                <w:sz w:val="22"/>
              </w:rPr>
              <w:t>室</w:t>
            </w:r>
          </w:p>
          <w:p>
            <w:pPr>
              <w:pStyle w:val="TableParagraph"/>
              <w:spacing w:line="266" w:lineRule="auto"/>
              <w:ind w:left="932" w:right="920"/>
              <w:jc w:val="center"/>
              <w:rPr>
                <w:sz w:val="22"/>
              </w:rPr>
            </w:pPr>
            <w:r>
              <w:rPr>
                <w:sz w:val="22"/>
              </w:rPr>
              <w:t>法定代表人：徐朝晖联系人：梁承华</w:t>
            </w:r>
          </w:p>
          <w:p>
            <w:pPr>
              <w:pStyle w:val="TableParagraph"/>
              <w:spacing w:line="280" w:lineRule="exact"/>
              <w:ind w:left="100" w:right="95"/>
              <w:jc w:val="center"/>
              <w:rPr>
                <w:rFonts w:ascii="Arial" w:eastAsia="Arial"/>
                <w:sz w:val="22"/>
              </w:rPr>
            </w:pPr>
            <w:r>
              <w:rPr>
                <w:sz w:val="22"/>
              </w:rPr>
              <w:t>联系方式：</w:t>
            </w:r>
            <w:r>
              <w:rPr>
                <w:rFonts w:ascii="Arial" w:eastAsia="Arial"/>
                <w:sz w:val="22"/>
              </w:rPr>
              <w:t>029-87211526</w:t>
            </w:r>
          </w:p>
          <w:p>
            <w:pPr>
              <w:pStyle w:val="TableParagraph"/>
              <w:spacing w:before="29"/>
              <w:ind w:left="105" w:right="95"/>
              <w:jc w:val="center"/>
              <w:rPr>
                <w:rFonts w:ascii="Arial" w:eastAsia="Arial"/>
                <w:sz w:val="22"/>
              </w:rPr>
            </w:pPr>
            <w:r>
              <w:rPr>
                <w:sz w:val="22"/>
              </w:rPr>
              <w:t>客服热线：</w:t>
            </w:r>
            <w:r>
              <w:rPr>
                <w:rFonts w:ascii="Arial" w:eastAsia="Arial"/>
                <w:sz w:val="22"/>
              </w:rPr>
              <w:t>95582</w:t>
            </w:r>
          </w:p>
          <w:p>
            <w:pPr>
              <w:pStyle w:val="TableParagraph"/>
              <w:spacing w:line="277" w:lineRule="exact" w:before="30"/>
              <w:ind w:left="105" w:right="95"/>
              <w:jc w:val="center"/>
              <w:rPr>
                <w:rFonts w:ascii="Arial" w:eastAsia="Arial"/>
                <w:sz w:val="22"/>
              </w:rPr>
            </w:pPr>
            <w:r>
              <w:rPr>
                <w:sz w:val="22"/>
              </w:rPr>
              <w:t>网址：</w:t>
            </w:r>
            <w:hyperlink r:id="rId60">
              <w:r>
                <w:rPr>
                  <w:rFonts w:ascii="Arial" w:eastAsia="Arial"/>
                  <w:sz w:val="22"/>
                </w:rPr>
                <w:t>www.westsecu.com.cn</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54</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华宝证券有限责任公司</w:t>
            </w:r>
          </w:p>
        </w:tc>
        <w:tc>
          <w:tcPr>
            <w:tcW w:w="3848" w:type="dxa"/>
            <w:tcBorders>
              <w:top w:val="nil"/>
            </w:tcBorders>
          </w:tcPr>
          <w:p>
            <w:pPr>
              <w:pStyle w:val="TableParagraph"/>
              <w:spacing w:line="266" w:lineRule="auto" w:before="15"/>
              <w:ind w:left="107" w:right="94" w:hanging="1"/>
              <w:jc w:val="center"/>
              <w:rPr>
                <w:sz w:val="22"/>
              </w:rPr>
            </w:pPr>
            <w:r>
              <w:rPr>
                <w:spacing w:val="-18"/>
                <w:sz w:val="22"/>
              </w:rPr>
              <w:t>注册</w:t>
            </w:r>
            <w:r>
              <w:rPr>
                <w:sz w:val="22"/>
              </w:rPr>
              <w:t>（</w:t>
            </w:r>
            <w:r>
              <w:rPr>
                <w:spacing w:val="-2"/>
                <w:sz w:val="22"/>
              </w:rPr>
              <w:t>办公</w:t>
            </w:r>
            <w:r>
              <w:rPr>
                <w:spacing w:val="-39"/>
                <w:sz w:val="22"/>
              </w:rPr>
              <w:t>）</w:t>
            </w:r>
            <w:r>
              <w:rPr>
                <w:spacing w:val="-8"/>
                <w:sz w:val="22"/>
              </w:rPr>
              <w:t>地址：上海市浦东新区世</w:t>
            </w:r>
            <w:r>
              <w:rPr>
                <w:spacing w:val="-18"/>
                <w:sz w:val="22"/>
              </w:rPr>
              <w:t>纪大道 </w:t>
            </w:r>
            <w:r>
              <w:rPr>
                <w:rFonts w:ascii="Arial" w:eastAsia="Arial"/>
                <w:sz w:val="22"/>
              </w:rPr>
              <w:t>100 </w:t>
            </w:r>
            <w:r>
              <w:rPr>
                <w:spacing w:val="-10"/>
                <w:sz w:val="22"/>
              </w:rPr>
              <w:t>号上海环球金融中心 </w:t>
            </w:r>
            <w:r>
              <w:rPr>
                <w:rFonts w:ascii="Arial" w:eastAsia="Arial"/>
                <w:sz w:val="22"/>
              </w:rPr>
              <w:t>57 </w:t>
            </w:r>
            <w:r>
              <w:rPr>
                <w:spacing w:val="-13"/>
                <w:sz w:val="22"/>
              </w:rPr>
              <w:t>层</w:t>
            </w:r>
            <w:r>
              <w:rPr>
                <w:spacing w:val="-2"/>
                <w:sz w:val="22"/>
              </w:rPr>
              <w:t>法定代表人：陈林</w:t>
            </w:r>
          </w:p>
          <w:p>
            <w:pPr>
              <w:pStyle w:val="TableParagraph"/>
              <w:spacing w:line="266" w:lineRule="auto"/>
              <w:ind w:left="882" w:right="872" w:firstLine="268"/>
              <w:rPr>
                <w:rFonts w:ascii="Arial" w:eastAsia="Arial"/>
                <w:sz w:val="22"/>
              </w:rPr>
            </w:pPr>
            <w:r>
              <w:rPr>
                <w:spacing w:val="-1"/>
                <w:sz w:val="22"/>
              </w:rPr>
              <w:t>联系人：刘闻川 电话：</w:t>
            </w:r>
            <w:r>
              <w:rPr>
                <w:rFonts w:ascii="Arial" w:eastAsia="Arial"/>
                <w:spacing w:val="-1"/>
                <w:sz w:val="22"/>
              </w:rPr>
              <w:t>021-68778808 </w:t>
            </w:r>
            <w:r>
              <w:rPr>
                <w:spacing w:val="-1"/>
                <w:sz w:val="22"/>
              </w:rPr>
              <w:t>传真：</w:t>
            </w:r>
            <w:r>
              <w:rPr>
                <w:rFonts w:ascii="Arial" w:eastAsia="Arial"/>
                <w:spacing w:val="-1"/>
                <w:sz w:val="22"/>
              </w:rPr>
              <w:t>021-68778108</w:t>
            </w:r>
          </w:p>
          <w:p>
            <w:pPr>
              <w:pStyle w:val="TableParagraph"/>
              <w:spacing w:line="279" w:lineRule="exact"/>
              <w:ind w:left="620"/>
              <w:rPr>
                <w:rFonts w:ascii="Arial" w:eastAsia="Arial"/>
                <w:sz w:val="22"/>
              </w:rPr>
            </w:pPr>
            <w:r>
              <w:rPr>
                <w:spacing w:val="-2"/>
                <w:sz w:val="22"/>
              </w:rPr>
              <w:t>客户服务电话</w:t>
            </w:r>
            <w:r>
              <w:rPr>
                <w:rFonts w:ascii="Arial" w:eastAsia="Arial"/>
                <w:spacing w:val="-1"/>
                <w:sz w:val="22"/>
              </w:rPr>
              <w:t>:4008209898</w:t>
            </w:r>
          </w:p>
          <w:p>
            <w:pPr>
              <w:pStyle w:val="TableParagraph"/>
              <w:spacing w:line="277" w:lineRule="exact" w:before="28"/>
              <w:ind w:left="589"/>
              <w:rPr>
                <w:rFonts w:ascii="Arial" w:eastAsia="Arial"/>
                <w:sz w:val="22"/>
              </w:rPr>
            </w:pPr>
            <w:r>
              <w:rPr>
                <w:spacing w:val="-1"/>
                <w:sz w:val="22"/>
              </w:rPr>
              <w:t>网址：</w:t>
            </w:r>
            <w:hyperlink r:id="rId61">
              <w:r>
                <w:rPr>
                  <w:rFonts w:ascii="Arial" w:eastAsia="Arial"/>
                  <w:spacing w:val="-1"/>
                  <w:sz w:val="22"/>
                </w:rPr>
                <w:t>www.cnhbstock.com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55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爱建证券有限责任公司</w:t>
            </w:r>
          </w:p>
        </w:tc>
        <w:tc>
          <w:tcPr>
            <w:tcW w:w="3848" w:type="dxa"/>
          </w:tcPr>
          <w:p>
            <w:pPr>
              <w:pStyle w:val="TableParagraph"/>
              <w:spacing w:before="15"/>
              <w:ind w:left="102" w:right="95"/>
              <w:jc w:val="center"/>
              <w:rPr>
                <w:sz w:val="22"/>
              </w:rPr>
            </w:pPr>
            <w:r>
              <w:rPr>
                <w:sz w:val="22"/>
              </w:rPr>
              <w:t>注册（办公）地址：上海市南京西路</w:t>
            </w:r>
          </w:p>
          <w:p>
            <w:pPr>
              <w:pStyle w:val="TableParagraph"/>
              <w:spacing w:before="30"/>
              <w:ind w:left="105" w:right="95"/>
              <w:jc w:val="center"/>
              <w:rPr>
                <w:sz w:val="22"/>
              </w:rPr>
            </w:pPr>
            <w:r>
              <w:rPr>
                <w:rFonts w:ascii="Arial" w:eastAsia="Arial"/>
                <w:sz w:val="22"/>
              </w:rPr>
              <w:t>758 </w:t>
            </w:r>
            <w:r>
              <w:rPr>
                <w:sz w:val="22"/>
              </w:rPr>
              <w:t>号 </w:t>
            </w:r>
            <w:r>
              <w:rPr>
                <w:rFonts w:ascii="Arial" w:eastAsia="Arial"/>
                <w:sz w:val="22"/>
              </w:rPr>
              <w:t>24 </w:t>
            </w:r>
            <w:r>
              <w:rPr>
                <w:sz w:val="22"/>
              </w:rPr>
              <w:t>楼</w:t>
            </w:r>
          </w:p>
          <w:p>
            <w:pPr>
              <w:pStyle w:val="TableParagraph"/>
              <w:spacing w:line="266" w:lineRule="auto" w:before="30"/>
              <w:ind w:left="932" w:right="920"/>
              <w:jc w:val="center"/>
              <w:rPr>
                <w:sz w:val="22"/>
              </w:rPr>
            </w:pPr>
            <w:r>
              <w:rPr>
                <w:sz w:val="22"/>
              </w:rPr>
              <w:t>法定代表人：宫龙云联系人：陈敏</w:t>
            </w:r>
          </w:p>
          <w:p>
            <w:pPr>
              <w:pStyle w:val="TableParagraph"/>
              <w:spacing w:line="266" w:lineRule="auto"/>
              <w:ind w:left="882" w:right="872"/>
              <w:jc w:val="center"/>
              <w:rPr>
                <w:rFonts w:ascii="Arial" w:eastAsia="Arial"/>
                <w:sz w:val="22"/>
              </w:rPr>
            </w:pPr>
            <w:r>
              <w:rPr>
                <w:sz w:val="22"/>
              </w:rPr>
              <w:t>电话：</w:t>
            </w:r>
            <w:r>
              <w:rPr>
                <w:rFonts w:ascii="Arial" w:eastAsia="Arial"/>
                <w:sz w:val="22"/>
              </w:rPr>
              <w:t>021-32229888 </w:t>
            </w:r>
            <w:r>
              <w:rPr>
                <w:sz w:val="22"/>
              </w:rPr>
              <w:t>传真：</w:t>
            </w:r>
            <w:r>
              <w:rPr>
                <w:rFonts w:ascii="Arial" w:eastAsia="Arial"/>
                <w:sz w:val="22"/>
              </w:rPr>
              <w:t>021-68728703</w:t>
            </w:r>
          </w:p>
          <w:p>
            <w:pPr>
              <w:pStyle w:val="TableParagraph"/>
              <w:spacing w:line="280" w:lineRule="exact"/>
              <w:ind w:left="100" w:right="95"/>
              <w:jc w:val="center"/>
              <w:rPr>
                <w:rFonts w:ascii="Arial" w:eastAsia="Arial"/>
                <w:sz w:val="22"/>
              </w:rPr>
            </w:pPr>
            <w:r>
              <w:rPr>
                <w:sz w:val="22"/>
              </w:rPr>
              <w:t>客服热线：</w:t>
            </w:r>
            <w:r>
              <w:rPr>
                <w:rFonts w:ascii="Arial" w:eastAsia="Arial"/>
                <w:sz w:val="22"/>
              </w:rPr>
              <w:t>021-63340678</w:t>
            </w:r>
          </w:p>
          <w:p>
            <w:pPr>
              <w:pStyle w:val="TableParagraph"/>
              <w:spacing w:line="277" w:lineRule="exact" w:before="29"/>
              <w:ind w:left="101" w:right="95"/>
              <w:jc w:val="center"/>
              <w:rPr>
                <w:rFonts w:ascii="Arial" w:eastAsia="Arial"/>
                <w:sz w:val="22"/>
              </w:rPr>
            </w:pPr>
            <w:r>
              <w:rPr>
                <w:sz w:val="22"/>
              </w:rPr>
              <w:t>网址：</w:t>
            </w:r>
            <w:hyperlink r:id="rId62">
              <w:r>
                <w:rPr>
                  <w:rFonts w:ascii="Arial" w:eastAsia="Arial"/>
                  <w:sz w:val="22"/>
                </w:rPr>
                <w:t>www.ajzq.com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56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2" w:right="77"/>
              <w:jc w:val="center"/>
              <w:rPr>
                <w:sz w:val="22"/>
              </w:rPr>
            </w:pPr>
            <w:r>
              <w:rPr>
                <w:sz w:val="22"/>
              </w:rPr>
              <w:t>华福证券有限责任公司</w:t>
            </w:r>
          </w:p>
        </w:tc>
        <w:tc>
          <w:tcPr>
            <w:tcW w:w="3848" w:type="dxa"/>
          </w:tcPr>
          <w:p>
            <w:pPr>
              <w:pStyle w:val="TableParagraph"/>
              <w:spacing w:before="15"/>
              <w:ind w:left="10"/>
              <w:jc w:val="center"/>
              <w:rPr>
                <w:rFonts w:ascii="Arial" w:eastAsia="Arial"/>
                <w:sz w:val="22"/>
              </w:rPr>
            </w:pPr>
            <w:r>
              <w:rPr>
                <w:sz w:val="22"/>
              </w:rPr>
              <w:t>注册（办公）地址：福州市五四路 </w:t>
            </w:r>
            <w:r>
              <w:rPr>
                <w:rFonts w:ascii="Arial" w:eastAsia="Arial"/>
                <w:sz w:val="22"/>
              </w:rPr>
              <w:t>157</w:t>
            </w:r>
          </w:p>
          <w:p>
            <w:pPr>
              <w:pStyle w:val="TableParagraph"/>
              <w:spacing w:line="266" w:lineRule="auto" w:before="30"/>
              <w:ind w:left="836" w:right="823"/>
              <w:jc w:val="center"/>
              <w:rPr>
                <w:sz w:val="22"/>
              </w:rPr>
            </w:pPr>
            <w:r>
              <w:rPr>
                <w:sz w:val="22"/>
              </w:rPr>
              <w:t>号新天地大厦 </w:t>
            </w:r>
            <w:r>
              <w:rPr>
                <w:rFonts w:ascii="Arial" w:eastAsia="Arial"/>
                <w:sz w:val="22"/>
              </w:rPr>
              <w:t>7</w:t>
            </w:r>
            <w:r>
              <w:rPr>
                <w:sz w:val="22"/>
              </w:rPr>
              <w:t>、</w:t>
            </w:r>
            <w:r>
              <w:rPr>
                <w:rFonts w:ascii="Arial" w:eastAsia="Arial"/>
                <w:sz w:val="22"/>
              </w:rPr>
              <w:t>8 </w:t>
            </w:r>
            <w:r>
              <w:rPr>
                <w:sz w:val="22"/>
              </w:rPr>
              <w:t>层法定代表人：黄金琳联系人：张腾</w:t>
            </w:r>
          </w:p>
          <w:p>
            <w:pPr>
              <w:pStyle w:val="TableParagraph"/>
              <w:spacing w:line="266" w:lineRule="auto"/>
              <w:ind w:left="822" w:right="810"/>
              <w:jc w:val="center"/>
              <w:rPr>
                <w:rFonts w:ascii="Arial" w:eastAsia="Arial"/>
                <w:sz w:val="22"/>
              </w:rPr>
            </w:pPr>
            <w:r>
              <w:rPr>
                <w:sz w:val="22"/>
              </w:rPr>
              <w:t>电话：</w:t>
            </w:r>
            <w:r>
              <w:rPr>
                <w:rFonts w:ascii="Arial" w:eastAsia="Arial"/>
                <w:sz w:val="22"/>
              </w:rPr>
              <w:t>0591-87383623 </w:t>
            </w:r>
            <w:r>
              <w:rPr>
                <w:sz w:val="22"/>
              </w:rPr>
              <w:t>传真：</w:t>
            </w:r>
            <w:r>
              <w:rPr>
                <w:rFonts w:ascii="Arial" w:eastAsia="Arial"/>
                <w:sz w:val="22"/>
              </w:rPr>
              <w:t>0591-87383610</w:t>
            </w:r>
          </w:p>
          <w:p>
            <w:pPr>
              <w:pStyle w:val="TableParagraph"/>
              <w:spacing w:line="266" w:lineRule="auto"/>
              <w:ind w:left="73" w:right="61"/>
              <w:jc w:val="center"/>
              <w:rPr>
                <w:sz w:val="22"/>
              </w:rPr>
            </w:pPr>
            <w:r>
              <w:rPr>
                <w:sz w:val="22"/>
              </w:rPr>
              <w:t>客户服务电话：</w:t>
            </w:r>
            <w:r>
              <w:rPr>
                <w:rFonts w:ascii="Arial" w:eastAsia="Arial"/>
                <w:sz w:val="22"/>
              </w:rPr>
              <w:t>96326</w:t>
            </w:r>
            <w:r>
              <w:rPr>
                <w:sz w:val="22"/>
              </w:rPr>
              <w:t>（福建省外请加拨 </w:t>
            </w:r>
            <w:r>
              <w:rPr>
                <w:rFonts w:ascii="Arial" w:eastAsia="Arial"/>
                <w:sz w:val="22"/>
              </w:rPr>
              <w:t>0591</w:t>
            </w:r>
            <w:r>
              <w:rPr>
                <w:sz w:val="22"/>
              </w:rPr>
              <w:t>）</w:t>
            </w:r>
          </w:p>
          <w:p>
            <w:pPr>
              <w:pStyle w:val="TableParagraph"/>
              <w:spacing w:line="275" w:lineRule="exact"/>
              <w:ind w:left="104" w:right="95"/>
              <w:jc w:val="center"/>
              <w:rPr>
                <w:rFonts w:ascii="Arial" w:eastAsia="Arial"/>
                <w:sz w:val="22"/>
              </w:rPr>
            </w:pPr>
            <w:r>
              <w:rPr>
                <w:sz w:val="22"/>
              </w:rPr>
              <w:t>网址：</w:t>
            </w:r>
            <w:hyperlink r:id="rId63">
              <w:r>
                <w:rPr>
                  <w:rFonts w:ascii="Arial" w:eastAsia="Arial"/>
                  <w:sz w:val="22"/>
                </w:rPr>
                <w:t>www.hfzq.com.cn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57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信达证券股份有限公司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地址：北京市西城区闹市</w:t>
            </w:r>
            <w:r>
              <w:rPr>
                <w:spacing w:val="-14"/>
                <w:sz w:val="22"/>
              </w:rPr>
              <w:t>口大街 </w:t>
            </w:r>
            <w:r>
              <w:rPr>
                <w:rFonts w:ascii="Arial" w:eastAsia="Arial"/>
                <w:sz w:val="22"/>
              </w:rPr>
              <w:t>9 </w:t>
            </w:r>
            <w:r>
              <w:rPr>
                <w:spacing w:val="-20"/>
                <w:sz w:val="22"/>
              </w:rPr>
              <w:t>号院 </w:t>
            </w:r>
            <w:r>
              <w:rPr>
                <w:rFonts w:ascii="Arial" w:eastAsia="Arial"/>
                <w:sz w:val="22"/>
              </w:rPr>
              <w:t>1 </w:t>
            </w:r>
            <w:r>
              <w:rPr>
                <w:spacing w:val="-3"/>
                <w:sz w:val="22"/>
              </w:rPr>
              <w:t>号楼</w:t>
            </w:r>
          </w:p>
          <w:p>
            <w:pPr>
              <w:pStyle w:val="TableParagraph"/>
              <w:spacing w:line="266" w:lineRule="auto"/>
              <w:ind w:left="930" w:right="923"/>
              <w:jc w:val="center"/>
              <w:rPr>
                <w:sz w:val="22"/>
              </w:rPr>
            </w:pPr>
            <w:r>
              <w:rPr>
                <w:sz w:val="22"/>
              </w:rPr>
              <w:t>法定代表人：张志刚联系人：唐静</w:t>
            </w:r>
          </w:p>
          <w:p>
            <w:pPr>
              <w:pStyle w:val="TableParagraph"/>
              <w:spacing w:line="266" w:lineRule="auto"/>
              <w:ind w:left="882" w:right="872"/>
              <w:jc w:val="center"/>
              <w:rPr>
                <w:rFonts w:ascii="Arial" w:eastAsia="Arial"/>
                <w:sz w:val="22"/>
              </w:rPr>
            </w:pPr>
            <w:r>
              <w:rPr>
                <w:sz w:val="22"/>
              </w:rPr>
              <w:t>电话：</w:t>
            </w:r>
            <w:r>
              <w:rPr>
                <w:rFonts w:ascii="Arial" w:eastAsia="Arial"/>
                <w:sz w:val="22"/>
              </w:rPr>
              <w:t>010-63081000 </w:t>
            </w:r>
            <w:r>
              <w:rPr>
                <w:sz w:val="22"/>
              </w:rPr>
              <w:t>传真：</w:t>
            </w:r>
            <w:r>
              <w:rPr>
                <w:rFonts w:ascii="Arial" w:eastAsia="Arial"/>
                <w:sz w:val="22"/>
              </w:rPr>
              <w:t>010-63080978</w:t>
            </w:r>
          </w:p>
          <w:p>
            <w:pPr>
              <w:pStyle w:val="TableParagraph"/>
              <w:spacing w:line="280" w:lineRule="exact"/>
              <w:ind w:left="105" w:right="95"/>
              <w:jc w:val="center"/>
              <w:rPr>
                <w:rFonts w:ascii="Arial" w:eastAsia="Arial"/>
                <w:sz w:val="22"/>
              </w:rPr>
            </w:pPr>
            <w:r>
              <w:rPr>
                <w:sz w:val="22"/>
              </w:rPr>
              <w:t>客服热线：</w:t>
            </w:r>
            <w:r>
              <w:rPr>
                <w:rFonts w:ascii="Arial" w:eastAsia="Arial"/>
                <w:sz w:val="22"/>
              </w:rPr>
              <w:t>95321</w:t>
            </w:r>
          </w:p>
          <w:p>
            <w:pPr>
              <w:pStyle w:val="TableParagraph"/>
              <w:spacing w:line="277" w:lineRule="exact" w:before="27"/>
              <w:ind w:left="101" w:right="95"/>
              <w:jc w:val="center"/>
              <w:rPr>
                <w:rFonts w:ascii="Arial" w:eastAsia="Arial"/>
                <w:sz w:val="22"/>
              </w:rPr>
            </w:pPr>
            <w:r>
              <w:rPr>
                <w:sz w:val="22"/>
              </w:rPr>
              <w:t>网址：</w:t>
            </w:r>
            <w:hyperlink r:id="rId64">
              <w:r>
                <w:rPr>
                  <w:rFonts w:ascii="Arial" w:eastAsia="Arial"/>
                  <w:sz w:val="22"/>
                </w:rPr>
                <w:t>www.cindasc.com</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87"/>
              <w:jc w:val="right"/>
              <w:rPr>
                <w:rFonts w:ascii="Arial"/>
                <w:sz w:val="21"/>
              </w:rPr>
            </w:pPr>
            <w:r>
              <w:rPr>
                <w:rFonts w:ascii="Arial"/>
                <w:sz w:val="21"/>
              </w:rPr>
              <w:t>58</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2" w:right="77"/>
              <w:jc w:val="center"/>
              <w:rPr>
                <w:sz w:val="22"/>
              </w:rPr>
            </w:pPr>
            <w:r>
              <w:rPr>
                <w:sz w:val="22"/>
              </w:rPr>
              <w:t>英大证券有限责任公司</w:t>
            </w:r>
          </w:p>
        </w:tc>
        <w:tc>
          <w:tcPr>
            <w:tcW w:w="3848" w:type="dxa"/>
          </w:tcPr>
          <w:p>
            <w:pPr>
              <w:pStyle w:val="TableParagraph"/>
              <w:spacing w:line="266" w:lineRule="auto" w:before="17"/>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地址：深圳市福田区深南</w:t>
            </w:r>
            <w:r>
              <w:rPr>
                <w:spacing w:val="-3"/>
                <w:sz w:val="22"/>
              </w:rPr>
              <w:t>中路华能大厦三十、三十一层</w:t>
            </w:r>
          </w:p>
          <w:p>
            <w:pPr>
              <w:pStyle w:val="TableParagraph"/>
              <w:spacing w:line="266" w:lineRule="auto"/>
              <w:ind w:left="1043" w:right="1031"/>
              <w:jc w:val="center"/>
              <w:rPr>
                <w:sz w:val="22"/>
              </w:rPr>
            </w:pPr>
            <w:r>
              <w:rPr>
                <w:sz w:val="22"/>
              </w:rPr>
              <w:t>法定代表人：吴骏联系人：杨洪飞</w:t>
            </w:r>
          </w:p>
          <w:p>
            <w:pPr>
              <w:pStyle w:val="TableParagraph"/>
              <w:spacing w:line="266" w:lineRule="auto"/>
              <w:ind w:left="822" w:right="810"/>
              <w:jc w:val="center"/>
              <w:rPr>
                <w:rFonts w:ascii="Arial" w:eastAsia="Arial"/>
                <w:sz w:val="22"/>
              </w:rPr>
            </w:pPr>
            <w:r>
              <w:rPr>
                <w:sz w:val="22"/>
              </w:rPr>
              <w:t>电话：</w:t>
            </w:r>
            <w:r>
              <w:rPr>
                <w:rFonts w:ascii="Arial" w:eastAsia="Arial"/>
                <w:sz w:val="22"/>
              </w:rPr>
              <w:t>0755-83007323 </w:t>
            </w:r>
            <w:r>
              <w:rPr>
                <w:sz w:val="22"/>
              </w:rPr>
              <w:t>传真：</w:t>
            </w:r>
            <w:r>
              <w:rPr>
                <w:rFonts w:ascii="Arial" w:eastAsia="Arial"/>
                <w:sz w:val="22"/>
              </w:rPr>
              <w:t>0755-83007034</w:t>
            </w:r>
          </w:p>
          <w:p>
            <w:pPr>
              <w:pStyle w:val="TableParagraph"/>
              <w:spacing w:line="280" w:lineRule="exact"/>
              <w:ind w:left="105" w:right="95"/>
              <w:jc w:val="center"/>
              <w:rPr>
                <w:rFonts w:ascii="Arial" w:eastAsia="Arial"/>
                <w:sz w:val="22"/>
              </w:rPr>
            </w:pPr>
            <w:r>
              <w:rPr>
                <w:spacing w:val="-1"/>
                <w:sz w:val="22"/>
              </w:rPr>
              <w:t>客服热线：</w:t>
            </w:r>
            <w:r>
              <w:rPr>
                <w:rFonts w:ascii="Arial" w:eastAsia="Arial"/>
                <w:sz w:val="22"/>
              </w:rPr>
              <w:t>4000</w:t>
            </w:r>
            <w:r>
              <w:rPr>
                <w:rFonts w:ascii="Arial" w:eastAsia="Arial"/>
                <w:spacing w:val="2"/>
                <w:sz w:val="22"/>
              </w:rPr>
              <w:t> </w:t>
            </w:r>
            <w:r>
              <w:rPr>
                <w:rFonts w:ascii="Arial" w:eastAsia="Arial"/>
                <w:sz w:val="22"/>
              </w:rPr>
              <w:t>188</w:t>
            </w:r>
            <w:r>
              <w:rPr>
                <w:rFonts w:ascii="Arial" w:eastAsia="Arial"/>
                <w:spacing w:val="1"/>
                <w:sz w:val="22"/>
              </w:rPr>
              <w:t> </w:t>
            </w:r>
            <w:r>
              <w:rPr>
                <w:rFonts w:ascii="Arial" w:eastAsia="Arial"/>
                <w:sz w:val="22"/>
              </w:rPr>
              <w:t>688</w:t>
            </w:r>
          </w:p>
          <w:p>
            <w:pPr>
              <w:pStyle w:val="TableParagraph"/>
              <w:spacing w:line="277" w:lineRule="exact" w:before="27"/>
              <w:ind w:left="100" w:right="95"/>
              <w:jc w:val="center"/>
              <w:rPr>
                <w:rFonts w:ascii="Arial" w:eastAsia="Arial"/>
                <w:sz w:val="22"/>
              </w:rPr>
            </w:pPr>
            <w:r>
              <w:rPr>
                <w:spacing w:val="-2"/>
                <w:sz w:val="22"/>
              </w:rPr>
              <w:t>网址： </w:t>
            </w:r>
            <w:hyperlink r:id="rId65">
              <w:r>
                <w:rPr>
                  <w:rFonts w:ascii="Arial" w:eastAsia="Arial"/>
                  <w:sz w:val="22"/>
                </w:rPr>
                <w:t>www.ydsc.com.cn</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184"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87"/>
              <w:jc w:val="right"/>
              <w:rPr>
                <w:rFonts w:ascii="Arial"/>
                <w:sz w:val="21"/>
              </w:rPr>
            </w:pPr>
            <w:r>
              <w:rPr>
                <w:rFonts w:ascii="Arial"/>
                <w:sz w:val="21"/>
              </w:rPr>
              <w:t>59</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2" w:right="77"/>
              <w:jc w:val="center"/>
              <w:rPr>
                <w:sz w:val="22"/>
              </w:rPr>
            </w:pPr>
            <w:r>
              <w:rPr>
                <w:sz w:val="22"/>
              </w:rPr>
              <w:t>华泰证券股份有限公司</w:t>
            </w:r>
          </w:p>
        </w:tc>
        <w:tc>
          <w:tcPr>
            <w:tcW w:w="3848" w:type="dxa"/>
            <w:tcBorders>
              <w:top w:val="nil"/>
            </w:tcBorders>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地址：江苏省南京市江东</w:t>
            </w:r>
            <w:r>
              <w:rPr>
                <w:spacing w:val="-19"/>
                <w:sz w:val="22"/>
              </w:rPr>
              <w:t>中路 </w:t>
            </w:r>
            <w:r>
              <w:rPr>
                <w:rFonts w:ascii="Arial" w:eastAsia="Arial"/>
                <w:sz w:val="22"/>
              </w:rPr>
              <w:t>228 </w:t>
            </w:r>
            <w:r>
              <w:rPr>
                <w:sz w:val="22"/>
              </w:rPr>
              <w:t>号</w:t>
            </w:r>
          </w:p>
          <w:p>
            <w:pPr>
              <w:pStyle w:val="TableParagraph"/>
              <w:spacing w:line="266" w:lineRule="auto"/>
              <w:ind w:left="1043" w:right="1031"/>
              <w:jc w:val="center"/>
              <w:rPr>
                <w:sz w:val="22"/>
              </w:rPr>
            </w:pPr>
            <w:r>
              <w:rPr>
                <w:sz w:val="22"/>
              </w:rPr>
              <w:t>法定代表人：张伟联系人：庞晓芸</w:t>
            </w:r>
          </w:p>
          <w:p>
            <w:pPr>
              <w:pStyle w:val="TableParagraph"/>
              <w:spacing w:line="280" w:lineRule="exact"/>
              <w:ind w:left="105" w:right="95"/>
              <w:jc w:val="center"/>
              <w:rPr>
                <w:rFonts w:ascii="Arial" w:eastAsia="Arial"/>
                <w:sz w:val="22"/>
              </w:rPr>
            </w:pPr>
            <w:r>
              <w:rPr>
                <w:sz w:val="22"/>
              </w:rPr>
              <w:t>电话：</w:t>
            </w:r>
            <w:r>
              <w:rPr>
                <w:rFonts w:ascii="Arial" w:eastAsia="Arial"/>
                <w:sz w:val="22"/>
              </w:rPr>
              <w:t>0755-82492193</w:t>
            </w:r>
          </w:p>
          <w:p>
            <w:pPr>
              <w:pStyle w:val="TableParagraph"/>
              <w:spacing w:line="310" w:lineRule="atLeast" w:before="1"/>
              <w:ind w:left="736" w:right="726" w:firstLine="2"/>
              <w:jc w:val="center"/>
              <w:rPr>
                <w:rFonts w:ascii="Arial" w:eastAsia="Arial"/>
                <w:sz w:val="22"/>
              </w:rPr>
            </w:pPr>
            <w:r>
              <w:rPr>
                <w:spacing w:val="-1"/>
                <w:sz w:val="22"/>
              </w:rPr>
              <w:t>客户服务电话：</w:t>
            </w:r>
            <w:r>
              <w:rPr>
                <w:rFonts w:ascii="Arial" w:eastAsia="Arial"/>
                <w:sz w:val="22"/>
              </w:rPr>
              <w:t>95597 </w:t>
            </w:r>
            <w:r>
              <w:rPr>
                <w:spacing w:val="-1"/>
                <w:sz w:val="22"/>
              </w:rPr>
              <w:t>网址：</w:t>
            </w:r>
            <w:hyperlink r:id="rId66">
              <w:r>
                <w:rPr>
                  <w:rFonts w:ascii="Arial" w:eastAsia="Arial"/>
                  <w:spacing w:val="-1"/>
                  <w:sz w:val="22"/>
                </w:rPr>
                <w:t>www.htsc.com.cn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60</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华龙证券股份有限公司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地址：兰州市城关区东岗</w:t>
            </w:r>
            <w:r>
              <w:rPr>
                <w:spacing w:val="-19"/>
                <w:sz w:val="22"/>
              </w:rPr>
              <w:t>西路 </w:t>
            </w:r>
            <w:r>
              <w:rPr>
                <w:rFonts w:ascii="Arial" w:eastAsia="Arial"/>
                <w:sz w:val="22"/>
              </w:rPr>
              <w:t>638 </w:t>
            </w:r>
            <w:r>
              <w:rPr>
                <w:spacing w:val="-3"/>
                <w:sz w:val="22"/>
              </w:rPr>
              <w:t>号兰州财富中心</w:t>
            </w:r>
          </w:p>
          <w:p>
            <w:pPr>
              <w:pStyle w:val="TableParagraph"/>
              <w:spacing w:line="266" w:lineRule="auto"/>
              <w:ind w:left="932" w:right="920"/>
              <w:jc w:val="center"/>
              <w:rPr>
                <w:sz w:val="22"/>
              </w:rPr>
            </w:pPr>
            <w:r>
              <w:rPr>
                <w:sz w:val="22"/>
              </w:rPr>
              <w:t>法定代表人：李晓安联系人：李昕田</w:t>
            </w:r>
          </w:p>
          <w:p>
            <w:pPr>
              <w:pStyle w:val="TableParagraph"/>
              <w:spacing w:line="281" w:lineRule="exact"/>
              <w:ind w:left="102" w:right="95"/>
              <w:jc w:val="center"/>
              <w:rPr>
                <w:rFonts w:ascii="Arial" w:eastAsia="Arial"/>
                <w:sz w:val="22"/>
              </w:rPr>
            </w:pPr>
            <w:r>
              <w:rPr>
                <w:sz w:val="22"/>
              </w:rPr>
              <w:t>电话：</w:t>
            </w:r>
            <w:r>
              <w:rPr>
                <w:rFonts w:ascii="Arial" w:eastAsia="Arial"/>
                <w:sz w:val="22"/>
              </w:rPr>
              <w:t>0931-4890208</w:t>
            </w:r>
          </w:p>
          <w:p>
            <w:pPr>
              <w:pStyle w:val="TableParagraph"/>
              <w:spacing w:before="28"/>
              <w:ind w:left="103" w:right="95"/>
              <w:jc w:val="center"/>
              <w:rPr>
                <w:sz w:val="22"/>
              </w:rPr>
            </w:pPr>
            <w:r>
              <w:rPr>
                <w:sz w:val="22"/>
              </w:rPr>
              <w:t>客户服务电话：</w:t>
            </w:r>
            <w:r>
              <w:rPr>
                <w:rFonts w:ascii="Arial" w:eastAsia="Arial"/>
                <w:sz w:val="22"/>
              </w:rPr>
              <w:t>0931-96668</w:t>
            </w:r>
            <w:r>
              <w:rPr>
                <w:sz w:val="22"/>
              </w:rPr>
              <w:t>，</w:t>
            </w:r>
          </w:p>
          <w:p>
            <w:pPr>
              <w:pStyle w:val="TableParagraph"/>
              <w:spacing w:before="44"/>
              <w:ind w:left="100" w:right="95"/>
              <w:jc w:val="center"/>
              <w:rPr>
                <w:rFonts w:ascii="Arial"/>
                <w:sz w:val="22"/>
              </w:rPr>
            </w:pPr>
            <w:r>
              <w:rPr>
                <w:rFonts w:ascii="Arial"/>
                <w:sz w:val="22"/>
              </w:rPr>
              <w:t>4006898888</w:t>
            </w:r>
          </w:p>
          <w:p>
            <w:pPr>
              <w:pStyle w:val="TableParagraph"/>
              <w:spacing w:line="277" w:lineRule="exact" w:before="45"/>
              <w:ind w:left="104" w:right="95"/>
              <w:jc w:val="center"/>
              <w:rPr>
                <w:rFonts w:ascii="Arial" w:eastAsia="Arial"/>
                <w:sz w:val="22"/>
              </w:rPr>
            </w:pPr>
            <w:r>
              <w:rPr>
                <w:sz w:val="22"/>
              </w:rPr>
              <w:t>网址：</w:t>
            </w:r>
            <w:hyperlink r:id="rId67">
              <w:r>
                <w:rPr>
                  <w:rFonts w:ascii="Arial" w:eastAsia="Arial"/>
                  <w:sz w:val="22"/>
                </w:rPr>
                <w:t>www.hlzqgs.com</w:t>
              </w:r>
            </w:hyperlink>
          </w:p>
        </w:tc>
      </w:tr>
      <w:tr>
        <w:trPr>
          <w:trHeight w:val="253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7"/>
              </w:rPr>
            </w:pPr>
          </w:p>
          <w:p>
            <w:pPr>
              <w:pStyle w:val="TableParagraph"/>
              <w:ind w:right="187"/>
              <w:jc w:val="right"/>
              <w:rPr>
                <w:rFonts w:ascii="Arial"/>
                <w:sz w:val="21"/>
              </w:rPr>
            </w:pPr>
            <w:r>
              <w:rPr>
                <w:rFonts w:ascii="Arial"/>
                <w:sz w:val="21"/>
              </w:rPr>
              <w:t>61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2" w:right="77"/>
              <w:jc w:val="center"/>
              <w:rPr>
                <w:sz w:val="22"/>
              </w:rPr>
            </w:pPr>
            <w:r>
              <w:rPr>
                <w:sz w:val="22"/>
              </w:rPr>
              <w:t>国金证券股份有限公司</w:t>
            </w:r>
          </w:p>
        </w:tc>
        <w:tc>
          <w:tcPr>
            <w:tcW w:w="3848" w:type="dxa"/>
          </w:tcPr>
          <w:p>
            <w:pPr>
              <w:pStyle w:val="TableParagraph"/>
              <w:spacing w:before="34"/>
              <w:ind w:left="105" w:right="95"/>
              <w:jc w:val="center"/>
              <w:rPr>
                <w:sz w:val="22"/>
              </w:rPr>
            </w:pPr>
            <w:r>
              <w:rPr>
                <w:sz w:val="22"/>
              </w:rPr>
              <w:t>注册地址：成都市东城根上街 </w:t>
            </w:r>
            <w:r>
              <w:rPr>
                <w:rFonts w:ascii="Arial" w:eastAsia="Arial"/>
                <w:sz w:val="22"/>
              </w:rPr>
              <w:t>95 </w:t>
            </w:r>
            <w:r>
              <w:rPr>
                <w:sz w:val="22"/>
              </w:rPr>
              <w:t>号</w:t>
            </w:r>
          </w:p>
          <w:p>
            <w:pPr>
              <w:pStyle w:val="TableParagraph"/>
              <w:spacing w:line="266" w:lineRule="auto" w:before="30"/>
              <w:ind w:left="171" w:right="158"/>
              <w:jc w:val="center"/>
              <w:rPr>
                <w:sz w:val="22"/>
              </w:rPr>
            </w:pPr>
            <w:r>
              <w:rPr>
                <w:sz w:val="22"/>
              </w:rPr>
              <w:t>办公地址：成都市东城根上街 </w:t>
            </w:r>
            <w:r>
              <w:rPr>
                <w:rFonts w:ascii="Arial" w:eastAsia="Arial"/>
                <w:sz w:val="22"/>
              </w:rPr>
              <w:t>95 </w:t>
            </w:r>
            <w:r>
              <w:rPr>
                <w:sz w:val="22"/>
              </w:rPr>
              <w:t>号法定代表人：冉云</w:t>
            </w:r>
          </w:p>
          <w:p>
            <w:pPr>
              <w:pStyle w:val="TableParagraph"/>
              <w:spacing w:line="280" w:lineRule="exact"/>
              <w:ind w:left="105" w:right="95"/>
              <w:jc w:val="center"/>
              <w:rPr>
                <w:sz w:val="22"/>
              </w:rPr>
            </w:pPr>
            <w:r>
              <w:rPr>
                <w:sz w:val="22"/>
              </w:rPr>
              <w:t>联系人：刘婧漪、贾鹏</w:t>
            </w:r>
          </w:p>
          <w:p>
            <w:pPr>
              <w:pStyle w:val="TableParagraph"/>
              <w:spacing w:line="266" w:lineRule="auto" w:before="30"/>
              <w:ind w:left="84" w:right="73"/>
              <w:jc w:val="center"/>
              <w:rPr>
                <w:rFonts w:ascii="Arial" w:eastAsia="Arial"/>
                <w:sz w:val="22"/>
              </w:rPr>
            </w:pPr>
            <w:r>
              <w:rPr>
                <w:sz w:val="22"/>
              </w:rPr>
              <w:t>电话：</w:t>
            </w:r>
            <w:r>
              <w:rPr>
                <w:rFonts w:ascii="Arial" w:eastAsia="Arial"/>
                <w:sz w:val="22"/>
              </w:rPr>
              <w:t>028-86690057</w:t>
            </w:r>
            <w:r>
              <w:rPr>
                <w:sz w:val="22"/>
              </w:rPr>
              <w:t>、</w:t>
            </w:r>
            <w:r>
              <w:rPr>
                <w:rFonts w:ascii="Arial" w:eastAsia="Arial"/>
                <w:sz w:val="22"/>
              </w:rPr>
              <w:t>02886690058 </w:t>
            </w:r>
            <w:r>
              <w:rPr>
                <w:sz w:val="22"/>
              </w:rPr>
              <w:t>传真：</w:t>
            </w:r>
            <w:r>
              <w:rPr>
                <w:rFonts w:ascii="Arial" w:eastAsia="Arial"/>
                <w:sz w:val="22"/>
              </w:rPr>
              <w:t>028-86690126</w:t>
            </w:r>
          </w:p>
          <w:p>
            <w:pPr>
              <w:pStyle w:val="TableParagraph"/>
              <w:spacing w:line="281" w:lineRule="exact"/>
              <w:ind w:left="105" w:right="95"/>
              <w:jc w:val="center"/>
              <w:rPr>
                <w:rFonts w:ascii="Arial" w:eastAsia="Arial"/>
                <w:sz w:val="22"/>
              </w:rPr>
            </w:pPr>
            <w:r>
              <w:rPr>
                <w:sz w:val="22"/>
              </w:rPr>
              <w:t>客服电话：</w:t>
            </w:r>
            <w:r>
              <w:rPr>
                <w:rFonts w:ascii="Arial" w:eastAsia="Arial"/>
                <w:sz w:val="22"/>
              </w:rPr>
              <w:t>95310</w:t>
            </w:r>
          </w:p>
          <w:p>
            <w:pPr>
              <w:pStyle w:val="TableParagraph"/>
              <w:spacing w:before="30"/>
              <w:ind w:left="101" w:right="95"/>
              <w:jc w:val="center"/>
              <w:rPr>
                <w:rFonts w:ascii="Arial" w:eastAsia="Arial"/>
                <w:sz w:val="22"/>
              </w:rPr>
            </w:pPr>
            <w:r>
              <w:rPr>
                <w:sz w:val="22"/>
              </w:rPr>
              <w:t>公司网站：</w:t>
            </w:r>
            <w:hyperlink r:id="rId68">
              <w:r>
                <w:rPr>
                  <w:rFonts w:ascii="Arial" w:eastAsia="Arial"/>
                  <w:sz w:val="22"/>
                </w:rPr>
                <w:t>www.gjzq.com.cn</w:t>
              </w:r>
            </w:hyperlink>
          </w:p>
        </w:tc>
      </w:tr>
      <w:tr>
        <w:trPr>
          <w:trHeight w:val="1871"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87"/>
              <w:jc w:val="right"/>
              <w:rPr>
                <w:rFonts w:ascii="Arial"/>
                <w:sz w:val="21"/>
              </w:rPr>
            </w:pPr>
            <w:r>
              <w:rPr>
                <w:rFonts w:ascii="Arial"/>
                <w:sz w:val="21"/>
              </w:rPr>
              <w:t>62</w:t>
            </w:r>
          </w:p>
        </w:tc>
        <w:tc>
          <w:tcPr>
            <w:tcW w:w="3949"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2" w:right="77"/>
              <w:jc w:val="center"/>
              <w:rPr>
                <w:sz w:val="22"/>
              </w:rPr>
            </w:pPr>
            <w:r>
              <w:rPr>
                <w:sz w:val="22"/>
              </w:rPr>
              <w:t>浙商证券股份有限公司</w:t>
            </w:r>
          </w:p>
        </w:tc>
        <w:tc>
          <w:tcPr>
            <w:tcW w:w="3848" w:type="dxa"/>
          </w:tcPr>
          <w:p>
            <w:pPr>
              <w:pStyle w:val="TableParagraph"/>
              <w:spacing w:before="15"/>
              <w:ind w:left="10"/>
              <w:jc w:val="center"/>
              <w:rPr>
                <w:sz w:val="22"/>
              </w:rPr>
            </w:pPr>
            <w:r>
              <w:rPr>
                <w:sz w:val="22"/>
              </w:rPr>
              <w:t>注册（办公）地址：浙江杭州市杭大路</w:t>
            </w:r>
          </w:p>
          <w:p>
            <w:pPr>
              <w:pStyle w:val="TableParagraph"/>
              <w:spacing w:line="266" w:lineRule="auto" w:before="30"/>
              <w:ind w:left="599" w:right="588"/>
              <w:jc w:val="center"/>
              <w:rPr>
                <w:sz w:val="22"/>
              </w:rPr>
            </w:pPr>
            <w:r>
              <w:rPr>
                <w:rFonts w:ascii="Arial" w:eastAsia="Arial"/>
                <w:sz w:val="22"/>
              </w:rPr>
              <w:t>1 </w:t>
            </w:r>
            <w:r>
              <w:rPr>
                <w:sz w:val="22"/>
              </w:rPr>
              <w:t>号黄龙世纪广场 </w:t>
            </w:r>
            <w:r>
              <w:rPr>
                <w:rFonts w:ascii="Arial" w:eastAsia="Arial"/>
                <w:sz w:val="22"/>
              </w:rPr>
              <w:t>A-6/7 </w:t>
            </w:r>
            <w:r>
              <w:rPr>
                <w:sz w:val="22"/>
              </w:rPr>
              <w:t>楼法定代表人：吴承根</w:t>
            </w:r>
          </w:p>
          <w:p>
            <w:pPr>
              <w:pStyle w:val="TableParagraph"/>
              <w:spacing w:line="280" w:lineRule="exact"/>
              <w:ind w:left="102" w:right="95"/>
              <w:jc w:val="center"/>
              <w:rPr>
                <w:sz w:val="22"/>
              </w:rPr>
            </w:pPr>
            <w:r>
              <w:rPr>
                <w:sz w:val="22"/>
              </w:rPr>
              <w:t>联系人：许嘉行</w:t>
            </w:r>
          </w:p>
          <w:p>
            <w:pPr>
              <w:pStyle w:val="TableParagraph"/>
              <w:spacing w:line="310" w:lineRule="atLeast" w:before="2"/>
              <w:ind w:left="620" w:right="611" w:firstLine="2"/>
              <w:jc w:val="center"/>
              <w:rPr>
                <w:rFonts w:ascii="Arial" w:eastAsia="Arial"/>
                <w:sz w:val="22"/>
              </w:rPr>
            </w:pPr>
            <w:r>
              <w:rPr>
                <w:sz w:val="22"/>
              </w:rPr>
              <w:t>客服电话：</w:t>
            </w:r>
            <w:r>
              <w:rPr>
                <w:rFonts w:ascii="Arial" w:eastAsia="Arial"/>
                <w:sz w:val="22"/>
              </w:rPr>
              <w:t>0571-967777 </w:t>
            </w:r>
            <w:r>
              <w:rPr>
                <w:sz w:val="22"/>
              </w:rPr>
              <w:t>网址：</w:t>
            </w:r>
            <w:hyperlink r:id="rId69">
              <w:r>
                <w:rPr>
                  <w:rFonts w:ascii="Arial" w:eastAsia="Arial"/>
                  <w:sz w:val="22"/>
                </w:rPr>
                <w:t>www.stocke.com.cn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63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中航证券有限公司</w:t>
            </w:r>
          </w:p>
        </w:tc>
        <w:tc>
          <w:tcPr>
            <w:tcW w:w="3848" w:type="dxa"/>
          </w:tcPr>
          <w:p>
            <w:pPr>
              <w:pStyle w:val="TableParagraph"/>
              <w:spacing w:line="266" w:lineRule="auto" w:before="15"/>
              <w:ind w:left="107" w:right="94" w:hanging="1"/>
              <w:jc w:val="center"/>
              <w:rPr>
                <w:sz w:val="22"/>
              </w:rPr>
            </w:pPr>
            <w:r>
              <w:rPr>
                <w:spacing w:val="-18"/>
                <w:sz w:val="22"/>
              </w:rPr>
              <w:t>注册</w:t>
            </w:r>
            <w:r>
              <w:rPr>
                <w:sz w:val="22"/>
              </w:rPr>
              <w:t>（</w:t>
            </w:r>
            <w:r>
              <w:rPr>
                <w:spacing w:val="-2"/>
                <w:sz w:val="22"/>
              </w:rPr>
              <w:t>办公</w:t>
            </w:r>
            <w:r>
              <w:rPr>
                <w:spacing w:val="-39"/>
                <w:sz w:val="22"/>
              </w:rPr>
              <w:t>）</w:t>
            </w:r>
            <w:r>
              <w:rPr>
                <w:spacing w:val="-8"/>
                <w:sz w:val="22"/>
              </w:rPr>
              <w:t>地址：南昌市红谷滩新区</w:t>
            </w:r>
            <w:r>
              <w:rPr>
                <w:spacing w:val="5"/>
                <w:sz w:val="22"/>
              </w:rPr>
              <w:t>红谷中大道</w:t>
            </w:r>
            <w:r>
              <w:rPr>
                <w:rFonts w:ascii="Arial" w:eastAsia="Arial"/>
                <w:sz w:val="22"/>
              </w:rPr>
              <w:t>1619</w:t>
            </w:r>
            <w:r>
              <w:rPr>
                <w:rFonts w:ascii="Arial" w:eastAsia="Arial"/>
                <w:spacing w:val="-24"/>
                <w:sz w:val="22"/>
              </w:rPr>
              <w:t> </w:t>
            </w:r>
            <w:r>
              <w:rPr>
                <w:spacing w:val="2"/>
                <w:sz w:val="22"/>
              </w:rPr>
              <w:t>号国际金融大厦</w:t>
            </w:r>
            <w:r>
              <w:rPr>
                <w:rFonts w:ascii="Arial" w:eastAsia="Arial"/>
                <w:sz w:val="22"/>
              </w:rPr>
              <w:t>A</w:t>
            </w:r>
            <w:r>
              <w:rPr>
                <w:rFonts w:ascii="Arial" w:eastAsia="Arial"/>
                <w:spacing w:val="-25"/>
                <w:sz w:val="22"/>
              </w:rPr>
              <w:t> </w:t>
            </w:r>
            <w:r>
              <w:rPr>
                <w:spacing w:val="-12"/>
                <w:sz w:val="22"/>
              </w:rPr>
              <w:t>座</w:t>
            </w:r>
            <w:r>
              <w:rPr>
                <w:rFonts w:ascii="Arial" w:eastAsia="Arial"/>
                <w:sz w:val="22"/>
              </w:rPr>
              <w:t>41</w:t>
            </w:r>
            <w:r>
              <w:rPr>
                <w:rFonts w:ascii="Arial" w:eastAsia="Arial"/>
                <w:spacing w:val="-7"/>
                <w:sz w:val="22"/>
              </w:rPr>
              <w:t> </w:t>
            </w:r>
            <w:r>
              <w:rPr>
                <w:sz w:val="22"/>
              </w:rPr>
              <w:t>楼</w:t>
            </w:r>
          </w:p>
          <w:p>
            <w:pPr>
              <w:pStyle w:val="TableParagraph"/>
              <w:spacing w:line="266" w:lineRule="auto"/>
              <w:ind w:left="1043" w:right="1031"/>
              <w:jc w:val="center"/>
              <w:rPr>
                <w:sz w:val="22"/>
              </w:rPr>
            </w:pPr>
            <w:r>
              <w:rPr>
                <w:sz w:val="22"/>
              </w:rPr>
              <w:t>法定代表人：杜航联系人：戴蕾</w:t>
            </w:r>
          </w:p>
          <w:p>
            <w:pPr>
              <w:pStyle w:val="TableParagraph"/>
              <w:spacing w:line="280" w:lineRule="exact"/>
              <w:ind w:left="103" w:right="95"/>
              <w:jc w:val="center"/>
              <w:rPr>
                <w:rFonts w:ascii="Arial" w:eastAsia="Arial"/>
                <w:sz w:val="22"/>
              </w:rPr>
            </w:pPr>
            <w:r>
              <w:rPr>
                <w:sz w:val="22"/>
              </w:rPr>
              <w:t>联系电话：</w:t>
            </w:r>
            <w:r>
              <w:rPr>
                <w:rFonts w:ascii="Arial" w:eastAsia="Arial"/>
                <w:sz w:val="22"/>
              </w:rPr>
              <w:t>0791-86768681</w:t>
            </w:r>
          </w:p>
          <w:p>
            <w:pPr>
              <w:pStyle w:val="TableParagraph"/>
              <w:spacing w:line="310" w:lineRule="atLeast"/>
              <w:ind w:left="467" w:right="456"/>
              <w:jc w:val="center"/>
              <w:rPr>
                <w:rFonts w:ascii="Arial" w:eastAsia="Arial"/>
                <w:sz w:val="22"/>
              </w:rPr>
            </w:pPr>
            <w:r>
              <w:rPr>
                <w:sz w:val="22"/>
              </w:rPr>
              <w:t>客户服务电话：</w:t>
            </w:r>
            <w:r>
              <w:rPr>
                <w:rFonts w:ascii="Arial" w:eastAsia="Arial"/>
                <w:sz w:val="22"/>
              </w:rPr>
              <w:t>400-8866-567 </w:t>
            </w:r>
            <w:r>
              <w:rPr>
                <w:sz w:val="22"/>
              </w:rPr>
              <w:t>公司网址：</w:t>
            </w:r>
            <w:hyperlink r:id="rId70">
              <w:r>
                <w:rPr>
                  <w:rFonts w:ascii="Arial" w:eastAsia="Arial"/>
                  <w:sz w:val="22"/>
                </w:rPr>
                <w:t>www.avicsec.com</w:t>
              </w:r>
            </w:hyperlink>
          </w:p>
        </w:tc>
      </w:tr>
    </w:tbl>
    <w:p>
      <w:pPr>
        <w:spacing w:after="0" w:line="310" w:lineRule="atLeas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64</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中信证券股份有限公司</w:t>
            </w:r>
          </w:p>
        </w:tc>
        <w:tc>
          <w:tcPr>
            <w:tcW w:w="3848" w:type="dxa"/>
            <w:tcBorders>
              <w:top w:val="nil"/>
            </w:tcBorders>
          </w:tcPr>
          <w:p>
            <w:pPr>
              <w:pStyle w:val="TableParagraph"/>
              <w:spacing w:line="266" w:lineRule="auto" w:before="15"/>
              <w:ind w:left="263" w:right="95" w:hanging="156"/>
              <w:rPr>
                <w:sz w:val="22"/>
              </w:rPr>
            </w:pPr>
            <w:r>
              <w:rPr>
                <w:spacing w:val="-13"/>
                <w:sz w:val="22"/>
              </w:rPr>
              <w:t>注册地址：广东省深圳市福田区中心三</w:t>
            </w:r>
            <w:r>
              <w:rPr>
                <w:spacing w:val="-27"/>
                <w:sz w:val="22"/>
              </w:rPr>
              <w:t>路 </w:t>
            </w:r>
            <w:r>
              <w:rPr>
                <w:rFonts w:ascii="Arial" w:eastAsia="Arial"/>
                <w:sz w:val="22"/>
              </w:rPr>
              <w:t>8 </w:t>
            </w:r>
            <w:r>
              <w:rPr>
                <w:spacing w:val="-2"/>
                <w:sz w:val="22"/>
              </w:rPr>
              <w:t>号卓越时代广场</w:t>
            </w:r>
            <w:r>
              <w:rPr>
                <w:sz w:val="22"/>
              </w:rPr>
              <w:t>（</w:t>
            </w:r>
            <w:r>
              <w:rPr>
                <w:spacing w:val="-2"/>
                <w:sz w:val="22"/>
              </w:rPr>
              <w:t>二期</w:t>
            </w:r>
            <w:r>
              <w:rPr>
                <w:sz w:val="22"/>
              </w:rPr>
              <w:t>）北座</w:t>
            </w:r>
          </w:p>
          <w:p>
            <w:pPr>
              <w:pStyle w:val="TableParagraph"/>
              <w:spacing w:line="280" w:lineRule="exact"/>
              <w:ind w:left="121"/>
              <w:rPr>
                <w:rFonts w:ascii="Arial" w:eastAsia="Arial"/>
                <w:sz w:val="22"/>
              </w:rPr>
            </w:pPr>
            <w:r>
              <w:rPr>
                <w:sz w:val="22"/>
              </w:rPr>
              <w:t>办公地址：北京市朝阳区亮马桥路 </w:t>
            </w:r>
            <w:r>
              <w:rPr>
                <w:rFonts w:ascii="Arial" w:eastAsia="Arial"/>
                <w:sz w:val="22"/>
              </w:rPr>
              <w:t>48</w:t>
            </w:r>
          </w:p>
          <w:p>
            <w:pPr>
              <w:pStyle w:val="TableParagraph"/>
              <w:spacing w:line="266" w:lineRule="auto" w:before="30"/>
              <w:ind w:left="930" w:right="923" w:firstLine="220"/>
              <w:rPr>
                <w:sz w:val="22"/>
              </w:rPr>
            </w:pPr>
            <w:r>
              <w:rPr>
                <w:spacing w:val="-1"/>
                <w:sz w:val="22"/>
              </w:rPr>
              <w:t>号中信证券大厦 </w:t>
            </w:r>
            <w:r>
              <w:rPr>
                <w:spacing w:val="-5"/>
                <w:sz w:val="22"/>
              </w:rPr>
              <w:t>法定代表人：张佑君</w:t>
            </w:r>
          </w:p>
          <w:p>
            <w:pPr>
              <w:pStyle w:val="TableParagraph"/>
              <w:spacing w:line="280" w:lineRule="exact"/>
              <w:ind w:left="1151"/>
              <w:rPr>
                <w:sz w:val="22"/>
              </w:rPr>
            </w:pPr>
            <w:r>
              <w:rPr>
                <w:sz w:val="22"/>
              </w:rPr>
              <w:t>联系人：王一通</w:t>
            </w:r>
          </w:p>
          <w:p>
            <w:pPr>
              <w:pStyle w:val="TableParagraph"/>
              <w:spacing w:line="266" w:lineRule="auto" w:before="31"/>
              <w:ind w:left="808" w:right="798"/>
              <w:jc w:val="center"/>
              <w:rPr>
                <w:rFonts w:ascii="Arial" w:eastAsia="Arial"/>
                <w:sz w:val="22"/>
              </w:rPr>
            </w:pPr>
            <w:r>
              <w:rPr>
                <w:sz w:val="22"/>
              </w:rPr>
              <w:t>电话：</w:t>
            </w:r>
            <w:r>
              <w:rPr>
                <w:rFonts w:ascii="Arial" w:eastAsia="Arial"/>
                <w:sz w:val="22"/>
              </w:rPr>
              <w:t>010</w:t>
            </w:r>
            <w:r>
              <w:rPr>
                <w:sz w:val="22"/>
              </w:rPr>
              <w:t>－</w:t>
            </w:r>
            <w:r>
              <w:rPr>
                <w:rFonts w:ascii="Arial" w:eastAsia="Arial"/>
                <w:sz w:val="22"/>
              </w:rPr>
              <w:t>60838888 </w:t>
            </w:r>
            <w:r>
              <w:rPr>
                <w:sz w:val="22"/>
              </w:rPr>
              <w:t>传真：</w:t>
            </w:r>
            <w:r>
              <w:rPr>
                <w:rFonts w:ascii="Arial" w:eastAsia="Arial"/>
                <w:sz w:val="22"/>
              </w:rPr>
              <w:t>010</w:t>
            </w:r>
            <w:r>
              <w:rPr>
                <w:sz w:val="22"/>
              </w:rPr>
              <w:t>－</w:t>
            </w:r>
            <w:r>
              <w:rPr>
                <w:rFonts w:ascii="Arial" w:eastAsia="Arial"/>
                <w:sz w:val="22"/>
              </w:rPr>
              <w:t>60833739</w:t>
            </w:r>
          </w:p>
          <w:p>
            <w:pPr>
              <w:pStyle w:val="TableParagraph"/>
              <w:spacing w:line="280" w:lineRule="exact"/>
              <w:ind w:left="100" w:right="95"/>
              <w:jc w:val="center"/>
              <w:rPr>
                <w:rFonts w:ascii="Arial" w:eastAsia="Arial"/>
                <w:sz w:val="22"/>
              </w:rPr>
            </w:pPr>
            <w:r>
              <w:rPr>
                <w:sz w:val="22"/>
              </w:rPr>
              <w:t>客服电话：</w:t>
            </w:r>
            <w:r>
              <w:rPr>
                <w:rFonts w:ascii="Arial" w:eastAsia="Arial"/>
                <w:sz w:val="22"/>
              </w:rPr>
              <w:t>95548</w:t>
            </w:r>
          </w:p>
          <w:p>
            <w:pPr>
              <w:pStyle w:val="TableParagraph"/>
              <w:spacing w:line="277" w:lineRule="exact" w:before="30"/>
              <w:ind w:left="103" w:right="95"/>
              <w:jc w:val="center"/>
              <w:rPr>
                <w:rFonts w:ascii="Arial" w:eastAsia="Arial"/>
                <w:sz w:val="22"/>
              </w:rPr>
            </w:pPr>
            <w:r>
              <w:rPr>
                <w:sz w:val="22"/>
              </w:rPr>
              <w:t>网址： </w:t>
            </w:r>
            <w:hyperlink r:id="rId71">
              <w:r>
                <w:rPr>
                  <w:rFonts w:ascii="Arial" w:eastAsia="Arial"/>
                  <w:sz w:val="22"/>
                </w:rPr>
                <w:t>www.cs.ecitic.com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65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中国中金财富证券有限公司</w:t>
            </w:r>
          </w:p>
        </w:tc>
        <w:tc>
          <w:tcPr>
            <w:tcW w:w="3848" w:type="dxa"/>
          </w:tcPr>
          <w:p>
            <w:pPr>
              <w:pStyle w:val="TableParagraph"/>
              <w:spacing w:line="266" w:lineRule="auto" w:before="15"/>
              <w:ind w:left="107" w:right="-15"/>
              <w:rPr>
                <w:sz w:val="22"/>
              </w:rPr>
            </w:pPr>
            <w:r>
              <w:rPr>
                <w:spacing w:val="-18"/>
                <w:sz w:val="22"/>
              </w:rPr>
              <w:t>注册</w:t>
            </w:r>
            <w:r>
              <w:rPr>
                <w:sz w:val="22"/>
              </w:rPr>
              <w:t>（</w:t>
            </w:r>
            <w:r>
              <w:rPr>
                <w:spacing w:val="-2"/>
                <w:sz w:val="22"/>
              </w:rPr>
              <w:t>办公</w:t>
            </w:r>
            <w:r>
              <w:rPr>
                <w:spacing w:val="-39"/>
                <w:sz w:val="22"/>
              </w:rPr>
              <w:t>）</w:t>
            </w:r>
            <w:r>
              <w:rPr>
                <w:spacing w:val="-7"/>
                <w:sz w:val="22"/>
              </w:rPr>
              <w:t>地址：深圳市福田区益田</w:t>
            </w:r>
            <w:r>
              <w:rPr>
                <w:spacing w:val="-9"/>
                <w:sz w:val="22"/>
              </w:rPr>
              <w:t>路与福中路交界处荣超商务中心 </w:t>
            </w:r>
            <w:r>
              <w:rPr>
                <w:rFonts w:ascii="Arial" w:eastAsia="Arial"/>
                <w:sz w:val="22"/>
              </w:rPr>
              <w:t>A</w:t>
            </w:r>
            <w:r>
              <w:rPr>
                <w:rFonts w:ascii="Arial" w:eastAsia="Arial"/>
                <w:spacing w:val="-5"/>
                <w:sz w:val="22"/>
              </w:rPr>
              <w:t> </w:t>
            </w:r>
            <w:r>
              <w:rPr>
                <w:sz w:val="22"/>
              </w:rPr>
              <w:t>栋</w:t>
            </w:r>
            <w:r>
              <w:rPr>
                <w:spacing w:val="-28"/>
                <w:sz w:val="22"/>
              </w:rPr>
              <w:t>第 </w:t>
            </w:r>
            <w:r>
              <w:rPr>
                <w:rFonts w:ascii="Arial" w:eastAsia="Arial"/>
                <w:sz w:val="22"/>
              </w:rPr>
              <w:t>18</w:t>
            </w:r>
            <w:r>
              <w:rPr>
                <w:rFonts w:ascii="Arial" w:eastAsia="Arial"/>
                <w:spacing w:val="-6"/>
                <w:sz w:val="22"/>
              </w:rPr>
              <w:t> </w:t>
            </w:r>
            <w:r>
              <w:rPr>
                <w:sz w:val="22"/>
              </w:rPr>
              <w:t>层</w:t>
            </w:r>
            <w:r>
              <w:rPr>
                <w:rFonts w:ascii="Arial" w:eastAsia="Arial"/>
                <w:sz w:val="22"/>
              </w:rPr>
              <w:t>-21</w:t>
            </w:r>
            <w:r>
              <w:rPr>
                <w:rFonts w:ascii="Arial" w:eastAsia="Arial"/>
                <w:spacing w:val="-9"/>
                <w:sz w:val="22"/>
              </w:rPr>
              <w:t> </w:t>
            </w:r>
            <w:r>
              <w:rPr>
                <w:spacing w:val="-15"/>
                <w:sz w:val="22"/>
              </w:rPr>
              <w:t>层及第 </w:t>
            </w:r>
            <w:r>
              <w:rPr>
                <w:rFonts w:ascii="Arial" w:eastAsia="Arial"/>
                <w:sz w:val="22"/>
              </w:rPr>
              <w:t>04</w:t>
            </w:r>
            <w:r>
              <w:rPr>
                <w:rFonts w:ascii="Arial" w:eastAsia="Arial"/>
                <w:spacing w:val="-9"/>
                <w:sz w:val="22"/>
              </w:rPr>
              <w:t> </w:t>
            </w:r>
            <w:r>
              <w:rPr>
                <w:spacing w:val="-27"/>
                <w:sz w:val="22"/>
              </w:rPr>
              <w:t>层 </w:t>
            </w:r>
            <w:r>
              <w:rPr>
                <w:rFonts w:ascii="Arial" w:eastAsia="Arial"/>
                <w:sz w:val="22"/>
              </w:rPr>
              <w:t>01</w:t>
            </w:r>
            <w:r>
              <w:rPr>
                <w:spacing w:val="-56"/>
                <w:sz w:val="22"/>
              </w:rPr>
              <w:t>、</w:t>
            </w:r>
            <w:r>
              <w:rPr>
                <w:rFonts w:ascii="Arial" w:eastAsia="Arial"/>
                <w:sz w:val="22"/>
              </w:rPr>
              <w:t>02</w:t>
            </w:r>
            <w:r>
              <w:rPr>
                <w:spacing w:val="-56"/>
                <w:sz w:val="22"/>
              </w:rPr>
              <w:t>、</w:t>
            </w:r>
            <w:r>
              <w:rPr>
                <w:rFonts w:ascii="Arial" w:eastAsia="Arial"/>
                <w:sz w:val="22"/>
              </w:rPr>
              <w:t>03</w:t>
            </w:r>
            <w:r>
              <w:rPr>
                <w:sz w:val="22"/>
              </w:rPr>
              <w:t>、</w:t>
            </w:r>
            <w:r>
              <w:rPr>
                <w:rFonts w:ascii="Arial" w:eastAsia="Arial"/>
                <w:sz w:val="22"/>
              </w:rPr>
              <w:t>05</w:t>
            </w:r>
            <w:r>
              <w:rPr>
                <w:sz w:val="22"/>
              </w:rPr>
              <w:t>、</w:t>
            </w:r>
            <w:r>
              <w:rPr>
                <w:rFonts w:ascii="Arial" w:eastAsia="Arial"/>
                <w:sz w:val="22"/>
              </w:rPr>
              <w:t>11</w:t>
            </w:r>
            <w:r>
              <w:rPr>
                <w:sz w:val="22"/>
              </w:rPr>
              <w:t>、</w:t>
            </w:r>
            <w:r>
              <w:rPr>
                <w:rFonts w:ascii="Arial" w:eastAsia="Arial"/>
                <w:sz w:val="22"/>
              </w:rPr>
              <w:t>12</w:t>
            </w:r>
            <w:r>
              <w:rPr>
                <w:sz w:val="22"/>
              </w:rPr>
              <w:t>、</w:t>
            </w:r>
            <w:r>
              <w:rPr>
                <w:rFonts w:ascii="Arial" w:eastAsia="Arial"/>
                <w:sz w:val="22"/>
              </w:rPr>
              <w:t>13</w:t>
            </w:r>
            <w:r>
              <w:rPr>
                <w:sz w:val="22"/>
              </w:rPr>
              <w:t>、</w:t>
            </w:r>
            <w:r>
              <w:rPr>
                <w:rFonts w:ascii="Arial" w:eastAsia="Arial"/>
                <w:sz w:val="22"/>
              </w:rPr>
              <w:t>15</w:t>
            </w:r>
            <w:r>
              <w:rPr>
                <w:sz w:val="22"/>
              </w:rPr>
              <w:t>、</w:t>
            </w:r>
            <w:r>
              <w:rPr>
                <w:rFonts w:ascii="Arial" w:eastAsia="Arial"/>
                <w:sz w:val="22"/>
              </w:rPr>
              <w:t>16</w:t>
            </w:r>
            <w:r>
              <w:rPr>
                <w:sz w:val="22"/>
              </w:rPr>
              <w:t>、</w:t>
            </w:r>
            <w:r>
              <w:rPr>
                <w:rFonts w:ascii="Arial" w:eastAsia="Arial"/>
                <w:sz w:val="22"/>
              </w:rPr>
              <w:t>18</w:t>
            </w:r>
            <w:r>
              <w:rPr>
                <w:sz w:val="22"/>
              </w:rPr>
              <w:t>、</w:t>
            </w:r>
            <w:r>
              <w:rPr>
                <w:rFonts w:ascii="Arial" w:eastAsia="Arial"/>
                <w:sz w:val="22"/>
              </w:rPr>
              <w:t>19</w:t>
            </w:r>
            <w:r>
              <w:rPr>
                <w:sz w:val="22"/>
              </w:rPr>
              <w:t>、</w:t>
            </w:r>
          </w:p>
          <w:p>
            <w:pPr>
              <w:pStyle w:val="TableParagraph"/>
              <w:spacing w:line="266" w:lineRule="auto"/>
              <w:ind w:left="1261" w:right="843" w:hanging="406"/>
              <w:rPr>
                <w:sz w:val="22"/>
              </w:rPr>
            </w:pPr>
            <w:r>
              <w:rPr>
                <w:rFonts w:ascii="Arial" w:eastAsia="Arial"/>
                <w:sz w:val="22"/>
              </w:rPr>
              <w:t>20</w:t>
            </w:r>
            <w:r>
              <w:rPr>
                <w:sz w:val="22"/>
              </w:rPr>
              <w:t>、</w:t>
            </w:r>
            <w:r>
              <w:rPr>
                <w:rFonts w:ascii="Arial" w:eastAsia="Arial"/>
                <w:sz w:val="22"/>
              </w:rPr>
              <w:t>21</w:t>
            </w:r>
            <w:r>
              <w:rPr>
                <w:sz w:val="22"/>
              </w:rPr>
              <w:t>、</w:t>
            </w:r>
            <w:r>
              <w:rPr>
                <w:rFonts w:ascii="Arial" w:eastAsia="Arial"/>
                <w:sz w:val="22"/>
              </w:rPr>
              <w:t>22</w:t>
            </w:r>
            <w:r>
              <w:rPr>
                <w:sz w:val="22"/>
              </w:rPr>
              <w:t>、</w:t>
            </w:r>
            <w:r>
              <w:rPr>
                <w:rFonts w:ascii="Arial" w:eastAsia="Arial"/>
                <w:sz w:val="22"/>
              </w:rPr>
              <w:t>23 </w:t>
            </w:r>
            <w:r>
              <w:rPr>
                <w:sz w:val="22"/>
              </w:rPr>
              <w:t>单元联系人：刘毅</w:t>
            </w:r>
          </w:p>
          <w:p>
            <w:pPr>
              <w:pStyle w:val="TableParagraph"/>
              <w:spacing w:line="266" w:lineRule="auto"/>
              <w:ind w:left="822" w:right="590" w:hanging="221"/>
              <w:rPr>
                <w:rFonts w:ascii="Arial" w:eastAsia="Arial"/>
                <w:sz w:val="22"/>
              </w:rPr>
            </w:pPr>
            <w:r>
              <w:rPr>
                <w:sz w:val="22"/>
              </w:rPr>
              <w:t>联系电话：</w:t>
            </w:r>
            <w:r>
              <w:rPr>
                <w:rFonts w:ascii="Arial" w:eastAsia="Arial"/>
                <w:sz w:val="22"/>
              </w:rPr>
              <w:t>0755-82023442 </w:t>
            </w:r>
            <w:r>
              <w:rPr>
                <w:sz w:val="22"/>
              </w:rPr>
              <w:t>传真：</w:t>
            </w:r>
            <w:r>
              <w:rPr>
                <w:rFonts w:ascii="Arial" w:eastAsia="Arial"/>
                <w:sz w:val="22"/>
              </w:rPr>
              <w:t>0755-82026539</w:t>
            </w:r>
          </w:p>
          <w:p>
            <w:pPr>
              <w:pStyle w:val="TableParagraph"/>
              <w:spacing w:line="280" w:lineRule="exact"/>
              <w:ind w:left="700"/>
              <w:rPr>
                <w:rFonts w:ascii="Arial" w:eastAsia="Arial"/>
                <w:sz w:val="22"/>
              </w:rPr>
            </w:pPr>
            <w:r>
              <w:rPr>
                <w:spacing w:val="-1"/>
                <w:sz w:val="22"/>
              </w:rPr>
              <w:t>客服电话：</w:t>
            </w:r>
            <w:r>
              <w:rPr>
                <w:rFonts w:ascii="Arial" w:eastAsia="Arial"/>
                <w:sz w:val="22"/>
              </w:rPr>
              <w:t>400</w:t>
            </w:r>
            <w:r>
              <w:rPr>
                <w:rFonts w:ascii="Arial" w:eastAsia="Arial"/>
                <w:spacing w:val="3"/>
                <w:sz w:val="22"/>
              </w:rPr>
              <w:t> </w:t>
            </w:r>
            <w:r>
              <w:rPr>
                <w:rFonts w:ascii="Arial" w:eastAsia="Arial"/>
                <w:sz w:val="22"/>
              </w:rPr>
              <w:t>600</w:t>
            </w:r>
            <w:r>
              <w:rPr>
                <w:rFonts w:ascii="Arial" w:eastAsia="Arial"/>
                <w:spacing w:val="1"/>
                <w:sz w:val="22"/>
              </w:rPr>
              <w:t> </w:t>
            </w:r>
            <w:r>
              <w:rPr>
                <w:rFonts w:ascii="Arial" w:eastAsia="Arial"/>
                <w:sz w:val="22"/>
              </w:rPr>
              <w:t>8008</w:t>
            </w:r>
          </w:p>
          <w:p>
            <w:pPr>
              <w:pStyle w:val="TableParagraph"/>
              <w:spacing w:line="277" w:lineRule="exact" w:before="25"/>
              <w:ind w:left="680"/>
              <w:rPr>
                <w:rFonts w:ascii="Arial" w:eastAsia="Arial"/>
                <w:sz w:val="22"/>
              </w:rPr>
            </w:pPr>
            <w:r>
              <w:rPr>
                <w:spacing w:val="-1"/>
                <w:sz w:val="22"/>
              </w:rPr>
              <w:t>网址：</w:t>
            </w:r>
            <w:hyperlink r:id="rId72">
              <w:r>
                <w:rPr>
                  <w:rFonts w:ascii="Arial" w:eastAsia="Arial"/>
                  <w:spacing w:val="-1"/>
                  <w:sz w:val="22"/>
                </w:rPr>
                <w:t>www.china-invs.cn</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66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2" w:right="77"/>
              <w:jc w:val="center"/>
              <w:rPr>
                <w:sz w:val="22"/>
              </w:rPr>
            </w:pPr>
            <w:r>
              <w:rPr>
                <w:sz w:val="22"/>
              </w:rPr>
              <w:t>长江证券股份有限公司</w:t>
            </w:r>
          </w:p>
        </w:tc>
        <w:tc>
          <w:tcPr>
            <w:tcW w:w="3848" w:type="dxa"/>
          </w:tcPr>
          <w:p>
            <w:pPr>
              <w:pStyle w:val="TableParagraph"/>
              <w:spacing w:before="15"/>
              <w:ind w:left="107"/>
              <w:rPr>
                <w:rFonts w:ascii="Arial" w:eastAsia="Arial"/>
                <w:sz w:val="22"/>
              </w:rPr>
            </w:pPr>
            <w:r>
              <w:rPr>
                <w:spacing w:val="-11"/>
                <w:sz w:val="22"/>
              </w:rPr>
              <w:t>注册</w:t>
            </w:r>
            <w:r>
              <w:rPr>
                <w:spacing w:val="-3"/>
                <w:sz w:val="22"/>
              </w:rPr>
              <w:t>（</w:t>
            </w:r>
            <w:r>
              <w:rPr>
                <w:sz w:val="22"/>
              </w:rPr>
              <w:t>办公</w:t>
            </w:r>
            <w:r>
              <w:rPr>
                <w:spacing w:val="-25"/>
                <w:sz w:val="22"/>
              </w:rPr>
              <w:t>）</w:t>
            </w:r>
            <w:r>
              <w:rPr>
                <w:spacing w:val="-10"/>
                <w:sz w:val="22"/>
              </w:rPr>
              <w:t>地址：武汉市新华路特 </w:t>
            </w:r>
            <w:r>
              <w:rPr>
                <w:rFonts w:ascii="Arial" w:eastAsia="Arial"/>
                <w:sz w:val="22"/>
              </w:rPr>
              <w:t>8</w:t>
            </w:r>
          </w:p>
          <w:p>
            <w:pPr>
              <w:pStyle w:val="TableParagraph"/>
              <w:spacing w:line="266" w:lineRule="auto" w:before="30"/>
              <w:ind w:left="932" w:right="920" w:firstLine="218"/>
              <w:rPr>
                <w:sz w:val="22"/>
              </w:rPr>
            </w:pPr>
            <w:r>
              <w:rPr>
                <w:spacing w:val="-1"/>
                <w:sz w:val="22"/>
              </w:rPr>
              <w:t>号长江证券大厦 </w:t>
            </w:r>
            <w:r>
              <w:rPr>
                <w:spacing w:val="-5"/>
                <w:sz w:val="22"/>
              </w:rPr>
              <w:t>法定代表人：杨泽柱</w:t>
            </w:r>
          </w:p>
          <w:p>
            <w:pPr>
              <w:pStyle w:val="TableParagraph"/>
              <w:spacing w:line="266" w:lineRule="auto"/>
              <w:ind w:left="882" w:right="872" w:firstLine="268"/>
              <w:rPr>
                <w:rFonts w:ascii="Arial" w:eastAsia="Arial"/>
                <w:sz w:val="22"/>
              </w:rPr>
            </w:pPr>
            <w:r>
              <w:rPr>
                <w:spacing w:val="-1"/>
                <w:sz w:val="22"/>
              </w:rPr>
              <w:t>联系人：奚博宇 电话：</w:t>
            </w:r>
            <w:r>
              <w:rPr>
                <w:rFonts w:ascii="Arial" w:eastAsia="Arial"/>
                <w:spacing w:val="-1"/>
                <w:sz w:val="22"/>
              </w:rPr>
              <w:t>027-65799999 </w:t>
            </w:r>
            <w:r>
              <w:rPr>
                <w:spacing w:val="-1"/>
                <w:sz w:val="22"/>
              </w:rPr>
              <w:t>传真：</w:t>
            </w:r>
            <w:r>
              <w:rPr>
                <w:rFonts w:ascii="Arial" w:eastAsia="Arial"/>
                <w:spacing w:val="-1"/>
                <w:sz w:val="22"/>
              </w:rPr>
              <w:t>027-85481900</w:t>
            </w:r>
          </w:p>
          <w:p>
            <w:pPr>
              <w:pStyle w:val="TableParagraph"/>
              <w:spacing w:line="279" w:lineRule="exact"/>
              <w:ind w:left="105" w:right="95"/>
              <w:jc w:val="center"/>
              <w:rPr>
                <w:sz w:val="22"/>
              </w:rPr>
            </w:pPr>
            <w:r>
              <w:rPr>
                <w:sz w:val="22"/>
              </w:rPr>
              <w:t>客户服务电话：</w:t>
            </w:r>
            <w:r>
              <w:rPr>
                <w:rFonts w:ascii="Arial" w:eastAsia="Arial"/>
                <w:sz w:val="22"/>
              </w:rPr>
              <w:t>95579 </w:t>
            </w:r>
            <w:r>
              <w:rPr>
                <w:sz w:val="22"/>
              </w:rPr>
              <w:t>或</w:t>
            </w:r>
          </w:p>
          <w:p>
            <w:pPr>
              <w:pStyle w:val="TableParagraph"/>
              <w:spacing w:before="42"/>
              <w:ind w:left="105" w:right="95"/>
              <w:jc w:val="center"/>
              <w:rPr>
                <w:rFonts w:ascii="Arial"/>
                <w:sz w:val="22"/>
              </w:rPr>
            </w:pPr>
            <w:r>
              <w:rPr>
                <w:rFonts w:ascii="Arial"/>
                <w:sz w:val="22"/>
              </w:rPr>
              <w:t>4008-888-999</w:t>
            </w:r>
          </w:p>
          <w:p>
            <w:pPr>
              <w:pStyle w:val="TableParagraph"/>
              <w:spacing w:line="277" w:lineRule="exact" w:before="46"/>
              <w:ind w:left="101" w:right="95"/>
              <w:jc w:val="center"/>
              <w:rPr>
                <w:rFonts w:ascii="Arial" w:eastAsia="Arial"/>
                <w:sz w:val="22"/>
              </w:rPr>
            </w:pPr>
            <w:r>
              <w:rPr>
                <w:sz w:val="22"/>
              </w:rPr>
              <w:t>网址：</w:t>
            </w:r>
            <w:hyperlink r:id="rId73">
              <w:r>
                <w:rPr>
                  <w:rFonts w:ascii="Arial" w:eastAsia="Arial"/>
                  <w:sz w:val="22"/>
                </w:rPr>
                <w:t>www.95579.com</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67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东莞证券有限责任公司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地址：东莞市莞城区可园</w:t>
            </w:r>
            <w:r>
              <w:rPr>
                <w:sz w:val="22"/>
              </w:rPr>
              <w:t>南路一号</w:t>
            </w:r>
          </w:p>
          <w:p>
            <w:pPr>
              <w:pStyle w:val="TableParagraph"/>
              <w:spacing w:line="266" w:lineRule="auto"/>
              <w:ind w:left="932" w:right="920"/>
              <w:jc w:val="center"/>
              <w:rPr>
                <w:sz w:val="22"/>
              </w:rPr>
            </w:pPr>
            <w:r>
              <w:rPr>
                <w:sz w:val="22"/>
              </w:rPr>
              <w:t>法定代表人：张运勇联系人：张巧玲</w:t>
            </w:r>
          </w:p>
          <w:p>
            <w:pPr>
              <w:pStyle w:val="TableParagraph"/>
              <w:spacing w:line="266" w:lineRule="auto"/>
              <w:ind w:left="822" w:right="810"/>
              <w:jc w:val="center"/>
              <w:rPr>
                <w:rFonts w:ascii="Arial" w:eastAsia="Arial"/>
                <w:sz w:val="22"/>
              </w:rPr>
            </w:pPr>
            <w:r>
              <w:rPr>
                <w:spacing w:val="-1"/>
                <w:sz w:val="22"/>
              </w:rPr>
              <w:t>电话：</w:t>
            </w:r>
            <w:r>
              <w:rPr>
                <w:rFonts w:ascii="Arial" w:eastAsia="Arial"/>
                <w:spacing w:val="-1"/>
                <w:sz w:val="22"/>
              </w:rPr>
              <w:t>0769-22116572 </w:t>
            </w:r>
            <w:r>
              <w:rPr>
                <w:spacing w:val="-1"/>
                <w:sz w:val="22"/>
              </w:rPr>
              <w:t>传真：</w:t>
            </w:r>
            <w:r>
              <w:rPr>
                <w:rFonts w:ascii="Arial" w:eastAsia="Arial"/>
                <w:spacing w:val="-1"/>
                <w:sz w:val="22"/>
              </w:rPr>
              <w:t>0769-22119426</w:t>
            </w:r>
          </w:p>
          <w:p>
            <w:pPr>
              <w:pStyle w:val="TableParagraph"/>
              <w:spacing w:line="280" w:lineRule="exact"/>
              <w:ind w:left="105" w:right="95"/>
              <w:jc w:val="center"/>
              <w:rPr>
                <w:rFonts w:ascii="Arial" w:eastAsia="Arial"/>
                <w:sz w:val="22"/>
              </w:rPr>
            </w:pPr>
            <w:r>
              <w:rPr>
                <w:spacing w:val="-2"/>
                <w:sz w:val="22"/>
              </w:rPr>
              <w:t>客户服务电话：</w:t>
            </w:r>
            <w:r>
              <w:rPr>
                <w:rFonts w:ascii="Arial" w:eastAsia="Arial"/>
                <w:spacing w:val="-1"/>
                <w:sz w:val="22"/>
              </w:rPr>
              <w:t>-95328</w:t>
            </w:r>
          </w:p>
          <w:p>
            <w:pPr>
              <w:pStyle w:val="TableParagraph"/>
              <w:spacing w:line="279" w:lineRule="exact" w:before="27"/>
              <w:ind w:left="104" w:right="95"/>
              <w:jc w:val="center"/>
              <w:rPr>
                <w:rFonts w:ascii="Arial" w:eastAsia="Arial"/>
                <w:sz w:val="22"/>
              </w:rPr>
            </w:pPr>
            <w:r>
              <w:rPr>
                <w:sz w:val="22"/>
              </w:rPr>
              <w:t>网址：</w:t>
            </w:r>
            <w:hyperlink r:id="rId74">
              <w:r>
                <w:rPr>
                  <w:rFonts w:ascii="Arial" w:eastAsia="Arial"/>
                  <w:sz w:val="22"/>
                </w:rPr>
                <w:t>www.dgzq.com.cn</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68</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东方证券股份有限公司</w:t>
            </w:r>
          </w:p>
        </w:tc>
        <w:tc>
          <w:tcPr>
            <w:tcW w:w="3848" w:type="dxa"/>
            <w:tcBorders>
              <w:top w:val="nil"/>
            </w:tcBorders>
          </w:tcPr>
          <w:p>
            <w:pPr>
              <w:pStyle w:val="TableParagraph"/>
              <w:spacing w:before="15"/>
              <w:ind w:left="105" w:right="95"/>
              <w:jc w:val="center"/>
              <w:rPr>
                <w:sz w:val="22"/>
              </w:rPr>
            </w:pPr>
            <w:r>
              <w:rPr>
                <w:sz w:val="22"/>
              </w:rPr>
              <w:t>法定代表人：潘鑫军</w:t>
            </w:r>
          </w:p>
          <w:p>
            <w:pPr>
              <w:pStyle w:val="TableParagraph"/>
              <w:spacing w:before="30"/>
              <w:ind w:left="103" w:right="95"/>
              <w:jc w:val="center"/>
              <w:rPr>
                <w:rFonts w:ascii="Arial" w:eastAsia="Arial"/>
                <w:sz w:val="22"/>
              </w:rPr>
            </w:pPr>
            <w:r>
              <w:rPr>
                <w:spacing w:val="-7"/>
                <w:sz w:val="22"/>
              </w:rPr>
              <w:t>注册地址：上海市中山南路 </w:t>
            </w:r>
            <w:r>
              <w:rPr>
                <w:rFonts w:ascii="Arial" w:eastAsia="Arial"/>
                <w:sz w:val="22"/>
              </w:rPr>
              <w:t>318</w:t>
            </w:r>
            <w:r>
              <w:rPr>
                <w:rFonts w:ascii="Arial" w:eastAsia="Arial"/>
                <w:spacing w:val="-4"/>
                <w:sz w:val="22"/>
              </w:rPr>
              <w:t> </w:t>
            </w:r>
            <w:r>
              <w:rPr>
                <w:spacing w:val="-26"/>
                <w:sz w:val="22"/>
              </w:rPr>
              <w:t>号 </w:t>
            </w:r>
            <w:r>
              <w:rPr>
                <w:rFonts w:ascii="Arial" w:eastAsia="Arial"/>
                <w:sz w:val="22"/>
              </w:rPr>
              <w:t>2</w:t>
            </w:r>
          </w:p>
          <w:p>
            <w:pPr>
              <w:pStyle w:val="TableParagraph"/>
              <w:spacing w:line="266" w:lineRule="auto" w:before="31"/>
              <w:ind w:left="164" w:right="154" w:firstLine="213"/>
              <w:rPr>
                <w:rFonts w:ascii="Arial" w:eastAsia="Arial"/>
                <w:sz w:val="22"/>
              </w:rPr>
            </w:pPr>
            <w:r>
              <w:rPr>
                <w:spacing w:val="-18"/>
                <w:sz w:val="22"/>
              </w:rPr>
              <w:t>号楼 </w:t>
            </w:r>
            <w:r>
              <w:rPr>
                <w:rFonts w:ascii="Arial" w:eastAsia="Arial"/>
                <w:sz w:val="22"/>
              </w:rPr>
              <w:t>22</w:t>
            </w:r>
            <w:r>
              <w:rPr>
                <w:rFonts w:ascii="Arial" w:eastAsia="Arial"/>
                <w:spacing w:val="-5"/>
                <w:sz w:val="22"/>
              </w:rPr>
              <w:t> </w:t>
            </w:r>
            <w:r>
              <w:rPr>
                <w:spacing w:val="-2"/>
                <w:sz w:val="22"/>
              </w:rPr>
              <w:t>层、</w:t>
            </w:r>
            <w:r>
              <w:rPr>
                <w:rFonts w:ascii="Arial" w:eastAsia="Arial"/>
                <w:sz w:val="22"/>
              </w:rPr>
              <w:t>23</w:t>
            </w:r>
            <w:r>
              <w:rPr>
                <w:rFonts w:ascii="Arial" w:eastAsia="Arial"/>
                <w:spacing w:val="-5"/>
                <w:sz w:val="22"/>
              </w:rPr>
              <w:t> </w:t>
            </w:r>
            <w:r>
              <w:rPr>
                <w:sz w:val="22"/>
              </w:rPr>
              <w:t>层、</w:t>
            </w:r>
            <w:r>
              <w:rPr>
                <w:rFonts w:ascii="Arial" w:eastAsia="Arial"/>
                <w:sz w:val="22"/>
              </w:rPr>
              <w:t>25</w:t>
            </w:r>
            <w:r>
              <w:rPr>
                <w:rFonts w:ascii="Arial" w:eastAsia="Arial"/>
                <w:spacing w:val="-8"/>
                <w:sz w:val="22"/>
              </w:rPr>
              <w:t> </w:t>
            </w:r>
            <w:r>
              <w:rPr>
                <w:sz w:val="22"/>
              </w:rPr>
              <w:t>层</w:t>
            </w:r>
            <w:r>
              <w:rPr>
                <w:rFonts w:ascii="Arial" w:eastAsia="Arial"/>
                <w:sz w:val="22"/>
              </w:rPr>
              <w:t>-29</w:t>
            </w:r>
            <w:r>
              <w:rPr>
                <w:rFonts w:ascii="Arial" w:eastAsia="Arial"/>
                <w:spacing w:val="-5"/>
                <w:sz w:val="22"/>
              </w:rPr>
              <w:t> </w:t>
            </w:r>
            <w:r>
              <w:rPr>
                <w:sz w:val="22"/>
              </w:rPr>
              <w:t>层 </w:t>
            </w:r>
            <w:r>
              <w:rPr>
                <w:spacing w:val="-7"/>
                <w:sz w:val="22"/>
              </w:rPr>
              <w:t>办公地址：上海市中山南路 </w:t>
            </w:r>
            <w:r>
              <w:rPr>
                <w:rFonts w:ascii="Arial" w:eastAsia="Arial"/>
                <w:sz w:val="22"/>
              </w:rPr>
              <w:t>318</w:t>
            </w:r>
            <w:r>
              <w:rPr>
                <w:rFonts w:ascii="Arial" w:eastAsia="Arial"/>
                <w:spacing w:val="-4"/>
                <w:sz w:val="22"/>
              </w:rPr>
              <w:t> </w:t>
            </w:r>
            <w:r>
              <w:rPr>
                <w:spacing w:val="-26"/>
                <w:sz w:val="22"/>
              </w:rPr>
              <w:t>号 </w:t>
            </w:r>
            <w:r>
              <w:rPr>
                <w:rFonts w:ascii="Arial" w:eastAsia="Arial"/>
                <w:spacing w:val="-12"/>
                <w:sz w:val="22"/>
              </w:rPr>
              <w:t>2</w:t>
            </w:r>
          </w:p>
          <w:p>
            <w:pPr>
              <w:pStyle w:val="TableParagraph"/>
              <w:spacing w:line="266" w:lineRule="auto"/>
              <w:ind w:left="1151" w:right="365" w:hanging="701"/>
              <w:rPr>
                <w:sz w:val="22"/>
              </w:rPr>
            </w:pPr>
            <w:r>
              <w:rPr>
                <w:sz w:val="22"/>
              </w:rPr>
              <w:t>号楼 </w:t>
            </w:r>
            <w:r>
              <w:rPr>
                <w:rFonts w:ascii="Arial" w:eastAsia="Arial"/>
                <w:sz w:val="22"/>
              </w:rPr>
              <w:t>21 </w:t>
            </w:r>
            <w:r>
              <w:rPr>
                <w:sz w:val="22"/>
              </w:rPr>
              <w:t>层</w:t>
            </w:r>
            <w:r>
              <w:rPr>
                <w:rFonts w:ascii="Arial" w:eastAsia="Arial"/>
                <w:sz w:val="22"/>
              </w:rPr>
              <w:t>-23 </w:t>
            </w:r>
            <w:r>
              <w:rPr>
                <w:sz w:val="22"/>
              </w:rPr>
              <w:t>层、</w:t>
            </w:r>
            <w:r>
              <w:rPr>
                <w:rFonts w:ascii="Arial" w:eastAsia="Arial"/>
                <w:sz w:val="22"/>
              </w:rPr>
              <w:t>25 </w:t>
            </w:r>
            <w:r>
              <w:rPr>
                <w:sz w:val="22"/>
              </w:rPr>
              <w:t>层</w:t>
            </w:r>
            <w:r>
              <w:rPr>
                <w:rFonts w:ascii="Arial" w:eastAsia="Arial"/>
                <w:sz w:val="22"/>
              </w:rPr>
              <w:t>-29 </w:t>
            </w:r>
            <w:r>
              <w:rPr>
                <w:sz w:val="22"/>
              </w:rPr>
              <w:t>层联系人：胡月茹</w:t>
            </w:r>
          </w:p>
          <w:p>
            <w:pPr>
              <w:pStyle w:val="TableParagraph"/>
              <w:spacing w:line="266" w:lineRule="auto"/>
              <w:ind w:left="882" w:right="872"/>
              <w:jc w:val="center"/>
              <w:rPr>
                <w:rFonts w:ascii="Arial" w:eastAsia="Arial"/>
                <w:sz w:val="22"/>
              </w:rPr>
            </w:pPr>
            <w:r>
              <w:rPr>
                <w:spacing w:val="-1"/>
                <w:sz w:val="22"/>
              </w:rPr>
              <w:t>电话：</w:t>
            </w:r>
            <w:r>
              <w:rPr>
                <w:rFonts w:ascii="Arial" w:eastAsia="Arial"/>
                <w:spacing w:val="-1"/>
                <w:sz w:val="22"/>
              </w:rPr>
              <w:t>021-63325888 </w:t>
            </w:r>
            <w:r>
              <w:rPr>
                <w:spacing w:val="-1"/>
                <w:sz w:val="22"/>
              </w:rPr>
              <w:t>传真：</w:t>
            </w:r>
            <w:r>
              <w:rPr>
                <w:rFonts w:ascii="Arial" w:eastAsia="Arial"/>
                <w:spacing w:val="-1"/>
                <w:sz w:val="22"/>
              </w:rPr>
              <w:t>021-63326729</w:t>
            </w:r>
          </w:p>
          <w:p>
            <w:pPr>
              <w:pStyle w:val="TableParagraph"/>
              <w:spacing w:line="280" w:lineRule="exact"/>
              <w:ind w:left="105" w:right="95"/>
              <w:jc w:val="center"/>
              <w:rPr>
                <w:rFonts w:ascii="Arial" w:eastAsia="Arial"/>
                <w:sz w:val="22"/>
              </w:rPr>
            </w:pPr>
            <w:r>
              <w:rPr>
                <w:spacing w:val="-2"/>
                <w:sz w:val="22"/>
              </w:rPr>
              <w:t>客户服务热线：</w:t>
            </w:r>
            <w:r>
              <w:rPr>
                <w:rFonts w:ascii="Arial" w:eastAsia="Arial"/>
                <w:sz w:val="22"/>
              </w:rPr>
              <w:t>95503</w:t>
            </w:r>
          </w:p>
          <w:p>
            <w:pPr>
              <w:pStyle w:val="TableParagraph"/>
              <w:spacing w:line="277" w:lineRule="exact" w:before="26"/>
              <w:ind w:left="101" w:right="95"/>
              <w:jc w:val="center"/>
              <w:rPr>
                <w:rFonts w:ascii="Arial" w:eastAsia="Arial"/>
                <w:sz w:val="22"/>
              </w:rPr>
            </w:pPr>
            <w:r>
              <w:rPr>
                <w:sz w:val="22"/>
              </w:rPr>
              <w:t>公司网站：</w:t>
            </w:r>
            <w:hyperlink r:id="rId75">
              <w:r>
                <w:rPr>
                  <w:rFonts w:ascii="Arial" w:eastAsia="Arial"/>
                  <w:sz w:val="22"/>
                </w:rPr>
                <w:t>http://www.dfzq.com.cn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69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中泰证券股份有限公司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地址：济南市市中区经七</w:t>
            </w:r>
            <w:r>
              <w:rPr>
                <w:spacing w:val="-31"/>
                <w:sz w:val="22"/>
              </w:rPr>
              <w:t>路 </w:t>
            </w:r>
            <w:r>
              <w:rPr>
                <w:rFonts w:ascii="Arial" w:eastAsia="Arial"/>
                <w:sz w:val="22"/>
              </w:rPr>
              <w:t>86 </w:t>
            </w:r>
            <w:r>
              <w:rPr>
                <w:sz w:val="22"/>
              </w:rPr>
              <w:t>号</w:t>
            </w:r>
          </w:p>
          <w:p>
            <w:pPr>
              <w:pStyle w:val="TableParagraph"/>
              <w:spacing w:line="266" w:lineRule="auto"/>
              <w:ind w:left="1043" w:right="1031"/>
              <w:jc w:val="center"/>
              <w:rPr>
                <w:sz w:val="22"/>
              </w:rPr>
            </w:pPr>
            <w:r>
              <w:rPr>
                <w:sz w:val="22"/>
              </w:rPr>
              <w:t>法定代表人：李玮联系人：许曼华</w:t>
            </w:r>
          </w:p>
          <w:p>
            <w:pPr>
              <w:pStyle w:val="TableParagraph"/>
              <w:spacing w:line="266" w:lineRule="auto"/>
              <w:ind w:left="882" w:right="872"/>
              <w:jc w:val="center"/>
              <w:rPr>
                <w:rFonts w:ascii="Arial" w:eastAsia="Arial"/>
                <w:sz w:val="22"/>
              </w:rPr>
            </w:pPr>
            <w:r>
              <w:rPr>
                <w:spacing w:val="-2"/>
                <w:sz w:val="22"/>
              </w:rPr>
              <w:t>电话：</w:t>
            </w:r>
            <w:r>
              <w:rPr>
                <w:rFonts w:ascii="Arial" w:eastAsia="Arial"/>
                <w:spacing w:val="-1"/>
                <w:sz w:val="22"/>
              </w:rPr>
              <w:t>021-20315290 </w:t>
            </w:r>
            <w:r>
              <w:rPr>
                <w:spacing w:val="-1"/>
                <w:sz w:val="22"/>
              </w:rPr>
              <w:t>传真：</w:t>
            </w:r>
            <w:r>
              <w:rPr>
                <w:rFonts w:ascii="Arial" w:eastAsia="Arial"/>
                <w:spacing w:val="-1"/>
                <w:sz w:val="22"/>
              </w:rPr>
              <w:t>021-20315125</w:t>
            </w:r>
          </w:p>
          <w:p>
            <w:pPr>
              <w:pStyle w:val="TableParagraph"/>
              <w:spacing w:line="280" w:lineRule="exact"/>
              <w:ind w:left="105" w:right="95"/>
              <w:jc w:val="center"/>
              <w:rPr>
                <w:rFonts w:ascii="Arial" w:eastAsia="Arial"/>
                <w:sz w:val="22"/>
              </w:rPr>
            </w:pPr>
            <w:r>
              <w:rPr>
                <w:spacing w:val="-2"/>
                <w:sz w:val="22"/>
              </w:rPr>
              <w:t>客户服务电话：</w:t>
            </w:r>
            <w:r>
              <w:rPr>
                <w:rFonts w:ascii="Arial" w:eastAsia="Arial"/>
                <w:sz w:val="22"/>
              </w:rPr>
              <w:t>95538</w:t>
            </w:r>
          </w:p>
          <w:p>
            <w:pPr>
              <w:pStyle w:val="TableParagraph"/>
              <w:spacing w:line="277" w:lineRule="exact" w:before="27"/>
              <w:ind w:left="104" w:right="95"/>
              <w:jc w:val="center"/>
              <w:rPr>
                <w:rFonts w:ascii="Arial" w:eastAsia="Arial"/>
                <w:sz w:val="22"/>
              </w:rPr>
            </w:pPr>
            <w:r>
              <w:rPr>
                <w:sz w:val="22"/>
              </w:rPr>
              <w:t>网址：</w:t>
            </w:r>
            <w:hyperlink r:id="rId76">
              <w:r>
                <w:rPr>
                  <w:rFonts w:ascii="Arial" w:eastAsia="Arial"/>
                  <w:sz w:val="22"/>
                </w:rPr>
                <w:t>www.zts.com.cn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70</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国盛证券有限责任公司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地址：南昌市红谷滩新区</w:t>
            </w:r>
            <w:r>
              <w:rPr>
                <w:spacing w:val="-10"/>
                <w:sz w:val="22"/>
              </w:rPr>
              <w:t>凤凰中大道 </w:t>
            </w:r>
            <w:r>
              <w:rPr>
                <w:rFonts w:ascii="Arial" w:eastAsia="Arial"/>
                <w:sz w:val="22"/>
              </w:rPr>
              <w:t>1115 </w:t>
            </w:r>
            <w:r>
              <w:rPr>
                <w:spacing w:val="-3"/>
                <w:sz w:val="22"/>
              </w:rPr>
              <w:t>号北京银行大楼</w:t>
            </w:r>
          </w:p>
          <w:p>
            <w:pPr>
              <w:pStyle w:val="TableParagraph"/>
              <w:spacing w:line="266" w:lineRule="auto"/>
              <w:ind w:left="932" w:right="920"/>
              <w:jc w:val="center"/>
              <w:rPr>
                <w:sz w:val="22"/>
              </w:rPr>
            </w:pPr>
            <w:r>
              <w:rPr>
                <w:sz w:val="22"/>
              </w:rPr>
              <w:t>法定代表人：徐丽峰联系人：占文驰</w:t>
            </w:r>
          </w:p>
          <w:p>
            <w:pPr>
              <w:pStyle w:val="TableParagraph"/>
              <w:spacing w:line="266" w:lineRule="auto"/>
              <w:ind w:left="822" w:right="810"/>
              <w:jc w:val="center"/>
              <w:rPr>
                <w:rFonts w:ascii="Arial" w:eastAsia="Arial"/>
                <w:sz w:val="22"/>
              </w:rPr>
            </w:pPr>
            <w:r>
              <w:rPr>
                <w:sz w:val="22"/>
              </w:rPr>
              <w:t>电话：</w:t>
            </w:r>
            <w:r>
              <w:rPr>
                <w:rFonts w:ascii="Arial" w:eastAsia="Arial"/>
                <w:sz w:val="22"/>
              </w:rPr>
              <w:t>0791-86283372 </w:t>
            </w:r>
            <w:r>
              <w:rPr>
                <w:sz w:val="22"/>
              </w:rPr>
              <w:t>传真：</w:t>
            </w:r>
            <w:r>
              <w:rPr>
                <w:rFonts w:ascii="Arial" w:eastAsia="Arial"/>
                <w:sz w:val="22"/>
              </w:rPr>
              <w:t>0791-86281305</w:t>
            </w:r>
          </w:p>
          <w:p>
            <w:pPr>
              <w:pStyle w:val="TableParagraph"/>
              <w:spacing w:line="280" w:lineRule="exact"/>
              <w:ind w:left="100" w:right="95"/>
              <w:jc w:val="center"/>
              <w:rPr>
                <w:rFonts w:ascii="Arial" w:eastAsia="Arial"/>
                <w:sz w:val="22"/>
              </w:rPr>
            </w:pPr>
            <w:r>
              <w:rPr>
                <w:sz w:val="22"/>
              </w:rPr>
              <w:t>客户服务电话</w:t>
            </w:r>
            <w:r>
              <w:rPr>
                <w:rFonts w:ascii="Arial" w:eastAsia="Arial"/>
                <w:sz w:val="22"/>
              </w:rPr>
              <w:t>: 400 8222 111</w:t>
            </w:r>
          </w:p>
          <w:p>
            <w:pPr>
              <w:pStyle w:val="TableParagraph"/>
              <w:spacing w:line="277" w:lineRule="exact" w:before="27"/>
              <w:ind w:left="103" w:right="95"/>
              <w:jc w:val="center"/>
              <w:rPr>
                <w:rFonts w:ascii="Arial" w:eastAsia="Arial"/>
                <w:sz w:val="22"/>
              </w:rPr>
            </w:pPr>
            <w:r>
              <w:rPr>
                <w:sz w:val="22"/>
              </w:rPr>
              <w:t>网址：</w:t>
            </w:r>
            <w:hyperlink r:id="rId77">
              <w:r>
                <w:rPr>
                  <w:rFonts w:ascii="Arial" w:eastAsia="Arial"/>
                  <w:sz w:val="22"/>
                </w:rPr>
                <w:t>www.gszq.com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71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2" w:right="77"/>
              <w:jc w:val="center"/>
              <w:rPr>
                <w:sz w:val="22"/>
              </w:rPr>
            </w:pPr>
            <w:r>
              <w:rPr>
                <w:sz w:val="22"/>
              </w:rPr>
              <w:t>国海证券股份有限公司</w:t>
            </w:r>
          </w:p>
        </w:tc>
        <w:tc>
          <w:tcPr>
            <w:tcW w:w="3848" w:type="dxa"/>
          </w:tcPr>
          <w:p>
            <w:pPr>
              <w:pStyle w:val="TableParagraph"/>
              <w:spacing w:line="266" w:lineRule="auto" w:before="15"/>
              <w:ind w:left="107" w:right="95"/>
              <w:jc w:val="center"/>
              <w:rPr>
                <w:sz w:val="22"/>
              </w:rPr>
            </w:pPr>
            <w:r>
              <w:rPr>
                <w:spacing w:val="-7"/>
                <w:sz w:val="22"/>
              </w:rPr>
              <w:t>注册地址：广西桂林市辅星路 </w:t>
            </w:r>
            <w:r>
              <w:rPr>
                <w:rFonts w:ascii="Arial" w:eastAsia="Arial"/>
                <w:sz w:val="22"/>
              </w:rPr>
              <w:t>13</w:t>
            </w:r>
            <w:r>
              <w:rPr>
                <w:rFonts w:ascii="Arial" w:eastAsia="Arial"/>
                <w:spacing w:val="-4"/>
                <w:sz w:val="22"/>
              </w:rPr>
              <w:t> </w:t>
            </w:r>
            <w:r>
              <w:rPr>
                <w:sz w:val="22"/>
              </w:rPr>
              <w:t>号</w:t>
            </w:r>
            <w:r>
              <w:rPr>
                <w:spacing w:val="-13"/>
                <w:sz w:val="22"/>
              </w:rPr>
              <w:t>办公地址：深圳市福田区竹子林四路光</w:t>
            </w:r>
            <w:r>
              <w:rPr>
                <w:spacing w:val="-10"/>
                <w:sz w:val="22"/>
              </w:rPr>
              <w:t>大银行大厦 </w:t>
            </w:r>
            <w:r>
              <w:rPr>
                <w:rFonts w:ascii="Arial" w:eastAsia="Arial"/>
                <w:sz w:val="22"/>
              </w:rPr>
              <w:t>3</w:t>
            </w:r>
            <w:r>
              <w:rPr>
                <w:rFonts w:ascii="Arial" w:eastAsia="Arial"/>
                <w:spacing w:val="-7"/>
                <w:sz w:val="22"/>
              </w:rPr>
              <w:t> </w:t>
            </w:r>
            <w:r>
              <w:rPr>
                <w:sz w:val="22"/>
              </w:rPr>
              <w:t>楼</w:t>
            </w:r>
          </w:p>
          <w:p>
            <w:pPr>
              <w:pStyle w:val="TableParagraph"/>
              <w:spacing w:line="266" w:lineRule="auto"/>
              <w:ind w:left="932" w:right="920"/>
              <w:jc w:val="center"/>
              <w:rPr>
                <w:sz w:val="22"/>
              </w:rPr>
            </w:pPr>
            <w:r>
              <w:rPr>
                <w:spacing w:val="-4"/>
                <w:sz w:val="22"/>
              </w:rPr>
              <w:t>法定代表人：张雅锋</w:t>
            </w:r>
            <w:r>
              <w:rPr>
                <w:spacing w:val="-1"/>
                <w:sz w:val="22"/>
              </w:rPr>
              <w:t>联系人：牛孟宇</w:t>
            </w:r>
          </w:p>
          <w:p>
            <w:pPr>
              <w:pStyle w:val="TableParagraph"/>
              <w:spacing w:line="266" w:lineRule="auto"/>
              <w:ind w:left="601" w:right="590"/>
              <w:jc w:val="center"/>
              <w:rPr>
                <w:rFonts w:ascii="Arial" w:eastAsia="Arial"/>
                <w:sz w:val="22"/>
              </w:rPr>
            </w:pPr>
            <w:r>
              <w:rPr>
                <w:spacing w:val="-2"/>
                <w:sz w:val="22"/>
              </w:rPr>
              <w:t>联系电话：</w:t>
            </w:r>
            <w:r>
              <w:rPr>
                <w:rFonts w:ascii="Arial" w:eastAsia="Arial"/>
                <w:spacing w:val="-1"/>
                <w:sz w:val="22"/>
              </w:rPr>
              <w:t>0755-83709350 </w:t>
            </w:r>
            <w:r>
              <w:rPr>
                <w:sz w:val="22"/>
              </w:rPr>
              <w:t>传真：</w:t>
            </w:r>
            <w:r>
              <w:rPr>
                <w:rFonts w:ascii="Arial" w:eastAsia="Arial"/>
                <w:sz w:val="22"/>
              </w:rPr>
              <w:t>0755-83700205</w:t>
            </w:r>
          </w:p>
          <w:p>
            <w:pPr>
              <w:pStyle w:val="TableParagraph"/>
              <w:spacing w:line="281" w:lineRule="exact"/>
              <w:ind w:left="105" w:right="95"/>
              <w:jc w:val="center"/>
              <w:rPr>
                <w:rFonts w:ascii="Arial" w:eastAsia="Arial"/>
                <w:sz w:val="22"/>
              </w:rPr>
            </w:pPr>
            <w:r>
              <w:rPr>
                <w:spacing w:val="-2"/>
                <w:sz w:val="22"/>
              </w:rPr>
              <w:t>客户服务电话：</w:t>
            </w:r>
            <w:r>
              <w:rPr>
                <w:rFonts w:ascii="Arial" w:eastAsia="Arial"/>
                <w:sz w:val="22"/>
              </w:rPr>
              <w:t>95563</w:t>
            </w:r>
          </w:p>
          <w:p>
            <w:pPr>
              <w:pStyle w:val="TableParagraph"/>
              <w:spacing w:line="277" w:lineRule="exact" w:before="25"/>
              <w:ind w:left="104" w:right="95"/>
              <w:jc w:val="center"/>
              <w:rPr>
                <w:rFonts w:ascii="Arial" w:eastAsia="Arial"/>
                <w:sz w:val="22"/>
              </w:rPr>
            </w:pPr>
            <w:r>
              <w:rPr>
                <w:sz w:val="22"/>
              </w:rPr>
              <w:t>公司网址：</w:t>
            </w:r>
            <w:hyperlink r:id="rId78">
              <w:r>
                <w:rPr>
                  <w:rFonts w:ascii="Arial" w:eastAsia="Arial"/>
                  <w:sz w:val="22"/>
                </w:rPr>
                <w:t>www.ghzq.com.cn</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87"/>
              <w:jc w:val="right"/>
              <w:rPr>
                <w:rFonts w:ascii="Arial"/>
                <w:sz w:val="21"/>
              </w:rPr>
            </w:pPr>
            <w:r>
              <w:rPr>
                <w:rFonts w:ascii="Arial"/>
                <w:sz w:val="21"/>
              </w:rPr>
              <w:t>72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2" w:right="77"/>
              <w:jc w:val="center"/>
              <w:rPr>
                <w:sz w:val="22"/>
              </w:rPr>
            </w:pPr>
            <w:r>
              <w:rPr>
                <w:sz w:val="22"/>
              </w:rPr>
              <w:t>中信证券（山东）有限责任公司</w:t>
            </w:r>
          </w:p>
        </w:tc>
        <w:tc>
          <w:tcPr>
            <w:tcW w:w="3848" w:type="dxa"/>
          </w:tcPr>
          <w:p>
            <w:pPr>
              <w:pStyle w:val="TableParagraph"/>
              <w:spacing w:line="266" w:lineRule="auto" w:before="17"/>
              <w:ind w:left="107" w:right="95"/>
              <w:jc w:val="center"/>
              <w:rPr>
                <w:rFonts w:ascii="Arial" w:eastAsia="Arial"/>
                <w:sz w:val="22"/>
              </w:rPr>
            </w:pPr>
            <w:r>
              <w:rPr>
                <w:spacing w:val="-18"/>
                <w:sz w:val="22"/>
              </w:rPr>
              <w:t>注册</w:t>
            </w:r>
            <w:r>
              <w:rPr>
                <w:sz w:val="22"/>
              </w:rPr>
              <w:t>（</w:t>
            </w:r>
            <w:r>
              <w:rPr>
                <w:spacing w:val="-2"/>
                <w:sz w:val="22"/>
              </w:rPr>
              <w:t>办公</w:t>
            </w:r>
            <w:r>
              <w:rPr>
                <w:spacing w:val="-39"/>
                <w:sz w:val="22"/>
              </w:rPr>
              <w:t>）</w:t>
            </w:r>
            <w:r>
              <w:rPr>
                <w:spacing w:val="-8"/>
                <w:sz w:val="22"/>
              </w:rPr>
              <w:t>地址：青岛市崂山区深圳</w:t>
            </w:r>
            <w:r>
              <w:rPr>
                <w:spacing w:val="-28"/>
                <w:sz w:val="22"/>
              </w:rPr>
              <w:t>路 </w:t>
            </w:r>
            <w:r>
              <w:rPr>
                <w:rFonts w:ascii="Arial" w:eastAsia="Arial"/>
                <w:sz w:val="22"/>
              </w:rPr>
              <w:t>222 </w:t>
            </w:r>
            <w:r>
              <w:rPr>
                <w:spacing w:val="-28"/>
                <w:sz w:val="22"/>
              </w:rPr>
              <w:t>号 </w:t>
            </w:r>
            <w:r>
              <w:rPr>
                <w:rFonts w:ascii="Arial" w:eastAsia="Arial"/>
                <w:sz w:val="22"/>
              </w:rPr>
              <w:t>1 </w:t>
            </w:r>
            <w:r>
              <w:rPr>
                <w:spacing w:val="-20"/>
                <w:sz w:val="22"/>
              </w:rPr>
              <w:t>号楼 </w:t>
            </w:r>
            <w:r>
              <w:rPr>
                <w:rFonts w:ascii="Arial" w:eastAsia="Arial"/>
                <w:sz w:val="22"/>
              </w:rPr>
              <w:t>2001</w:t>
            </w:r>
          </w:p>
          <w:p>
            <w:pPr>
              <w:pStyle w:val="TableParagraph"/>
              <w:spacing w:line="266" w:lineRule="auto"/>
              <w:ind w:left="932" w:right="920"/>
              <w:jc w:val="center"/>
              <w:rPr>
                <w:sz w:val="22"/>
              </w:rPr>
            </w:pPr>
            <w:r>
              <w:rPr>
                <w:sz w:val="22"/>
              </w:rPr>
              <w:t>法定代表人：姜晓林联系人：刘晓明</w:t>
            </w:r>
          </w:p>
          <w:p>
            <w:pPr>
              <w:pStyle w:val="TableParagraph"/>
              <w:spacing w:line="266" w:lineRule="auto"/>
              <w:ind w:left="527" w:right="519"/>
              <w:jc w:val="center"/>
              <w:rPr>
                <w:rFonts w:ascii="Arial" w:eastAsia="Arial"/>
                <w:sz w:val="22"/>
              </w:rPr>
            </w:pPr>
            <w:r>
              <w:rPr>
                <w:spacing w:val="-2"/>
                <w:sz w:val="22"/>
              </w:rPr>
              <w:t>联系电话：</w:t>
            </w:r>
            <w:r>
              <w:rPr>
                <w:rFonts w:ascii="Arial" w:eastAsia="Arial"/>
                <w:spacing w:val="-1"/>
                <w:sz w:val="22"/>
              </w:rPr>
              <w:t>0531</w:t>
            </w:r>
            <w:r>
              <w:rPr>
                <w:spacing w:val="-1"/>
                <w:sz w:val="22"/>
              </w:rPr>
              <w:t>－</w:t>
            </w:r>
            <w:r>
              <w:rPr>
                <w:rFonts w:ascii="Arial" w:eastAsia="Arial"/>
                <w:spacing w:val="-1"/>
                <w:sz w:val="22"/>
              </w:rPr>
              <w:t>89606165 </w:t>
            </w:r>
            <w:r>
              <w:rPr>
                <w:sz w:val="22"/>
              </w:rPr>
              <w:t>传真：</w:t>
            </w:r>
            <w:r>
              <w:rPr>
                <w:rFonts w:ascii="Arial" w:eastAsia="Arial"/>
                <w:sz w:val="22"/>
              </w:rPr>
              <w:t>0532-85022605</w:t>
            </w:r>
          </w:p>
          <w:p>
            <w:pPr>
              <w:pStyle w:val="TableParagraph"/>
              <w:spacing w:line="280" w:lineRule="exact"/>
              <w:ind w:left="105" w:right="95"/>
              <w:jc w:val="center"/>
              <w:rPr>
                <w:rFonts w:ascii="Arial" w:eastAsia="Arial"/>
                <w:sz w:val="22"/>
              </w:rPr>
            </w:pPr>
            <w:r>
              <w:rPr>
                <w:spacing w:val="-2"/>
                <w:sz w:val="22"/>
              </w:rPr>
              <w:t>客户服务电话：</w:t>
            </w:r>
            <w:r>
              <w:rPr>
                <w:rFonts w:ascii="Arial" w:eastAsia="Arial"/>
                <w:sz w:val="22"/>
              </w:rPr>
              <w:t>95548</w:t>
            </w:r>
          </w:p>
          <w:p>
            <w:pPr>
              <w:pStyle w:val="TableParagraph"/>
              <w:spacing w:line="277" w:lineRule="exact" w:before="27"/>
              <w:ind w:left="105" w:right="95"/>
              <w:jc w:val="center"/>
              <w:rPr>
                <w:rFonts w:ascii="Arial" w:eastAsia="Arial"/>
                <w:sz w:val="22"/>
              </w:rPr>
            </w:pPr>
            <w:r>
              <w:rPr>
                <w:sz w:val="22"/>
              </w:rPr>
              <w:t>网址：</w:t>
            </w:r>
            <w:hyperlink r:id="rId79">
              <w:r>
                <w:rPr>
                  <w:rFonts w:ascii="Arial" w:eastAsia="Arial"/>
                  <w:sz w:val="22"/>
                </w:rPr>
                <w:t>www.zxwt.com.cn</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73</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西南证券股份有限公司</w:t>
            </w:r>
          </w:p>
        </w:tc>
        <w:tc>
          <w:tcPr>
            <w:tcW w:w="3848" w:type="dxa"/>
            <w:tcBorders>
              <w:top w:val="nil"/>
            </w:tcBorders>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地址：重庆市江北区桥北</w:t>
            </w:r>
            <w:r>
              <w:rPr>
                <w:spacing w:val="-31"/>
                <w:sz w:val="22"/>
              </w:rPr>
              <w:t>苑 </w:t>
            </w:r>
            <w:r>
              <w:rPr>
                <w:rFonts w:ascii="Arial" w:eastAsia="Arial"/>
                <w:sz w:val="22"/>
              </w:rPr>
              <w:t>8 </w:t>
            </w:r>
            <w:r>
              <w:rPr>
                <w:sz w:val="22"/>
              </w:rPr>
              <w:t>号</w:t>
            </w:r>
          </w:p>
          <w:p>
            <w:pPr>
              <w:pStyle w:val="TableParagraph"/>
              <w:spacing w:line="266" w:lineRule="auto"/>
              <w:ind w:left="1040" w:right="1032"/>
              <w:jc w:val="center"/>
              <w:rPr>
                <w:sz w:val="22"/>
              </w:rPr>
            </w:pPr>
            <w:r>
              <w:rPr>
                <w:sz w:val="22"/>
              </w:rPr>
              <w:t>法定代表人：吴坚联系人：张煜</w:t>
            </w:r>
          </w:p>
          <w:p>
            <w:pPr>
              <w:pStyle w:val="TableParagraph"/>
              <w:spacing w:line="266" w:lineRule="auto"/>
              <w:ind w:left="882" w:right="872"/>
              <w:jc w:val="center"/>
              <w:rPr>
                <w:rFonts w:ascii="Arial" w:eastAsia="Arial"/>
                <w:sz w:val="22"/>
              </w:rPr>
            </w:pPr>
            <w:r>
              <w:rPr>
                <w:sz w:val="22"/>
              </w:rPr>
              <w:t>电话：</w:t>
            </w:r>
            <w:r>
              <w:rPr>
                <w:rFonts w:ascii="Arial" w:eastAsia="Arial"/>
                <w:sz w:val="22"/>
              </w:rPr>
              <w:t>023-63786141 </w:t>
            </w:r>
            <w:r>
              <w:rPr>
                <w:sz w:val="22"/>
              </w:rPr>
              <w:t>传真：</w:t>
            </w:r>
            <w:r>
              <w:rPr>
                <w:rFonts w:ascii="Arial" w:eastAsia="Arial"/>
                <w:sz w:val="22"/>
              </w:rPr>
              <w:t>023-63786212</w:t>
            </w:r>
          </w:p>
          <w:p>
            <w:pPr>
              <w:pStyle w:val="TableParagraph"/>
              <w:spacing w:line="280" w:lineRule="exact"/>
              <w:ind w:left="105" w:right="95"/>
              <w:jc w:val="center"/>
              <w:rPr>
                <w:rFonts w:ascii="Arial" w:eastAsia="Arial"/>
                <w:sz w:val="22"/>
              </w:rPr>
            </w:pPr>
            <w:r>
              <w:rPr>
                <w:sz w:val="22"/>
              </w:rPr>
              <w:t>客服电话：</w:t>
            </w:r>
            <w:r>
              <w:rPr>
                <w:rFonts w:ascii="Arial" w:eastAsia="Arial"/>
                <w:sz w:val="22"/>
              </w:rPr>
              <w:t>400 809 6096</w:t>
            </w:r>
          </w:p>
          <w:p>
            <w:pPr>
              <w:pStyle w:val="TableParagraph"/>
              <w:spacing w:line="277" w:lineRule="exact" w:before="27"/>
              <w:ind w:left="105" w:right="95"/>
              <w:jc w:val="center"/>
              <w:rPr>
                <w:rFonts w:ascii="Arial" w:eastAsia="Arial"/>
                <w:sz w:val="22"/>
              </w:rPr>
            </w:pPr>
            <w:r>
              <w:rPr>
                <w:sz w:val="22"/>
              </w:rPr>
              <w:t>公司网站： </w:t>
            </w:r>
            <w:hyperlink r:id="rId80">
              <w:r>
                <w:rPr>
                  <w:rFonts w:ascii="Arial" w:eastAsia="Arial"/>
                  <w:sz w:val="22"/>
                </w:rPr>
                <w:t>www.swsc.com.cn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74</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东海证券股份有限公司</w:t>
            </w:r>
          </w:p>
        </w:tc>
        <w:tc>
          <w:tcPr>
            <w:tcW w:w="3848" w:type="dxa"/>
          </w:tcPr>
          <w:p>
            <w:pPr>
              <w:pStyle w:val="TableParagraph"/>
              <w:spacing w:before="15"/>
              <w:ind w:left="8"/>
              <w:jc w:val="center"/>
              <w:rPr>
                <w:sz w:val="22"/>
              </w:rPr>
            </w:pPr>
            <w:r>
              <w:rPr>
                <w:sz w:val="22"/>
              </w:rPr>
              <w:t>注册地址：江苏省常州延陵西路 23 号</w:t>
            </w:r>
          </w:p>
          <w:p>
            <w:pPr>
              <w:pStyle w:val="TableParagraph"/>
              <w:spacing w:before="30"/>
              <w:ind w:left="102" w:right="95"/>
              <w:jc w:val="center"/>
              <w:rPr>
                <w:sz w:val="22"/>
              </w:rPr>
            </w:pPr>
            <w:r>
              <w:rPr>
                <w:sz w:val="22"/>
              </w:rPr>
              <w:t>投资广场 18 层</w:t>
            </w:r>
          </w:p>
          <w:p>
            <w:pPr>
              <w:pStyle w:val="TableParagraph"/>
              <w:spacing w:line="266" w:lineRule="auto" w:before="30"/>
              <w:ind w:left="107" w:right="95"/>
              <w:jc w:val="center"/>
              <w:rPr>
                <w:sz w:val="22"/>
              </w:rPr>
            </w:pPr>
            <w:r>
              <w:rPr>
                <w:sz w:val="22"/>
              </w:rPr>
              <w:t>办公地址：上海市浦东新区东方路1928 号东海证券大厦</w:t>
            </w:r>
          </w:p>
          <w:p>
            <w:pPr>
              <w:pStyle w:val="TableParagraph"/>
              <w:spacing w:line="266" w:lineRule="auto"/>
              <w:ind w:left="932" w:right="920"/>
              <w:jc w:val="both"/>
              <w:rPr>
                <w:sz w:val="22"/>
              </w:rPr>
            </w:pPr>
            <w:r>
              <w:rPr>
                <w:sz w:val="22"/>
              </w:rPr>
              <w:t>法定代表人：钱俊文电话：021-20333333 传真：021-50498825</w:t>
            </w:r>
          </w:p>
          <w:p>
            <w:pPr>
              <w:pStyle w:val="TableParagraph"/>
              <w:spacing w:line="279" w:lineRule="exact"/>
              <w:ind w:left="102" w:right="95"/>
              <w:jc w:val="center"/>
              <w:rPr>
                <w:sz w:val="22"/>
              </w:rPr>
            </w:pPr>
            <w:r>
              <w:rPr>
                <w:sz w:val="22"/>
              </w:rPr>
              <w:t>联系人：王一彦</w:t>
            </w:r>
          </w:p>
          <w:p>
            <w:pPr>
              <w:pStyle w:val="TableParagraph"/>
              <w:spacing w:before="29"/>
              <w:ind w:left="101" w:right="95"/>
              <w:jc w:val="center"/>
              <w:rPr>
                <w:sz w:val="22"/>
              </w:rPr>
            </w:pPr>
            <w:r>
              <w:rPr>
                <w:sz w:val="22"/>
              </w:rPr>
              <w:t>客服电话：95531；400-8888-588</w:t>
            </w:r>
          </w:p>
          <w:p>
            <w:pPr>
              <w:pStyle w:val="TableParagraph"/>
              <w:spacing w:line="277" w:lineRule="exact" w:before="30"/>
              <w:ind w:left="100" w:right="95"/>
              <w:jc w:val="center"/>
              <w:rPr>
                <w:sz w:val="22"/>
              </w:rPr>
            </w:pPr>
            <w:hyperlink r:id="rId81">
              <w:r>
                <w:rPr>
                  <w:sz w:val="22"/>
                </w:rPr>
                <w:t>网址：www.longone.com.cn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75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7" w:right="77"/>
              <w:jc w:val="center"/>
              <w:rPr>
                <w:sz w:val="22"/>
              </w:rPr>
            </w:pPr>
            <w:r>
              <w:rPr>
                <w:sz w:val="22"/>
              </w:rPr>
              <w:t>第一创业证券股份有限公司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地址：深圳市福田区福华</w:t>
            </w:r>
            <w:r>
              <w:rPr>
                <w:spacing w:val="-19"/>
                <w:sz w:val="22"/>
              </w:rPr>
              <w:t>一路 </w:t>
            </w:r>
            <w:r>
              <w:rPr>
                <w:rFonts w:ascii="Arial" w:eastAsia="Arial"/>
                <w:sz w:val="22"/>
              </w:rPr>
              <w:t>115 </w:t>
            </w:r>
            <w:r>
              <w:rPr>
                <w:spacing w:val="-12"/>
                <w:sz w:val="22"/>
              </w:rPr>
              <w:t>号投行大厦 </w:t>
            </w:r>
            <w:r>
              <w:rPr>
                <w:rFonts w:ascii="Arial" w:eastAsia="Arial"/>
                <w:sz w:val="22"/>
              </w:rPr>
              <w:t>20 </w:t>
            </w:r>
            <w:r>
              <w:rPr>
                <w:sz w:val="22"/>
              </w:rPr>
              <w:t>楼</w:t>
            </w:r>
          </w:p>
          <w:p>
            <w:pPr>
              <w:pStyle w:val="TableParagraph"/>
              <w:spacing w:line="266" w:lineRule="auto"/>
              <w:ind w:left="932" w:right="920"/>
              <w:jc w:val="center"/>
              <w:rPr>
                <w:sz w:val="22"/>
              </w:rPr>
            </w:pPr>
            <w:r>
              <w:rPr>
                <w:sz w:val="22"/>
              </w:rPr>
              <w:t>法定代表人：刘学民联系人：毛诗莉</w:t>
            </w:r>
          </w:p>
          <w:p>
            <w:pPr>
              <w:pStyle w:val="TableParagraph"/>
              <w:spacing w:line="266" w:lineRule="auto"/>
              <w:ind w:left="688" w:right="677" w:firstLine="134"/>
              <w:jc w:val="both"/>
              <w:rPr>
                <w:rFonts w:ascii="Arial" w:eastAsia="Arial"/>
                <w:sz w:val="22"/>
              </w:rPr>
            </w:pPr>
            <w:r>
              <w:rPr>
                <w:sz w:val="22"/>
              </w:rPr>
              <w:t>电话：</w:t>
            </w:r>
            <w:r>
              <w:rPr>
                <w:rFonts w:ascii="Arial" w:eastAsia="Arial"/>
                <w:sz w:val="22"/>
              </w:rPr>
              <w:t>0755-23838750 </w:t>
            </w:r>
            <w:r>
              <w:rPr>
                <w:sz w:val="22"/>
              </w:rPr>
              <w:t>传真：</w:t>
            </w:r>
            <w:r>
              <w:rPr>
                <w:rFonts w:ascii="Arial" w:eastAsia="Arial"/>
                <w:sz w:val="22"/>
              </w:rPr>
              <w:t>0755-23838750 </w:t>
            </w:r>
            <w:r>
              <w:rPr>
                <w:spacing w:val="-2"/>
                <w:sz w:val="22"/>
              </w:rPr>
              <w:t>客服电话：</w:t>
            </w:r>
            <w:r>
              <w:rPr>
                <w:rFonts w:ascii="Arial" w:eastAsia="Arial"/>
                <w:spacing w:val="-1"/>
                <w:sz w:val="22"/>
              </w:rPr>
              <w:t>400-888-1888</w:t>
            </w:r>
          </w:p>
          <w:p>
            <w:pPr>
              <w:pStyle w:val="TableParagraph"/>
              <w:spacing w:line="274" w:lineRule="exact"/>
              <w:ind w:left="104" w:right="95"/>
              <w:jc w:val="center"/>
              <w:rPr>
                <w:rFonts w:ascii="Arial" w:eastAsia="Arial"/>
                <w:sz w:val="22"/>
              </w:rPr>
            </w:pPr>
            <w:r>
              <w:rPr>
                <w:sz w:val="22"/>
              </w:rPr>
              <w:t>网址：</w:t>
            </w:r>
            <w:hyperlink r:id="rId82">
              <w:r>
                <w:rPr>
                  <w:rFonts w:ascii="Arial" w:eastAsia="Arial"/>
                  <w:sz w:val="22"/>
                </w:rPr>
                <w:t>www.fcsc.com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87"/>
              <w:jc w:val="right"/>
              <w:rPr>
                <w:rFonts w:ascii="Arial"/>
                <w:sz w:val="21"/>
              </w:rPr>
            </w:pPr>
            <w:r>
              <w:rPr>
                <w:rFonts w:ascii="Arial"/>
                <w:sz w:val="21"/>
              </w:rPr>
              <w:t>76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川财证券有限责任公司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地址：成都市高新区交子</w:t>
            </w:r>
            <w:r>
              <w:rPr>
                <w:spacing w:val="-18"/>
                <w:sz w:val="22"/>
              </w:rPr>
              <w:t>大道 </w:t>
            </w:r>
            <w:r>
              <w:rPr>
                <w:rFonts w:ascii="Arial" w:eastAsia="Arial"/>
                <w:sz w:val="22"/>
              </w:rPr>
              <w:t>177 </w:t>
            </w:r>
            <w:r>
              <w:rPr>
                <w:spacing w:val="-10"/>
                <w:sz w:val="22"/>
              </w:rPr>
              <w:t>号中海国际中心 </w:t>
            </w:r>
            <w:r>
              <w:rPr>
                <w:rFonts w:ascii="Arial" w:eastAsia="Arial"/>
                <w:sz w:val="22"/>
              </w:rPr>
              <w:t>B </w:t>
            </w:r>
            <w:r>
              <w:rPr>
                <w:spacing w:val="-27"/>
                <w:sz w:val="22"/>
              </w:rPr>
              <w:t>座 </w:t>
            </w:r>
            <w:r>
              <w:rPr>
                <w:rFonts w:ascii="Arial" w:eastAsia="Arial"/>
                <w:sz w:val="22"/>
              </w:rPr>
              <w:t>17 </w:t>
            </w:r>
            <w:r>
              <w:rPr>
                <w:sz w:val="22"/>
              </w:rPr>
              <w:t>层</w:t>
            </w:r>
            <w:r>
              <w:rPr>
                <w:spacing w:val="-2"/>
                <w:sz w:val="22"/>
              </w:rPr>
              <w:t>法定代表人：孟建军</w:t>
            </w:r>
          </w:p>
          <w:p>
            <w:pPr>
              <w:pStyle w:val="TableParagraph"/>
              <w:spacing w:line="279" w:lineRule="exact"/>
              <w:ind w:left="102" w:right="95"/>
              <w:jc w:val="center"/>
              <w:rPr>
                <w:sz w:val="22"/>
              </w:rPr>
            </w:pPr>
            <w:r>
              <w:rPr>
                <w:sz w:val="22"/>
              </w:rPr>
              <w:t>联系人：匡婷</w:t>
            </w:r>
          </w:p>
          <w:p>
            <w:pPr>
              <w:pStyle w:val="TableParagraph"/>
              <w:spacing w:line="266" w:lineRule="auto" w:before="30"/>
              <w:ind w:left="882" w:right="872"/>
              <w:jc w:val="center"/>
              <w:rPr>
                <w:rFonts w:ascii="Arial" w:eastAsia="Arial"/>
                <w:sz w:val="22"/>
              </w:rPr>
            </w:pPr>
            <w:r>
              <w:rPr>
                <w:sz w:val="22"/>
              </w:rPr>
              <w:t>电话：</w:t>
            </w:r>
            <w:r>
              <w:rPr>
                <w:rFonts w:ascii="Arial" w:eastAsia="Arial"/>
                <w:sz w:val="22"/>
              </w:rPr>
              <w:t>028-86583053 </w:t>
            </w:r>
            <w:r>
              <w:rPr>
                <w:sz w:val="22"/>
              </w:rPr>
              <w:t>传真：</w:t>
            </w:r>
            <w:r>
              <w:rPr>
                <w:rFonts w:ascii="Arial" w:eastAsia="Arial"/>
                <w:sz w:val="22"/>
              </w:rPr>
              <w:t>028-86583053</w:t>
            </w:r>
          </w:p>
          <w:p>
            <w:pPr>
              <w:pStyle w:val="TableParagraph"/>
              <w:spacing w:line="281" w:lineRule="exact"/>
              <w:ind w:left="103" w:right="95"/>
              <w:jc w:val="center"/>
              <w:rPr>
                <w:rFonts w:ascii="Arial" w:eastAsia="Arial"/>
                <w:sz w:val="22"/>
              </w:rPr>
            </w:pPr>
            <w:r>
              <w:rPr>
                <w:sz w:val="22"/>
              </w:rPr>
              <w:t>客户服务电话：</w:t>
            </w:r>
            <w:r>
              <w:rPr>
                <w:rFonts w:ascii="Arial" w:eastAsia="Arial"/>
                <w:sz w:val="22"/>
              </w:rPr>
              <w:t>028-95105118</w:t>
            </w:r>
          </w:p>
          <w:p>
            <w:pPr>
              <w:pStyle w:val="TableParagraph"/>
              <w:spacing w:line="277" w:lineRule="exact" w:before="30"/>
              <w:ind w:left="101" w:right="95"/>
              <w:jc w:val="center"/>
              <w:rPr>
                <w:rFonts w:ascii="Arial" w:eastAsia="Arial"/>
                <w:sz w:val="22"/>
              </w:rPr>
            </w:pPr>
            <w:r>
              <w:rPr>
                <w:sz w:val="22"/>
              </w:rPr>
              <w:t>公司网址：</w:t>
            </w:r>
            <w:hyperlink r:id="rId83">
              <w:r>
                <w:rPr>
                  <w:rFonts w:ascii="Arial" w:eastAsia="Arial"/>
                  <w:sz w:val="22"/>
                </w:rPr>
                <w:t>http://www.cczq.com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right="187"/>
              <w:jc w:val="right"/>
              <w:rPr>
                <w:rFonts w:ascii="Arial"/>
                <w:sz w:val="21"/>
              </w:rPr>
            </w:pPr>
            <w:r>
              <w:rPr>
                <w:rFonts w:ascii="Arial"/>
                <w:sz w:val="21"/>
              </w:rPr>
              <w:t>77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2" w:right="77"/>
              <w:jc w:val="center"/>
              <w:rPr>
                <w:sz w:val="22"/>
              </w:rPr>
            </w:pPr>
            <w:r>
              <w:rPr>
                <w:sz w:val="22"/>
              </w:rPr>
              <w:t>天风证券股份有限公司</w:t>
            </w:r>
          </w:p>
        </w:tc>
        <w:tc>
          <w:tcPr>
            <w:tcW w:w="3848" w:type="dxa"/>
          </w:tcPr>
          <w:p>
            <w:pPr>
              <w:pStyle w:val="TableParagraph"/>
              <w:spacing w:line="266" w:lineRule="auto" w:before="17"/>
              <w:ind w:left="107" w:right="95"/>
              <w:jc w:val="center"/>
              <w:rPr>
                <w:sz w:val="22"/>
              </w:rPr>
            </w:pPr>
            <w:r>
              <w:rPr>
                <w:spacing w:val="-13"/>
                <w:sz w:val="22"/>
              </w:rPr>
              <w:t>注册地址：湖北省武汉市东湖新技术开</w:t>
            </w:r>
            <w:r>
              <w:rPr>
                <w:spacing w:val="-9"/>
                <w:sz w:val="22"/>
              </w:rPr>
              <w:t>发区关东园路 </w:t>
            </w:r>
            <w:r>
              <w:rPr>
                <w:rFonts w:ascii="Arial" w:eastAsia="Arial"/>
                <w:sz w:val="22"/>
              </w:rPr>
              <w:t>2 </w:t>
            </w:r>
            <w:r>
              <w:rPr>
                <w:spacing w:val="-12"/>
                <w:sz w:val="22"/>
              </w:rPr>
              <w:t>号高科大厦 </w:t>
            </w:r>
            <w:r>
              <w:rPr>
                <w:rFonts w:ascii="Arial" w:eastAsia="Arial"/>
                <w:sz w:val="22"/>
              </w:rPr>
              <w:t>4 </w:t>
            </w:r>
            <w:r>
              <w:rPr>
                <w:sz w:val="22"/>
              </w:rPr>
              <w:t>楼</w:t>
            </w:r>
          </w:p>
          <w:p>
            <w:pPr>
              <w:pStyle w:val="TableParagraph"/>
              <w:spacing w:line="280" w:lineRule="exact"/>
              <w:ind w:left="10"/>
              <w:jc w:val="center"/>
              <w:rPr>
                <w:sz w:val="22"/>
              </w:rPr>
            </w:pPr>
            <w:r>
              <w:rPr>
                <w:sz w:val="22"/>
              </w:rPr>
              <w:t>办公地址：湖北省武汉市武昌区中南路</w:t>
            </w:r>
          </w:p>
          <w:p>
            <w:pPr>
              <w:pStyle w:val="TableParagraph"/>
              <w:spacing w:line="266" w:lineRule="auto" w:before="30"/>
              <w:ind w:left="697" w:right="684"/>
              <w:jc w:val="center"/>
              <w:rPr>
                <w:sz w:val="22"/>
              </w:rPr>
            </w:pPr>
            <w:r>
              <w:rPr>
                <w:rFonts w:ascii="Arial" w:eastAsia="Arial"/>
                <w:sz w:val="22"/>
              </w:rPr>
              <w:t>99 </w:t>
            </w:r>
            <w:r>
              <w:rPr>
                <w:spacing w:val="-10"/>
                <w:sz w:val="22"/>
              </w:rPr>
              <w:t>号保利广场 </w:t>
            </w:r>
            <w:r>
              <w:rPr>
                <w:rFonts w:ascii="Arial" w:eastAsia="Arial"/>
                <w:sz w:val="22"/>
              </w:rPr>
              <w:t>A </w:t>
            </w:r>
            <w:r>
              <w:rPr>
                <w:spacing w:val="-27"/>
                <w:sz w:val="22"/>
              </w:rPr>
              <w:t>座 </w:t>
            </w:r>
            <w:r>
              <w:rPr>
                <w:rFonts w:ascii="Arial" w:eastAsia="Arial"/>
                <w:sz w:val="22"/>
              </w:rPr>
              <w:t>37 </w:t>
            </w:r>
            <w:r>
              <w:rPr>
                <w:spacing w:val="-13"/>
                <w:sz w:val="22"/>
              </w:rPr>
              <w:t>楼</w:t>
            </w:r>
            <w:r>
              <w:rPr>
                <w:spacing w:val="-2"/>
                <w:sz w:val="22"/>
              </w:rPr>
              <w:t>法定代表人：余磊</w:t>
            </w:r>
          </w:p>
          <w:p>
            <w:pPr>
              <w:pStyle w:val="TableParagraph"/>
              <w:spacing w:line="280" w:lineRule="exact"/>
              <w:ind w:left="102" w:right="95"/>
              <w:jc w:val="center"/>
              <w:rPr>
                <w:sz w:val="22"/>
              </w:rPr>
            </w:pPr>
            <w:r>
              <w:rPr>
                <w:sz w:val="22"/>
              </w:rPr>
              <w:t>联系人：崔成</w:t>
            </w:r>
          </w:p>
          <w:p>
            <w:pPr>
              <w:pStyle w:val="TableParagraph"/>
              <w:spacing w:line="266" w:lineRule="auto" w:before="30"/>
              <w:ind w:left="882" w:right="872"/>
              <w:jc w:val="center"/>
              <w:rPr>
                <w:rFonts w:ascii="Arial" w:eastAsia="Arial"/>
                <w:sz w:val="22"/>
              </w:rPr>
            </w:pPr>
            <w:r>
              <w:rPr>
                <w:sz w:val="22"/>
              </w:rPr>
              <w:t>电话：</w:t>
            </w:r>
            <w:r>
              <w:rPr>
                <w:rFonts w:ascii="Arial" w:eastAsia="Arial"/>
                <w:sz w:val="22"/>
              </w:rPr>
              <w:t>027-87610052 </w:t>
            </w:r>
            <w:r>
              <w:rPr>
                <w:sz w:val="22"/>
              </w:rPr>
              <w:t>传真：</w:t>
            </w:r>
            <w:r>
              <w:rPr>
                <w:rFonts w:ascii="Arial" w:eastAsia="Arial"/>
                <w:sz w:val="22"/>
              </w:rPr>
              <w:t>027-87618863</w:t>
            </w:r>
          </w:p>
          <w:p>
            <w:pPr>
              <w:pStyle w:val="TableParagraph"/>
              <w:spacing w:line="281" w:lineRule="exact"/>
              <w:ind w:left="100" w:right="95"/>
              <w:jc w:val="center"/>
              <w:rPr>
                <w:rFonts w:ascii="Arial" w:eastAsia="Arial"/>
                <w:sz w:val="22"/>
              </w:rPr>
            </w:pPr>
            <w:r>
              <w:rPr>
                <w:sz w:val="22"/>
              </w:rPr>
              <w:t>客户服务电话：</w:t>
            </w:r>
            <w:r>
              <w:rPr>
                <w:rFonts w:ascii="Arial" w:eastAsia="Arial"/>
                <w:sz w:val="22"/>
              </w:rPr>
              <w:t>4008005000</w:t>
            </w:r>
          </w:p>
          <w:p>
            <w:pPr>
              <w:pStyle w:val="TableParagraph"/>
              <w:spacing w:line="277" w:lineRule="exact" w:before="30"/>
              <w:ind w:left="101" w:right="95"/>
              <w:jc w:val="center"/>
              <w:rPr>
                <w:rFonts w:ascii="Arial" w:eastAsia="Arial"/>
                <w:sz w:val="22"/>
              </w:rPr>
            </w:pPr>
            <w:r>
              <w:rPr>
                <w:sz w:val="22"/>
              </w:rPr>
              <w:t>网址：</w:t>
            </w:r>
            <w:hyperlink r:id="rId84">
              <w:r>
                <w:rPr>
                  <w:rFonts w:ascii="Arial" w:eastAsia="Arial"/>
                  <w:sz w:val="22"/>
                </w:rPr>
                <w:t>www.tfzq.com</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78</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004"/>
              <w:rPr>
                <w:sz w:val="22"/>
              </w:rPr>
            </w:pPr>
            <w:r>
              <w:rPr>
                <w:sz w:val="22"/>
              </w:rPr>
              <w:t>中信期货有限公司</w:t>
            </w:r>
          </w:p>
        </w:tc>
        <w:tc>
          <w:tcPr>
            <w:tcW w:w="3848" w:type="dxa"/>
            <w:tcBorders>
              <w:top w:val="nil"/>
            </w:tcBorders>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地址：深圳市福田区中心</w:t>
            </w:r>
            <w:r>
              <w:rPr>
                <w:spacing w:val="-17"/>
                <w:sz w:val="22"/>
              </w:rPr>
              <w:t>三路 </w:t>
            </w:r>
            <w:r>
              <w:rPr>
                <w:rFonts w:ascii="Arial" w:eastAsia="Arial"/>
                <w:sz w:val="22"/>
              </w:rPr>
              <w:t>8 </w:t>
            </w:r>
            <w:r>
              <w:rPr>
                <w:spacing w:val="-3"/>
                <w:sz w:val="22"/>
              </w:rPr>
              <w:t>号卓越时代广场（</w:t>
            </w:r>
            <w:r>
              <w:rPr>
                <w:sz w:val="22"/>
              </w:rPr>
              <w:t>二期）</w:t>
            </w:r>
            <w:r>
              <w:rPr>
                <w:spacing w:val="-2"/>
                <w:sz w:val="22"/>
              </w:rPr>
              <w:t>北座</w:t>
            </w:r>
          </w:p>
          <w:p>
            <w:pPr>
              <w:pStyle w:val="TableParagraph"/>
              <w:spacing w:line="280" w:lineRule="exact"/>
              <w:ind w:left="103" w:right="95"/>
              <w:jc w:val="center"/>
              <w:rPr>
                <w:sz w:val="22"/>
              </w:rPr>
            </w:pPr>
            <w:r>
              <w:rPr>
                <w:rFonts w:ascii="Arial" w:eastAsia="Arial"/>
                <w:sz w:val="22"/>
              </w:rPr>
              <w:t>13 </w:t>
            </w:r>
            <w:r>
              <w:rPr>
                <w:sz w:val="22"/>
              </w:rPr>
              <w:t>层 </w:t>
            </w:r>
            <w:r>
              <w:rPr>
                <w:rFonts w:ascii="Arial" w:eastAsia="Arial"/>
                <w:sz w:val="22"/>
              </w:rPr>
              <w:t>1301-1305 </w:t>
            </w:r>
            <w:r>
              <w:rPr>
                <w:sz w:val="22"/>
              </w:rPr>
              <w:t>室、</w:t>
            </w:r>
            <w:r>
              <w:rPr>
                <w:rFonts w:ascii="Arial" w:eastAsia="Arial"/>
                <w:sz w:val="22"/>
              </w:rPr>
              <w:t>14 </w:t>
            </w:r>
            <w:r>
              <w:rPr>
                <w:sz w:val="22"/>
              </w:rPr>
              <w:t>层</w:t>
            </w:r>
          </w:p>
          <w:p>
            <w:pPr>
              <w:pStyle w:val="TableParagraph"/>
              <w:spacing w:line="266" w:lineRule="auto" w:before="30"/>
              <w:ind w:left="1040" w:right="1033"/>
              <w:jc w:val="center"/>
              <w:rPr>
                <w:sz w:val="22"/>
              </w:rPr>
            </w:pPr>
            <w:r>
              <w:rPr>
                <w:sz w:val="22"/>
              </w:rPr>
              <w:t>法定代表人：张皓联系人：洪诚</w:t>
            </w:r>
          </w:p>
          <w:p>
            <w:pPr>
              <w:pStyle w:val="TableParagraph"/>
              <w:spacing w:line="266" w:lineRule="auto"/>
              <w:ind w:left="820" w:right="812"/>
              <w:jc w:val="center"/>
              <w:rPr>
                <w:rFonts w:ascii="Arial" w:eastAsia="Arial"/>
                <w:sz w:val="22"/>
              </w:rPr>
            </w:pPr>
            <w:r>
              <w:rPr>
                <w:sz w:val="22"/>
              </w:rPr>
              <w:t>电话：</w:t>
            </w:r>
            <w:r>
              <w:rPr>
                <w:rFonts w:ascii="Arial" w:eastAsia="Arial"/>
                <w:sz w:val="22"/>
              </w:rPr>
              <w:t>0755-23953913 </w:t>
            </w:r>
            <w:r>
              <w:rPr>
                <w:sz w:val="22"/>
              </w:rPr>
              <w:t>传真：</w:t>
            </w:r>
            <w:r>
              <w:rPr>
                <w:rFonts w:ascii="Arial" w:eastAsia="Arial"/>
                <w:sz w:val="22"/>
              </w:rPr>
              <w:t>0755-83217421</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400-990-8826</w:t>
            </w:r>
          </w:p>
          <w:p>
            <w:pPr>
              <w:pStyle w:val="TableParagraph"/>
              <w:spacing w:line="277" w:lineRule="exact" w:before="29"/>
              <w:ind w:left="103" w:right="95"/>
              <w:jc w:val="center"/>
              <w:rPr>
                <w:rFonts w:ascii="Arial" w:eastAsia="Arial"/>
                <w:sz w:val="22"/>
              </w:rPr>
            </w:pPr>
            <w:r>
              <w:rPr>
                <w:sz w:val="22"/>
              </w:rPr>
              <w:t>网址：</w:t>
            </w:r>
            <w:hyperlink r:id="rId85">
              <w:r>
                <w:rPr>
                  <w:rFonts w:ascii="Arial" w:eastAsia="Arial"/>
                  <w:sz w:val="22"/>
                </w:rPr>
                <w:t>www.citicsf.com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79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0"/>
              <w:rPr>
                <w:sz w:val="22"/>
              </w:rPr>
            </w:pPr>
            <w:r>
              <w:rPr>
                <w:sz w:val="22"/>
              </w:rPr>
              <w:t>上海证券有限责任公司</w:t>
            </w:r>
          </w:p>
        </w:tc>
        <w:tc>
          <w:tcPr>
            <w:tcW w:w="3848" w:type="dxa"/>
          </w:tcPr>
          <w:p>
            <w:pPr>
              <w:pStyle w:val="TableParagraph"/>
              <w:spacing w:before="15"/>
              <w:ind w:left="10"/>
              <w:jc w:val="center"/>
              <w:rPr>
                <w:rFonts w:ascii="Arial" w:eastAsia="Arial"/>
                <w:sz w:val="22"/>
              </w:rPr>
            </w:pPr>
            <w:r>
              <w:rPr>
                <w:sz w:val="22"/>
              </w:rPr>
              <w:t>注册地址：上海市黄浦区四川中路 </w:t>
            </w:r>
            <w:r>
              <w:rPr>
                <w:rFonts w:ascii="Arial" w:eastAsia="Arial"/>
                <w:sz w:val="22"/>
              </w:rPr>
              <w:t>213</w:t>
            </w:r>
          </w:p>
          <w:p>
            <w:pPr>
              <w:pStyle w:val="TableParagraph"/>
              <w:spacing w:before="30"/>
              <w:ind w:left="102" w:right="95"/>
              <w:jc w:val="center"/>
              <w:rPr>
                <w:sz w:val="22"/>
              </w:rPr>
            </w:pPr>
            <w:r>
              <w:rPr>
                <w:sz w:val="22"/>
              </w:rPr>
              <w:t>号 </w:t>
            </w:r>
            <w:r>
              <w:rPr>
                <w:rFonts w:ascii="Arial" w:eastAsia="Arial"/>
                <w:sz w:val="22"/>
              </w:rPr>
              <w:t>7 </w:t>
            </w:r>
            <w:r>
              <w:rPr>
                <w:sz w:val="22"/>
              </w:rPr>
              <w:t>楼</w:t>
            </w:r>
          </w:p>
          <w:p>
            <w:pPr>
              <w:pStyle w:val="TableParagraph"/>
              <w:spacing w:before="31"/>
              <w:ind w:left="10"/>
              <w:jc w:val="center"/>
              <w:rPr>
                <w:rFonts w:ascii="Arial" w:eastAsia="Arial"/>
                <w:sz w:val="22"/>
              </w:rPr>
            </w:pPr>
            <w:r>
              <w:rPr>
                <w:sz w:val="22"/>
              </w:rPr>
              <w:t>办公地址：上海市黄浦区四川中路 </w:t>
            </w:r>
            <w:r>
              <w:rPr>
                <w:rFonts w:ascii="Arial" w:eastAsia="Arial"/>
                <w:sz w:val="22"/>
              </w:rPr>
              <w:t>213</w:t>
            </w:r>
          </w:p>
          <w:p>
            <w:pPr>
              <w:pStyle w:val="TableParagraph"/>
              <w:spacing w:before="30"/>
              <w:ind w:left="102" w:right="95"/>
              <w:jc w:val="center"/>
              <w:rPr>
                <w:sz w:val="22"/>
              </w:rPr>
            </w:pPr>
            <w:r>
              <w:rPr>
                <w:sz w:val="22"/>
              </w:rPr>
              <w:t>号 </w:t>
            </w:r>
            <w:r>
              <w:rPr>
                <w:rFonts w:ascii="Arial" w:eastAsia="Arial"/>
                <w:sz w:val="22"/>
              </w:rPr>
              <w:t>7 </w:t>
            </w:r>
            <w:r>
              <w:rPr>
                <w:sz w:val="22"/>
              </w:rPr>
              <w:t>楼</w:t>
            </w:r>
          </w:p>
          <w:p>
            <w:pPr>
              <w:pStyle w:val="TableParagraph"/>
              <w:spacing w:line="266" w:lineRule="auto" w:before="30"/>
              <w:ind w:left="932" w:right="920"/>
              <w:jc w:val="center"/>
              <w:rPr>
                <w:sz w:val="22"/>
              </w:rPr>
            </w:pPr>
            <w:r>
              <w:rPr>
                <w:sz w:val="22"/>
              </w:rPr>
              <w:t>法定代表人：李俊杰联系人：邵珍珍</w:t>
            </w:r>
          </w:p>
          <w:p>
            <w:pPr>
              <w:pStyle w:val="TableParagraph"/>
              <w:spacing w:line="280" w:lineRule="exact"/>
              <w:ind w:left="102" w:right="95"/>
              <w:jc w:val="center"/>
              <w:rPr>
                <w:rFonts w:ascii="Arial" w:eastAsia="Arial"/>
                <w:sz w:val="22"/>
              </w:rPr>
            </w:pPr>
            <w:r>
              <w:rPr>
                <w:sz w:val="22"/>
              </w:rPr>
              <w:t>电话：</w:t>
            </w:r>
            <w:r>
              <w:rPr>
                <w:rFonts w:ascii="Arial" w:eastAsia="Arial"/>
                <w:sz w:val="22"/>
              </w:rPr>
              <w:t>021-53686888</w:t>
            </w:r>
          </w:p>
          <w:p>
            <w:pPr>
              <w:pStyle w:val="TableParagraph"/>
              <w:spacing w:before="30"/>
              <w:ind w:left="103" w:right="95"/>
              <w:jc w:val="center"/>
              <w:rPr>
                <w:sz w:val="22"/>
              </w:rPr>
            </w:pPr>
            <w:r>
              <w:rPr>
                <w:sz w:val="22"/>
              </w:rPr>
              <w:t>传真：</w:t>
            </w:r>
            <w:r>
              <w:rPr>
                <w:rFonts w:ascii="Arial" w:eastAsia="Arial"/>
                <w:sz w:val="22"/>
              </w:rPr>
              <w:t>021-53686100-7008</w:t>
            </w:r>
            <w:r>
              <w:rPr>
                <w:sz w:val="22"/>
              </w:rPr>
              <w:t>，</w:t>
            </w:r>
          </w:p>
          <w:p>
            <w:pPr>
              <w:pStyle w:val="TableParagraph"/>
              <w:spacing w:before="44"/>
              <w:ind w:left="102" w:right="95"/>
              <w:jc w:val="center"/>
              <w:rPr>
                <w:rFonts w:ascii="Arial"/>
                <w:sz w:val="22"/>
              </w:rPr>
            </w:pPr>
            <w:r>
              <w:rPr>
                <w:rFonts w:ascii="Arial"/>
                <w:sz w:val="22"/>
              </w:rPr>
              <w:t>021-53686200-7008</w:t>
            </w:r>
          </w:p>
          <w:p>
            <w:pPr>
              <w:pStyle w:val="TableParagraph"/>
              <w:spacing w:line="277" w:lineRule="exact" w:before="45"/>
              <w:ind w:left="100" w:right="95"/>
              <w:jc w:val="center"/>
              <w:rPr>
                <w:rFonts w:ascii="Arial" w:eastAsia="Arial"/>
                <w:sz w:val="22"/>
              </w:rPr>
            </w:pPr>
            <w:r>
              <w:rPr>
                <w:sz w:val="22"/>
              </w:rPr>
              <w:t>客户服务热线：</w:t>
            </w:r>
            <w:r>
              <w:rPr>
                <w:rFonts w:ascii="Arial" w:eastAsia="Arial"/>
                <w:sz w:val="22"/>
              </w:rPr>
              <w:t>4008918918</w:t>
            </w:r>
          </w:p>
        </w:tc>
      </w:tr>
      <w:tr>
        <w:trPr>
          <w:trHeight w:val="3431"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right="187"/>
              <w:jc w:val="right"/>
              <w:rPr>
                <w:rFonts w:ascii="Arial"/>
                <w:sz w:val="21"/>
              </w:rPr>
            </w:pPr>
            <w:r>
              <w:rPr>
                <w:rFonts w:ascii="Arial"/>
                <w:sz w:val="21"/>
              </w:rPr>
              <w:t>80</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70"/>
              <w:rPr>
                <w:sz w:val="22"/>
              </w:rPr>
            </w:pPr>
            <w:r>
              <w:rPr>
                <w:sz w:val="22"/>
              </w:rPr>
              <w:t>开源证券股份有限公司</w:t>
            </w:r>
          </w:p>
        </w:tc>
        <w:tc>
          <w:tcPr>
            <w:tcW w:w="3848" w:type="dxa"/>
          </w:tcPr>
          <w:p>
            <w:pPr>
              <w:pStyle w:val="TableParagraph"/>
              <w:spacing w:line="266" w:lineRule="auto" w:before="15"/>
              <w:ind w:left="155" w:right="144"/>
              <w:jc w:val="center"/>
              <w:rPr>
                <w:sz w:val="22"/>
              </w:rPr>
            </w:pPr>
            <w:r>
              <w:rPr>
                <w:spacing w:val="-7"/>
                <w:sz w:val="22"/>
              </w:rPr>
              <w:t>注册地址：西安市高新区锦业路 </w:t>
            </w:r>
            <w:r>
              <w:rPr>
                <w:rFonts w:ascii="Arial" w:eastAsia="Arial"/>
                <w:sz w:val="22"/>
              </w:rPr>
              <w:t>1</w:t>
            </w:r>
            <w:r>
              <w:rPr>
                <w:rFonts w:ascii="Arial" w:eastAsia="Arial"/>
                <w:spacing w:val="-1"/>
                <w:sz w:val="22"/>
              </w:rPr>
              <w:t> </w:t>
            </w:r>
            <w:r>
              <w:rPr>
                <w:spacing w:val="-13"/>
                <w:sz w:val="22"/>
              </w:rPr>
              <w:t>号</w:t>
            </w:r>
            <w:r>
              <w:rPr>
                <w:spacing w:val="-11"/>
                <w:sz w:val="22"/>
              </w:rPr>
              <w:t>都市之门 </w:t>
            </w:r>
            <w:r>
              <w:rPr>
                <w:rFonts w:ascii="Arial" w:eastAsia="Arial"/>
                <w:sz w:val="22"/>
              </w:rPr>
              <w:t>B</w:t>
            </w:r>
            <w:r>
              <w:rPr>
                <w:rFonts w:ascii="Arial" w:eastAsia="Arial"/>
                <w:spacing w:val="-10"/>
                <w:sz w:val="22"/>
              </w:rPr>
              <w:t> </w:t>
            </w:r>
            <w:r>
              <w:rPr>
                <w:spacing w:val="-28"/>
                <w:sz w:val="22"/>
              </w:rPr>
              <w:t>座 </w:t>
            </w:r>
            <w:r>
              <w:rPr>
                <w:rFonts w:ascii="Arial" w:eastAsia="Arial"/>
                <w:sz w:val="22"/>
              </w:rPr>
              <w:t>5</w:t>
            </w:r>
            <w:r>
              <w:rPr>
                <w:rFonts w:ascii="Arial" w:eastAsia="Arial"/>
                <w:spacing w:val="-5"/>
                <w:sz w:val="22"/>
              </w:rPr>
              <w:t> </w:t>
            </w:r>
            <w:r>
              <w:rPr>
                <w:sz w:val="22"/>
              </w:rPr>
              <w:t>层</w:t>
            </w:r>
          </w:p>
          <w:p>
            <w:pPr>
              <w:pStyle w:val="TableParagraph"/>
              <w:spacing w:line="266" w:lineRule="auto"/>
              <w:ind w:left="155" w:right="144"/>
              <w:jc w:val="center"/>
              <w:rPr>
                <w:sz w:val="22"/>
              </w:rPr>
            </w:pPr>
            <w:r>
              <w:rPr>
                <w:spacing w:val="-7"/>
                <w:sz w:val="22"/>
              </w:rPr>
              <w:t>办公地址：西安市高新区锦业路 </w:t>
            </w:r>
            <w:r>
              <w:rPr>
                <w:rFonts w:ascii="Arial" w:eastAsia="Arial"/>
                <w:sz w:val="22"/>
              </w:rPr>
              <w:t>1</w:t>
            </w:r>
            <w:r>
              <w:rPr>
                <w:rFonts w:ascii="Arial" w:eastAsia="Arial"/>
                <w:spacing w:val="-1"/>
                <w:sz w:val="22"/>
              </w:rPr>
              <w:t> </w:t>
            </w:r>
            <w:r>
              <w:rPr>
                <w:spacing w:val="-13"/>
                <w:sz w:val="22"/>
              </w:rPr>
              <w:t>号</w:t>
            </w:r>
            <w:r>
              <w:rPr>
                <w:spacing w:val="-11"/>
                <w:sz w:val="22"/>
              </w:rPr>
              <w:t>都市之门 </w:t>
            </w:r>
            <w:r>
              <w:rPr>
                <w:rFonts w:ascii="Arial" w:eastAsia="Arial"/>
                <w:sz w:val="22"/>
              </w:rPr>
              <w:t>B</w:t>
            </w:r>
            <w:r>
              <w:rPr>
                <w:rFonts w:ascii="Arial" w:eastAsia="Arial"/>
                <w:spacing w:val="-10"/>
                <w:sz w:val="22"/>
              </w:rPr>
              <w:t> </w:t>
            </w:r>
            <w:r>
              <w:rPr>
                <w:spacing w:val="-28"/>
                <w:sz w:val="22"/>
              </w:rPr>
              <w:t>座 </w:t>
            </w:r>
            <w:r>
              <w:rPr>
                <w:rFonts w:ascii="Arial" w:eastAsia="Arial"/>
                <w:sz w:val="22"/>
              </w:rPr>
              <w:t>5</w:t>
            </w:r>
            <w:r>
              <w:rPr>
                <w:rFonts w:ascii="Arial" w:eastAsia="Arial"/>
                <w:spacing w:val="-5"/>
                <w:sz w:val="22"/>
              </w:rPr>
              <w:t> </w:t>
            </w:r>
            <w:r>
              <w:rPr>
                <w:sz w:val="22"/>
              </w:rPr>
              <w:t>层</w:t>
            </w:r>
          </w:p>
          <w:p>
            <w:pPr>
              <w:pStyle w:val="TableParagraph"/>
              <w:spacing w:line="266" w:lineRule="auto"/>
              <w:ind w:left="1043" w:right="1031"/>
              <w:jc w:val="center"/>
              <w:rPr>
                <w:sz w:val="22"/>
              </w:rPr>
            </w:pPr>
            <w:r>
              <w:rPr>
                <w:sz w:val="22"/>
              </w:rPr>
              <w:t>法定代表人：李刚联系人：黄芳</w:t>
            </w:r>
          </w:p>
          <w:p>
            <w:pPr>
              <w:pStyle w:val="TableParagraph"/>
              <w:spacing w:line="266" w:lineRule="auto"/>
              <w:ind w:left="882" w:right="872"/>
              <w:jc w:val="center"/>
              <w:rPr>
                <w:rFonts w:ascii="Arial" w:eastAsia="Arial"/>
                <w:sz w:val="22"/>
              </w:rPr>
            </w:pPr>
            <w:r>
              <w:rPr>
                <w:sz w:val="22"/>
              </w:rPr>
              <w:t>电话：</w:t>
            </w:r>
            <w:r>
              <w:rPr>
                <w:rFonts w:ascii="Arial" w:eastAsia="Arial"/>
                <w:sz w:val="22"/>
              </w:rPr>
              <w:t>029-63387256 </w:t>
            </w:r>
            <w:r>
              <w:rPr>
                <w:sz w:val="22"/>
              </w:rPr>
              <w:t>传真：</w:t>
            </w:r>
            <w:r>
              <w:rPr>
                <w:rFonts w:ascii="Arial" w:eastAsia="Arial"/>
                <w:sz w:val="22"/>
              </w:rPr>
              <w:t>029-81887256</w:t>
            </w:r>
          </w:p>
          <w:p>
            <w:pPr>
              <w:pStyle w:val="TableParagraph"/>
              <w:spacing w:line="280" w:lineRule="exact"/>
              <w:ind w:left="101" w:right="95"/>
              <w:jc w:val="center"/>
              <w:rPr>
                <w:sz w:val="22"/>
              </w:rPr>
            </w:pPr>
            <w:r>
              <w:rPr>
                <w:sz w:val="22"/>
              </w:rPr>
              <w:t>客户服务电话：</w:t>
            </w:r>
            <w:r>
              <w:rPr>
                <w:rFonts w:ascii="Arial" w:eastAsia="Arial"/>
                <w:sz w:val="22"/>
              </w:rPr>
              <w:t>400-860-8866 </w:t>
            </w:r>
            <w:r>
              <w:rPr>
                <w:sz w:val="22"/>
              </w:rPr>
              <w:t>或</w:t>
            </w:r>
          </w:p>
          <w:p>
            <w:pPr>
              <w:pStyle w:val="TableParagraph"/>
              <w:spacing w:before="39"/>
              <w:ind w:left="102" w:right="95"/>
              <w:jc w:val="center"/>
              <w:rPr>
                <w:rFonts w:ascii="Arial"/>
                <w:sz w:val="22"/>
              </w:rPr>
            </w:pPr>
            <w:r>
              <w:rPr>
                <w:rFonts w:ascii="Arial"/>
                <w:sz w:val="22"/>
              </w:rPr>
              <w:t>95325</w:t>
            </w:r>
          </w:p>
          <w:p>
            <w:pPr>
              <w:pStyle w:val="TableParagraph"/>
              <w:spacing w:line="277" w:lineRule="exact" w:before="45"/>
              <w:ind w:left="99" w:right="95"/>
              <w:jc w:val="center"/>
              <w:rPr>
                <w:rFonts w:ascii="Arial" w:eastAsia="Arial"/>
                <w:sz w:val="22"/>
              </w:rPr>
            </w:pPr>
            <w:r>
              <w:rPr>
                <w:sz w:val="22"/>
              </w:rPr>
              <w:t>网址： </w:t>
            </w:r>
            <w:hyperlink r:id="rId86">
              <w:r>
                <w:rPr>
                  <w:rFonts w:ascii="Arial" w:eastAsia="Arial"/>
                  <w:sz w:val="22"/>
                </w:rPr>
                <w:t>www.kysec.cn</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81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649"/>
              <w:rPr>
                <w:sz w:val="22"/>
              </w:rPr>
            </w:pPr>
            <w:r>
              <w:rPr>
                <w:sz w:val="22"/>
              </w:rPr>
              <w:t>中国民族证券有限责任公司</w:t>
            </w:r>
          </w:p>
        </w:tc>
        <w:tc>
          <w:tcPr>
            <w:tcW w:w="3848" w:type="dxa"/>
          </w:tcPr>
          <w:p>
            <w:pPr>
              <w:pStyle w:val="TableParagraph"/>
              <w:spacing w:before="15"/>
              <w:ind w:left="102" w:right="95"/>
              <w:jc w:val="center"/>
              <w:rPr>
                <w:sz w:val="22"/>
              </w:rPr>
            </w:pPr>
            <w:r>
              <w:rPr>
                <w:sz w:val="22"/>
              </w:rPr>
              <w:t>注册地址：北京市朝阳区北四环中路</w:t>
            </w:r>
          </w:p>
          <w:p>
            <w:pPr>
              <w:pStyle w:val="TableParagraph"/>
              <w:spacing w:before="30"/>
              <w:ind w:left="100" w:right="95"/>
              <w:jc w:val="center"/>
              <w:rPr>
                <w:sz w:val="22"/>
              </w:rPr>
            </w:pPr>
            <w:r>
              <w:rPr>
                <w:rFonts w:ascii="Arial" w:eastAsia="Arial"/>
                <w:sz w:val="22"/>
              </w:rPr>
              <w:t>27 </w:t>
            </w:r>
            <w:r>
              <w:rPr>
                <w:sz w:val="22"/>
              </w:rPr>
              <w:t>号院 </w:t>
            </w:r>
            <w:r>
              <w:rPr>
                <w:rFonts w:ascii="Arial" w:eastAsia="Arial"/>
                <w:sz w:val="22"/>
              </w:rPr>
              <w:t>5 </w:t>
            </w:r>
            <w:r>
              <w:rPr>
                <w:sz w:val="22"/>
              </w:rPr>
              <w:t>号楼</w:t>
            </w:r>
          </w:p>
          <w:p>
            <w:pPr>
              <w:pStyle w:val="TableParagraph"/>
              <w:spacing w:line="266" w:lineRule="auto" w:before="31"/>
              <w:ind w:left="107" w:right="95"/>
              <w:jc w:val="center"/>
              <w:rPr>
                <w:rFonts w:ascii="Arial" w:eastAsia="Arial"/>
                <w:sz w:val="22"/>
              </w:rPr>
            </w:pPr>
            <w:r>
              <w:rPr>
                <w:spacing w:val="-13"/>
                <w:sz w:val="22"/>
              </w:rPr>
              <w:t>办公地址：北京市朝阳五北四环中路盘</w:t>
            </w:r>
            <w:r>
              <w:rPr>
                <w:spacing w:val="-14"/>
                <w:sz w:val="22"/>
              </w:rPr>
              <w:t>古大观 </w:t>
            </w:r>
            <w:r>
              <w:rPr>
                <w:rFonts w:ascii="Arial" w:eastAsia="Arial"/>
                <w:sz w:val="22"/>
              </w:rPr>
              <w:t>A </w:t>
            </w:r>
            <w:r>
              <w:rPr>
                <w:spacing w:val="-28"/>
                <w:sz w:val="22"/>
              </w:rPr>
              <w:t>座 </w:t>
            </w:r>
            <w:r>
              <w:rPr>
                <w:rFonts w:ascii="Arial" w:eastAsia="Arial"/>
                <w:sz w:val="22"/>
              </w:rPr>
              <w:t>40</w:t>
            </w:r>
            <w:r>
              <w:rPr>
                <w:sz w:val="22"/>
              </w:rPr>
              <w:t>－</w:t>
            </w:r>
            <w:r>
              <w:rPr>
                <w:rFonts w:ascii="Arial" w:eastAsia="Arial"/>
                <w:sz w:val="22"/>
              </w:rPr>
              <w:t>43F</w:t>
            </w:r>
          </w:p>
          <w:p>
            <w:pPr>
              <w:pStyle w:val="TableParagraph"/>
              <w:spacing w:line="266" w:lineRule="auto"/>
              <w:ind w:left="932" w:right="920"/>
              <w:jc w:val="center"/>
              <w:rPr>
                <w:sz w:val="22"/>
              </w:rPr>
            </w:pPr>
            <w:r>
              <w:rPr>
                <w:sz w:val="22"/>
              </w:rPr>
              <w:t>法定代表人：何亚刚联系人：齐冬妮</w:t>
            </w:r>
          </w:p>
          <w:p>
            <w:pPr>
              <w:pStyle w:val="TableParagraph"/>
              <w:spacing w:line="266" w:lineRule="auto"/>
              <w:ind w:left="179" w:right="169"/>
              <w:jc w:val="center"/>
              <w:rPr>
                <w:rFonts w:ascii="Arial" w:eastAsia="Arial"/>
                <w:sz w:val="22"/>
              </w:rPr>
            </w:pPr>
            <w:r>
              <w:rPr>
                <w:sz w:val="22"/>
              </w:rPr>
              <w:t>电话：</w:t>
            </w:r>
            <w:r>
              <w:rPr>
                <w:rFonts w:ascii="Arial" w:eastAsia="Arial"/>
                <w:sz w:val="22"/>
              </w:rPr>
              <w:t>010-59355807/13811475559 </w:t>
            </w:r>
            <w:r>
              <w:rPr>
                <w:sz w:val="22"/>
              </w:rPr>
              <w:t>传真：</w:t>
            </w:r>
            <w:r>
              <w:rPr>
                <w:rFonts w:ascii="Arial" w:eastAsia="Arial"/>
                <w:sz w:val="22"/>
              </w:rPr>
              <w:t>010-56437013</w:t>
            </w:r>
          </w:p>
          <w:p>
            <w:pPr>
              <w:pStyle w:val="TableParagraph"/>
              <w:spacing w:line="280" w:lineRule="exact"/>
              <w:ind w:left="100" w:right="95"/>
              <w:jc w:val="center"/>
              <w:rPr>
                <w:rFonts w:ascii="Arial" w:eastAsia="Arial"/>
                <w:sz w:val="22"/>
              </w:rPr>
            </w:pPr>
            <w:r>
              <w:rPr>
                <w:spacing w:val="-2"/>
                <w:sz w:val="22"/>
              </w:rPr>
              <w:t>客户服务电话：</w:t>
            </w:r>
            <w:r>
              <w:rPr>
                <w:rFonts w:ascii="Arial" w:eastAsia="Arial"/>
                <w:spacing w:val="-1"/>
                <w:sz w:val="22"/>
              </w:rPr>
              <w:t>4008895618</w:t>
            </w:r>
          </w:p>
          <w:p>
            <w:pPr>
              <w:pStyle w:val="TableParagraph"/>
              <w:spacing w:line="279" w:lineRule="exact" w:before="26"/>
              <w:ind w:left="100" w:right="95"/>
              <w:jc w:val="center"/>
              <w:rPr>
                <w:rFonts w:ascii="Arial" w:eastAsia="Arial"/>
                <w:sz w:val="22"/>
              </w:rPr>
            </w:pPr>
            <w:r>
              <w:rPr>
                <w:spacing w:val="-1"/>
                <w:sz w:val="22"/>
              </w:rPr>
              <w:t>网址：</w:t>
            </w:r>
            <w:hyperlink r:id="rId87">
              <w:r>
                <w:rPr>
                  <w:rFonts w:ascii="Arial" w:eastAsia="Arial"/>
                  <w:spacing w:val="-1"/>
                  <w:sz w:val="22"/>
                </w:rPr>
                <w:t>http://www.e5618.com</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82</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上海华信证券有限责任公司</w:t>
            </w:r>
          </w:p>
        </w:tc>
        <w:tc>
          <w:tcPr>
            <w:tcW w:w="3848" w:type="dxa"/>
            <w:tcBorders>
              <w:top w:val="nil"/>
            </w:tcBorders>
          </w:tcPr>
          <w:p>
            <w:pPr>
              <w:pStyle w:val="TableParagraph"/>
              <w:spacing w:before="15"/>
              <w:ind w:left="10"/>
              <w:jc w:val="center"/>
              <w:rPr>
                <w:rFonts w:ascii="Arial" w:eastAsia="Arial"/>
                <w:sz w:val="22"/>
              </w:rPr>
            </w:pPr>
            <w:r>
              <w:rPr>
                <w:sz w:val="22"/>
              </w:rPr>
              <w:t>注册地址：上海浦东新区世纪大道 </w:t>
            </w:r>
            <w:r>
              <w:rPr>
                <w:rFonts w:ascii="Arial" w:eastAsia="Arial"/>
                <w:sz w:val="22"/>
              </w:rPr>
              <w:t>100</w:t>
            </w:r>
          </w:p>
          <w:p>
            <w:pPr>
              <w:pStyle w:val="TableParagraph"/>
              <w:spacing w:before="30"/>
              <w:ind w:left="103" w:right="95"/>
              <w:jc w:val="center"/>
              <w:rPr>
                <w:sz w:val="22"/>
              </w:rPr>
            </w:pPr>
            <w:r>
              <w:rPr>
                <w:sz w:val="22"/>
              </w:rPr>
              <w:t>号环球金融中心 </w:t>
            </w:r>
            <w:r>
              <w:rPr>
                <w:rFonts w:ascii="Arial" w:eastAsia="Arial"/>
                <w:sz w:val="22"/>
              </w:rPr>
              <w:t>9 </w:t>
            </w:r>
            <w:r>
              <w:rPr>
                <w:sz w:val="22"/>
              </w:rPr>
              <w:t>楼</w:t>
            </w:r>
          </w:p>
          <w:p>
            <w:pPr>
              <w:pStyle w:val="TableParagraph"/>
              <w:spacing w:before="31"/>
              <w:ind w:left="10"/>
              <w:jc w:val="center"/>
              <w:rPr>
                <w:rFonts w:ascii="Arial" w:eastAsia="Arial"/>
                <w:sz w:val="22"/>
              </w:rPr>
            </w:pPr>
            <w:r>
              <w:rPr>
                <w:sz w:val="22"/>
              </w:rPr>
              <w:t>办公地址：上海市黄浦区南京西路 </w:t>
            </w:r>
            <w:r>
              <w:rPr>
                <w:rFonts w:ascii="Arial" w:eastAsia="Arial"/>
                <w:sz w:val="22"/>
              </w:rPr>
              <w:t>399</w:t>
            </w:r>
          </w:p>
          <w:p>
            <w:pPr>
              <w:pStyle w:val="TableParagraph"/>
              <w:spacing w:line="266" w:lineRule="auto" w:before="30"/>
              <w:ind w:left="930" w:right="923" w:firstLine="3"/>
              <w:jc w:val="center"/>
              <w:rPr>
                <w:sz w:val="22"/>
              </w:rPr>
            </w:pPr>
            <w:r>
              <w:rPr>
                <w:spacing w:val="-10"/>
                <w:sz w:val="22"/>
              </w:rPr>
              <w:t>号明天广场 </w:t>
            </w:r>
            <w:r>
              <w:rPr>
                <w:rFonts w:ascii="Arial" w:eastAsia="Arial"/>
                <w:sz w:val="22"/>
              </w:rPr>
              <w:t>22</w:t>
            </w:r>
            <w:r>
              <w:rPr>
                <w:rFonts w:ascii="Arial" w:eastAsia="Arial"/>
                <w:spacing w:val="-5"/>
                <w:sz w:val="22"/>
              </w:rPr>
              <w:t> </w:t>
            </w:r>
            <w:r>
              <w:rPr>
                <w:sz w:val="22"/>
              </w:rPr>
              <w:t>楼 </w:t>
            </w:r>
            <w:r>
              <w:rPr>
                <w:spacing w:val="-4"/>
                <w:sz w:val="22"/>
              </w:rPr>
              <w:t>法定代表人：陈灿辉</w:t>
            </w:r>
            <w:r>
              <w:rPr>
                <w:spacing w:val="-1"/>
                <w:sz w:val="22"/>
              </w:rPr>
              <w:t>联系人：徐璐</w:t>
            </w:r>
          </w:p>
          <w:p>
            <w:pPr>
              <w:pStyle w:val="TableParagraph"/>
              <w:spacing w:line="279" w:lineRule="exact"/>
              <w:ind w:left="102" w:right="95"/>
              <w:jc w:val="center"/>
              <w:rPr>
                <w:rFonts w:ascii="Arial" w:eastAsia="Arial"/>
                <w:sz w:val="22"/>
              </w:rPr>
            </w:pPr>
            <w:r>
              <w:rPr>
                <w:sz w:val="22"/>
              </w:rPr>
              <w:t>电话：</w:t>
            </w:r>
            <w:r>
              <w:rPr>
                <w:rFonts w:ascii="Arial" w:eastAsia="Arial"/>
                <w:sz w:val="22"/>
              </w:rPr>
              <w:t>021-63898952</w:t>
            </w:r>
          </w:p>
          <w:p>
            <w:pPr>
              <w:pStyle w:val="TableParagraph"/>
              <w:spacing w:before="30"/>
              <w:ind w:left="101" w:right="95"/>
              <w:jc w:val="center"/>
              <w:rPr>
                <w:rFonts w:ascii="Arial" w:eastAsia="Arial"/>
                <w:sz w:val="22"/>
              </w:rPr>
            </w:pPr>
            <w:r>
              <w:rPr>
                <w:sz w:val="22"/>
              </w:rPr>
              <w:t>传真：</w:t>
            </w:r>
            <w:r>
              <w:rPr>
                <w:rFonts w:ascii="Arial" w:eastAsia="Arial"/>
                <w:sz w:val="22"/>
              </w:rPr>
              <w:t>021-68776977 </w:t>
            </w:r>
            <w:r>
              <w:rPr>
                <w:sz w:val="22"/>
              </w:rPr>
              <w:t>转 </w:t>
            </w:r>
            <w:r>
              <w:rPr>
                <w:rFonts w:ascii="Arial" w:eastAsia="Arial"/>
                <w:sz w:val="22"/>
              </w:rPr>
              <w:t>8952</w:t>
            </w:r>
          </w:p>
          <w:p>
            <w:pPr>
              <w:pStyle w:val="TableParagraph"/>
              <w:spacing w:line="310" w:lineRule="atLeast" w:before="2"/>
              <w:ind w:left="539" w:right="531"/>
              <w:jc w:val="center"/>
              <w:rPr>
                <w:rFonts w:ascii="Arial" w:eastAsia="Arial"/>
                <w:sz w:val="22"/>
              </w:rPr>
            </w:pPr>
            <w:r>
              <w:rPr>
                <w:sz w:val="22"/>
              </w:rPr>
              <w:t>客户服务电话：</w:t>
            </w:r>
            <w:r>
              <w:rPr>
                <w:rFonts w:ascii="Arial" w:eastAsia="Arial"/>
                <w:sz w:val="22"/>
              </w:rPr>
              <w:t>4008205999 </w:t>
            </w:r>
            <w:r>
              <w:rPr>
                <w:sz w:val="22"/>
              </w:rPr>
              <w:t>网址：</w:t>
            </w:r>
            <w:hyperlink r:id="rId88">
              <w:r>
                <w:rPr>
                  <w:rFonts w:ascii="Arial" w:eastAsia="Arial"/>
                  <w:sz w:val="22"/>
                </w:rPr>
                <w:t>www.shhxzq.com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87"/>
              <w:jc w:val="right"/>
              <w:rPr>
                <w:rFonts w:ascii="Arial"/>
                <w:sz w:val="21"/>
              </w:rPr>
            </w:pPr>
            <w:r>
              <w:rPr>
                <w:rFonts w:ascii="Arial"/>
                <w:sz w:val="21"/>
              </w:rPr>
              <w:t>83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2" w:right="77"/>
              <w:jc w:val="center"/>
              <w:rPr>
                <w:sz w:val="22"/>
              </w:rPr>
            </w:pPr>
            <w:r>
              <w:rPr>
                <w:sz w:val="22"/>
              </w:rPr>
              <w:t>华鑫证券有限责任公司</w:t>
            </w:r>
          </w:p>
        </w:tc>
        <w:tc>
          <w:tcPr>
            <w:tcW w:w="3848" w:type="dxa"/>
          </w:tcPr>
          <w:p>
            <w:pPr>
              <w:pStyle w:val="TableParagraph"/>
              <w:spacing w:line="266" w:lineRule="auto" w:before="15"/>
              <w:ind w:left="107" w:right="95"/>
              <w:jc w:val="center"/>
              <w:rPr>
                <w:rFonts w:ascii="Arial" w:eastAsia="Arial"/>
                <w:sz w:val="22"/>
              </w:rPr>
            </w:pPr>
            <w:r>
              <w:rPr>
                <w:spacing w:val="-18"/>
                <w:sz w:val="22"/>
              </w:rPr>
              <w:t>注册</w:t>
            </w:r>
            <w:r>
              <w:rPr>
                <w:sz w:val="22"/>
              </w:rPr>
              <w:t>（</w:t>
            </w:r>
            <w:r>
              <w:rPr>
                <w:spacing w:val="-2"/>
                <w:sz w:val="22"/>
              </w:rPr>
              <w:t>办公</w:t>
            </w:r>
            <w:r>
              <w:rPr>
                <w:spacing w:val="-39"/>
                <w:sz w:val="22"/>
              </w:rPr>
              <w:t>）</w:t>
            </w:r>
            <w:r>
              <w:rPr>
                <w:spacing w:val="-8"/>
                <w:sz w:val="22"/>
              </w:rPr>
              <w:t>地址：深圳市福田区金田</w:t>
            </w:r>
            <w:r>
              <w:rPr>
                <w:spacing w:val="-28"/>
                <w:sz w:val="22"/>
              </w:rPr>
              <w:t>路 </w:t>
            </w:r>
            <w:r>
              <w:rPr>
                <w:rFonts w:ascii="Arial" w:eastAsia="Arial"/>
                <w:sz w:val="22"/>
              </w:rPr>
              <w:t>4018 </w:t>
            </w:r>
            <w:r>
              <w:rPr>
                <w:spacing w:val="-11"/>
                <w:sz w:val="22"/>
              </w:rPr>
              <w:t>号安联大厦 </w:t>
            </w:r>
            <w:r>
              <w:rPr>
                <w:rFonts w:ascii="Arial" w:eastAsia="Arial"/>
                <w:sz w:val="22"/>
              </w:rPr>
              <w:t>28 </w:t>
            </w:r>
            <w:r>
              <w:rPr>
                <w:spacing w:val="-28"/>
                <w:sz w:val="22"/>
              </w:rPr>
              <w:t>层 </w:t>
            </w:r>
            <w:r>
              <w:rPr>
                <w:rFonts w:ascii="Arial" w:eastAsia="Arial"/>
                <w:sz w:val="22"/>
              </w:rPr>
              <w:t>A01</w:t>
            </w:r>
            <w:r>
              <w:rPr>
                <w:sz w:val="22"/>
              </w:rPr>
              <w:t>、</w:t>
            </w:r>
            <w:r>
              <w:rPr>
                <w:rFonts w:ascii="Arial" w:eastAsia="Arial"/>
                <w:sz w:val="22"/>
              </w:rPr>
              <w:t>B01</w:t>
            </w:r>
          </w:p>
          <w:p>
            <w:pPr>
              <w:pStyle w:val="TableParagraph"/>
              <w:spacing w:line="281" w:lineRule="exact"/>
              <w:ind w:left="102" w:right="95"/>
              <w:jc w:val="center"/>
              <w:rPr>
                <w:sz w:val="22"/>
              </w:rPr>
            </w:pPr>
            <w:r>
              <w:rPr>
                <w:sz w:val="22"/>
              </w:rPr>
              <w:t>（</w:t>
            </w:r>
            <w:r>
              <w:rPr>
                <w:rFonts w:ascii="Arial" w:eastAsia="Arial"/>
                <w:sz w:val="22"/>
              </w:rPr>
              <w:t>b</w:t>
            </w:r>
            <w:r>
              <w:rPr>
                <w:sz w:val="22"/>
              </w:rPr>
              <w:t>）单元</w:t>
            </w:r>
          </w:p>
          <w:p>
            <w:pPr>
              <w:pStyle w:val="TableParagraph"/>
              <w:spacing w:line="266" w:lineRule="auto" w:before="30"/>
              <w:ind w:left="1040" w:right="1033"/>
              <w:jc w:val="center"/>
              <w:rPr>
                <w:sz w:val="22"/>
              </w:rPr>
            </w:pPr>
            <w:r>
              <w:rPr>
                <w:sz w:val="22"/>
              </w:rPr>
              <w:t>法定代表人：俞洋联系人：朱泽乾</w:t>
            </w:r>
          </w:p>
          <w:p>
            <w:pPr>
              <w:pStyle w:val="TableParagraph"/>
              <w:spacing w:line="266" w:lineRule="auto"/>
              <w:ind w:left="882" w:right="872"/>
              <w:jc w:val="center"/>
              <w:rPr>
                <w:rFonts w:ascii="Arial" w:eastAsia="Arial"/>
                <w:sz w:val="22"/>
              </w:rPr>
            </w:pPr>
            <w:r>
              <w:rPr>
                <w:sz w:val="22"/>
              </w:rPr>
              <w:t>电话：</w:t>
            </w:r>
            <w:r>
              <w:rPr>
                <w:rFonts w:ascii="Arial" w:eastAsia="Arial"/>
                <w:sz w:val="22"/>
              </w:rPr>
              <w:t>021-54967367 </w:t>
            </w:r>
            <w:r>
              <w:rPr>
                <w:sz w:val="22"/>
              </w:rPr>
              <w:t>传真：</w:t>
            </w:r>
            <w:r>
              <w:rPr>
                <w:rFonts w:ascii="Arial" w:eastAsia="Arial"/>
                <w:sz w:val="22"/>
              </w:rPr>
              <w:t>021-54967032</w:t>
            </w:r>
          </w:p>
          <w:p>
            <w:pPr>
              <w:pStyle w:val="TableParagraph"/>
              <w:spacing w:line="280" w:lineRule="exact"/>
              <w:ind w:left="15" w:right="10"/>
              <w:jc w:val="center"/>
              <w:rPr>
                <w:rFonts w:ascii="Arial" w:eastAsia="Arial"/>
                <w:sz w:val="22"/>
              </w:rPr>
            </w:pPr>
            <w:r>
              <w:rPr>
                <w:sz w:val="22"/>
              </w:rPr>
              <w:t>客户服务电话：</w:t>
            </w:r>
            <w:r>
              <w:rPr>
                <w:rFonts w:ascii="Arial" w:eastAsia="Arial"/>
                <w:sz w:val="22"/>
              </w:rPr>
              <w:t>95323</w:t>
            </w:r>
            <w:r>
              <w:rPr>
                <w:sz w:val="22"/>
              </w:rPr>
              <w:t>，</w:t>
            </w:r>
            <w:r>
              <w:rPr>
                <w:rFonts w:ascii="Arial" w:eastAsia="Arial"/>
                <w:sz w:val="22"/>
              </w:rPr>
              <w:t>4001099918</w:t>
            </w:r>
          </w:p>
          <w:p>
            <w:pPr>
              <w:pStyle w:val="TableParagraph"/>
              <w:spacing w:line="278" w:lineRule="auto" w:before="28"/>
              <w:ind w:left="534" w:right="524"/>
              <w:jc w:val="center"/>
              <w:rPr>
                <w:rFonts w:ascii="Arial" w:eastAsia="Arial"/>
                <w:sz w:val="22"/>
              </w:rPr>
            </w:pPr>
            <w:r>
              <w:rPr>
                <w:sz w:val="22"/>
              </w:rPr>
              <w:t>（全国） </w:t>
            </w:r>
            <w:r>
              <w:rPr>
                <w:rFonts w:ascii="Arial" w:eastAsia="Arial"/>
                <w:sz w:val="22"/>
              </w:rPr>
              <w:t>021</w:t>
            </w:r>
            <w:r>
              <w:rPr>
                <w:sz w:val="22"/>
              </w:rPr>
              <w:t>－</w:t>
            </w:r>
            <w:r>
              <w:rPr>
                <w:rFonts w:ascii="Arial" w:eastAsia="Arial"/>
                <w:sz w:val="22"/>
              </w:rPr>
              <w:t>32109999</w:t>
            </w:r>
            <w:r>
              <w:rPr>
                <w:sz w:val="22"/>
              </w:rPr>
              <w:t>； </w:t>
            </w:r>
            <w:r>
              <w:rPr>
                <w:rFonts w:ascii="Arial" w:eastAsia="Arial"/>
                <w:sz w:val="22"/>
              </w:rPr>
              <w:t>029-68918888</w:t>
            </w:r>
          </w:p>
          <w:p>
            <w:pPr>
              <w:pStyle w:val="TableParagraph"/>
              <w:spacing w:line="277" w:lineRule="exact" w:before="4"/>
              <w:ind w:left="105" w:right="95"/>
              <w:jc w:val="center"/>
              <w:rPr>
                <w:rFonts w:ascii="Arial" w:eastAsia="Arial"/>
                <w:sz w:val="22"/>
              </w:rPr>
            </w:pPr>
            <w:r>
              <w:rPr>
                <w:sz w:val="22"/>
              </w:rPr>
              <w:t>网址：</w:t>
            </w:r>
            <w:hyperlink r:id="rId89">
              <w:r>
                <w:rPr>
                  <w:rFonts w:ascii="Arial" w:eastAsia="Arial"/>
                  <w:sz w:val="22"/>
                </w:rPr>
                <w:t>www.cfsc.com.cn</w:t>
              </w:r>
            </w:hyperlink>
          </w:p>
        </w:tc>
      </w:tr>
      <w:tr>
        <w:trPr>
          <w:trHeight w:val="187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87"/>
              <w:jc w:val="right"/>
              <w:rPr>
                <w:rFonts w:ascii="Arial"/>
                <w:sz w:val="21"/>
              </w:rPr>
            </w:pPr>
            <w:r>
              <w:rPr>
                <w:rFonts w:ascii="Arial"/>
                <w:sz w:val="21"/>
              </w:rPr>
              <w:t>84</w:t>
            </w:r>
          </w:p>
        </w:tc>
        <w:tc>
          <w:tcPr>
            <w:tcW w:w="3949"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spacing w:before="1"/>
              <w:ind w:left="82" w:right="77"/>
              <w:jc w:val="center"/>
              <w:rPr>
                <w:sz w:val="22"/>
              </w:rPr>
            </w:pPr>
            <w:r>
              <w:rPr>
                <w:sz w:val="22"/>
              </w:rPr>
              <w:t>财通证券股份有限公司</w:t>
            </w:r>
          </w:p>
        </w:tc>
        <w:tc>
          <w:tcPr>
            <w:tcW w:w="3848" w:type="dxa"/>
          </w:tcPr>
          <w:p>
            <w:pPr>
              <w:pStyle w:val="TableParagraph"/>
              <w:spacing w:line="266" w:lineRule="auto" w:before="15"/>
              <w:ind w:left="107" w:right="-15" w:hanging="113"/>
              <w:jc w:val="center"/>
              <w:rPr>
                <w:rFonts w:ascii="Arial" w:eastAsia="Arial"/>
                <w:sz w:val="22"/>
              </w:rPr>
            </w:pPr>
            <w:r>
              <w:rPr>
                <w:sz w:val="22"/>
              </w:rPr>
              <w:t>注册（</w:t>
            </w:r>
            <w:r>
              <w:rPr>
                <w:spacing w:val="-2"/>
                <w:sz w:val="22"/>
              </w:rPr>
              <w:t>办公</w:t>
            </w:r>
            <w:r>
              <w:rPr>
                <w:sz w:val="22"/>
              </w:rPr>
              <w:t>）</w:t>
            </w:r>
            <w:r>
              <w:rPr>
                <w:spacing w:val="-8"/>
                <w:sz w:val="22"/>
              </w:rPr>
              <w:t>地址：杭州市杭大路 </w:t>
            </w:r>
            <w:r>
              <w:rPr>
                <w:rFonts w:ascii="Arial" w:eastAsia="Arial"/>
                <w:sz w:val="22"/>
              </w:rPr>
              <w:t>15 </w:t>
            </w:r>
            <w:r>
              <w:rPr>
                <w:spacing w:val="-8"/>
                <w:sz w:val="22"/>
              </w:rPr>
              <w:t>号嘉华国际商务中心 </w:t>
            </w:r>
            <w:r>
              <w:rPr>
                <w:rFonts w:ascii="Arial" w:eastAsia="Arial"/>
                <w:sz w:val="22"/>
              </w:rPr>
              <w:t>201</w:t>
            </w:r>
            <w:r>
              <w:rPr>
                <w:spacing w:val="-27"/>
                <w:sz w:val="22"/>
              </w:rPr>
              <w:t>、</w:t>
            </w:r>
            <w:r>
              <w:rPr>
                <w:rFonts w:ascii="Arial" w:eastAsia="Arial"/>
                <w:sz w:val="22"/>
              </w:rPr>
              <w:t>501</w:t>
            </w:r>
            <w:r>
              <w:rPr>
                <w:spacing w:val="-27"/>
                <w:sz w:val="22"/>
              </w:rPr>
              <w:t>、</w:t>
            </w:r>
            <w:r>
              <w:rPr>
                <w:rFonts w:ascii="Arial" w:eastAsia="Arial"/>
                <w:sz w:val="22"/>
              </w:rPr>
              <w:t>502</w:t>
            </w:r>
            <w:r>
              <w:rPr>
                <w:spacing w:val="-11"/>
                <w:sz w:val="22"/>
              </w:rPr>
              <w:t>、</w:t>
            </w:r>
            <w:r>
              <w:rPr>
                <w:rFonts w:ascii="Arial" w:eastAsia="Arial"/>
                <w:sz w:val="22"/>
              </w:rPr>
              <w:t>1103</w:t>
            </w:r>
            <w:r>
              <w:rPr>
                <w:sz w:val="22"/>
              </w:rPr>
              <w:t>、</w:t>
            </w:r>
            <w:r>
              <w:rPr>
                <w:rFonts w:ascii="Arial" w:eastAsia="Arial"/>
                <w:sz w:val="22"/>
              </w:rPr>
              <w:t>1601-1615</w:t>
            </w:r>
            <w:r>
              <w:rPr>
                <w:sz w:val="22"/>
              </w:rPr>
              <w:t>、</w:t>
            </w:r>
            <w:r>
              <w:rPr>
                <w:rFonts w:ascii="Arial" w:eastAsia="Arial"/>
                <w:sz w:val="22"/>
              </w:rPr>
              <w:t>1701-1716</w:t>
            </w:r>
          </w:p>
          <w:p>
            <w:pPr>
              <w:pStyle w:val="TableParagraph"/>
              <w:spacing w:line="279" w:lineRule="exact"/>
              <w:ind w:left="105" w:right="95"/>
              <w:jc w:val="center"/>
              <w:rPr>
                <w:sz w:val="22"/>
              </w:rPr>
            </w:pPr>
            <w:r>
              <w:rPr>
                <w:sz w:val="22"/>
              </w:rPr>
              <w:t>法定代表人：陆建强</w:t>
            </w:r>
          </w:p>
          <w:p>
            <w:pPr>
              <w:pStyle w:val="TableParagraph"/>
              <w:spacing w:before="30"/>
              <w:ind w:left="8"/>
              <w:jc w:val="center"/>
              <w:rPr>
                <w:rFonts w:ascii="Arial" w:eastAsia="Arial"/>
                <w:sz w:val="22"/>
              </w:rPr>
            </w:pPr>
            <w:r>
              <w:rPr>
                <w:sz w:val="22"/>
              </w:rPr>
              <w:t>客户服务电话： </w:t>
            </w:r>
            <w:r>
              <w:rPr>
                <w:rFonts w:ascii="Arial" w:eastAsia="Arial"/>
                <w:sz w:val="22"/>
              </w:rPr>
              <w:t>95336</w:t>
            </w:r>
            <w:r>
              <w:rPr>
                <w:sz w:val="22"/>
              </w:rPr>
              <w:t>、</w:t>
            </w:r>
            <w:r>
              <w:rPr>
                <w:rFonts w:ascii="Arial" w:eastAsia="Arial"/>
                <w:sz w:val="22"/>
              </w:rPr>
              <w:t>4008696336</w:t>
            </w:r>
          </w:p>
          <w:p>
            <w:pPr>
              <w:pStyle w:val="TableParagraph"/>
              <w:spacing w:line="277" w:lineRule="exact" w:before="30"/>
              <w:ind w:left="101" w:right="95"/>
              <w:jc w:val="center"/>
              <w:rPr>
                <w:rFonts w:ascii="Arial" w:eastAsia="Arial"/>
                <w:sz w:val="22"/>
              </w:rPr>
            </w:pPr>
            <w:r>
              <w:rPr>
                <w:sz w:val="22"/>
              </w:rPr>
              <w:t>网址： </w:t>
            </w:r>
            <w:hyperlink r:id="rId90">
              <w:r>
                <w:rPr>
                  <w:rFonts w:ascii="Arial" w:eastAsia="Arial"/>
                  <w:sz w:val="22"/>
                </w:rPr>
                <w:t>www.ctsec.com</w:t>
              </w:r>
            </w:hyperlink>
          </w:p>
        </w:tc>
      </w:tr>
      <w:tr>
        <w:trPr>
          <w:trHeight w:val="374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right="187"/>
              <w:jc w:val="right"/>
              <w:rPr>
                <w:rFonts w:ascii="Arial"/>
                <w:sz w:val="21"/>
              </w:rPr>
            </w:pPr>
            <w:r>
              <w:rPr>
                <w:rFonts w:ascii="Arial"/>
                <w:sz w:val="21"/>
              </w:rPr>
              <w:t>85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77" w:right="77"/>
              <w:jc w:val="center"/>
              <w:rPr>
                <w:sz w:val="22"/>
              </w:rPr>
            </w:pPr>
            <w:r>
              <w:rPr>
                <w:sz w:val="22"/>
              </w:rPr>
              <w:t>中信证券华南股份有限公司</w:t>
            </w:r>
          </w:p>
        </w:tc>
        <w:tc>
          <w:tcPr>
            <w:tcW w:w="3848" w:type="dxa"/>
          </w:tcPr>
          <w:p>
            <w:pPr>
              <w:pStyle w:val="TableParagraph"/>
              <w:spacing w:before="15"/>
              <w:ind w:left="106" w:right="95"/>
              <w:jc w:val="center"/>
              <w:rPr>
                <w:rFonts w:ascii="Arial" w:eastAsia="Arial"/>
                <w:sz w:val="22"/>
              </w:rPr>
            </w:pPr>
            <w:r>
              <w:rPr>
                <w:sz w:val="22"/>
              </w:rPr>
              <w:t>注册地址：广州市天河区珠江西路 </w:t>
            </w:r>
            <w:r>
              <w:rPr>
                <w:rFonts w:ascii="Arial" w:eastAsia="Arial"/>
                <w:sz w:val="22"/>
              </w:rPr>
              <w:t>5</w:t>
            </w:r>
          </w:p>
          <w:p>
            <w:pPr>
              <w:pStyle w:val="TableParagraph"/>
              <w:spacing w:line="266" w:lineRule="auto" w:before="30"/>
              <w:ind w:left="157" w:right="146"/>
              <w:jc w:val="center"/>
              <w:rPr>
                <w:sz w:val="22"/>
              </w:rPr>
            </w:pPr>
            <w:r>
              <w:rPr>
                <w:sz w:val="22"/>
              </w:rPr>
              <w:t>号广州国际金融中心主塔 </w:t>
            </w:r>
            <w:r>
              <w:rPr>
                <w:rFonts w:ascii="Arial" w:eastAsia="Arial"/>
                <w:sz w:val="22"/>
              </w:rPr>
              <w:t>19 </w:t>
            </w:r>
            <w:r>
              <w:rPr>
                <w:sz w:val="22"/>
              </w:rPr>
              <w:t>层、</w:t>
            </w:r>
            <w:r>
              <w:rPr>
                <w:rFonts w:ascii="Arial" w:eastAsia="Arial"/>
                <w:sz w:val="22"/>
              </w:rPr>
              <w:t>20 </w:t>
            </w:r>
            <w:r>
              <w:rPr>
                <w:sz w:val="22"/>
              </w:rPr>
              <w:t>层</w:t>
            </w:r>
          </w:p>
          <w:p>
            <w:pPr>
              <w:pStyle w:val="TableParagraph"/>
              <w:spacing w:line="280" w:lineRule="exact"/>
              <w:ind w:left="106" w:right="95"/>
              <w:jc w:val="center"/>
              <w:rPr>
                <w:rFonts w:ascii="Arial" w:eastAsia="Arial"/>
                <w:sz w:val="22"/>
              </w:rPr>
            </w:pPr>
            <w:r>
              <w:rPr>
                <w:sz w:val="22"/>
              </w:rPr>
              <w:t>办公地址：广州市天河区珠江西路 </w:t>
            </w:r>
            <w:r>
              <w:rPr>
                <w:rFonts w:ascii="Arial" w:eastAsia="Arial"/>
                <w:sz w:val="22"/>
              </w:rPr>
              <w:t>5</w:t>
            </w:r>
          </w:p>
          <w:p>
            <w:pPr>
              <w:pStyle w:val="TableParagraph"/>
              <w:spacing w:line="266" w:lineRule="auto" w:before="30"/>
              <w:ind w:left="157" w:right="146"/>
              <w:jc w:val="center"/>
              <w:rPr>
                <w:sz w:val="22"/>
              </w:rPr>
            </w:pPr>
            <w:r>
              <w:rPr>
                <w:sz w:val="22"/>
              </w:rPr>
              <w:t>号广州国际金融中心主塔 </w:t>
            </w:r>
            <w:r>
              <w:rPr>
                <w:rFonts w:ascii="Arial" w:eastAsia="Arial"/>
                <w:sz w:val="22"/>
              </w:rPr>
              <w:t>19 </w:t>
            </w:r>
            <w:r>
              <w:rPr>
                <w:sz w:val="22"/>
              </w:rPr>
              <w:t>层、</w:t>
            </w:r>
            <w:r>
              <w:rPr>
                <w:rFonts w:ascii="Arial" w:eastAsia="Arial"/>
                <w:sz w:val="22"/>
              </w:rPr>
              <w:t>20 </w:t>
            </w:r>
            <w:r>
              <w:rPr>
                <w:sz w:val="22"/>
              </w:rPr>
              <w:t>层</w:t>
            </w:r>
          </w:p>
          <w:p>
            <w:pPr>
              <w:pStyle w:val="TableParagraph"/>
              <w:spacing w:line="266" w:lineRule="auto"/>
              <w:ind w:left="932" w:right="920"/>
              <w:jc w:val="center"/>
              <w:rPr>
                <w:sz w:val="22"/>
              </w:rPr>
            </w:pPr>
            <w:r>
              <w:rPr>
                <w:sz w:val="22"/>
              </w:rPr>
              <w:t>法定代表人：胡伏云联系人：宋丽雪</w:t>
            </w:r>
          </w:p>
          <w:p>
            <w:pPr>
              <w:pStyle w:val="TableParagraph"/>
              <w:spacing w:line="280" w:lineRule="exact"/>
              <w:ind w:left="100" w:right="95"/>
              <w:jc w:val="center"/>
              <w:rPr>
                <w:rFonts w:ascii="Arial" w:eastAsia="Arial"/>
                <w:sz w:val="22"/>
              </w:rPr>
            </w:pPr>
            <w:r>
              <w:rPr>
                <w:sz w:val="22"/>
              </w:rPr>
              <w:t>联系电话：</w:t>
            </w:r>
            <w:r>
              <w:rPr>
                <w:rFonts w:ascii="Arial" w:eastAsia="Arial"/>
                <w:sz w:val="22"/>
              </w:rPr>
              <w:t>020-88836999</w:t>
            </w:r>
          </w:p>
          <w:p>
            <w:pPr>
              <w:pStyle w:val="TableParagraph"/>
              <w:spacing w:line="266" w:lineRule="auto" w:before="29"/>
              <w:ind w:left="846" w:right="834"/>
              <w:jc w:val="center"/>
              <w:rPr>
                <w:rFonts w:ascii="Arial" w:eastAsia="Arial"/>
                <w:sz w:val="22"/>
              </w:rPr>
            </w:pPr>
            <w:r>
              <w:rPr>
                <w:sz w:val="22"/>
              </w:rPr>
              <w:t>客户服务电话：</w:t>
            </w:r>
            <w:r>
              <w:rPr>
                <w:rFonts w:ascii="Arial" w:eastAsia="Arial"/>
                <w:sz w:val="22"/>
              </w:rPr>
              <w:t>95396 </w:t>
            </w:r>
            <w:r>
              <w:rPr>
                <w:sz w:val="22"/>
              </w:rPr>
              <w:t>传真：</w:t>
            </w:r>
            <w:r>
              <w:rPr>
                <w:rFonts w:ascii="Arial" w:eastAsia="Arial"/>
                <w:sz w:val="22"/>
              </w:rPr>
              <w:t>020-88836984</w:t>
            </w:r>
          </w:p>
          <w:p>
            <w:pPr>
              <w:pStyle w:val="TableParagraph"/>
              <w:spacing w:line="277" w:lineRule="exact"/>
              <w:ind w:left="104" w:right="95"/>
              <w:jc w:val="center"/>
              <w:rPr>
                <w:rFonts w:ascii="Arial" w:eastAsia="Arial"/>
                <w:sz w:val="22"/>
              </w:rPr>
            </w:pPr>
            <w:r>
              <w:rPr>
                <w:sz w:val="22"/>
              </w:rPr>
              <w:t>网址：</w:t>
            </w:r>
            <w:hyperlink r:id="rId91">
              <w:r>
                <w:rPr>
                  <w:rFonts w:ascii="Arial" w:eastAsia="Arial"/>
                  <w:sz w:val="22"/>
                </w:rPr>
                <w:t>www.gzs.com.cn</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86</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联储证券有限责任公司</w:t>
            </w:r>
          </w:p>
        </w:tc>
        <w:tc>
          <w:tcPr>
            <w:tcW w:w="3848" w:type="dxa"/>
            <w:tcBorders>
              <w:top w:val="nil"/>
            </w:tcBorders>
          </w:tcPr>
          <w:p>
            <w:pPr>
              <w:pStyle w:val="TableParagraph"/>
              <w:spacing w:line="266" w:lineRule="auto" w:before="15"/>
              <w:ind w:left="107" w:right="95"/>
              <w:jc w:val="center"/>
              <w:rPr>
                <w:sz w:val="22"/>
              </w:rPr>
            </w:pPr>
            <w:r>
              <w:rPr>
                <w:spacing w:val="-13"/>
                <w:sz w:val="22"/>
              </w:rPr>
              <w:t>注册地址：深圳市福田区福田街道岗厦</w:t>
            </w:r>
            <w:r>
              <w:rPr>
                <w:spacing w:val="-7"/>
                <w:sz w:val="22"/>
              </w:rPr>
              <w:t>社区深南大道南侧金地中心大厦 </w:t>
            </w:r>
            <w:r>
              <w:rPr>
                <w:sz w:val="22"/>
              </w:rPr>
              <w:t>9</w:t>
            </w:r>
            <w:r>
              <w:rPr>
                <w:spacing w:val="-28"/>
                <w:sz w:val="22"/>
              </w:rPr>
              <w:t> 楼</w:t>
            </w:r>
          </w:p>
          <w:p>
            <w:pPr>
              <w:pStyle w:val="TableParagraph"/>
              <w:spacing w:line="280" w:lineRule="exact"/>
              <w:ind w:left="105" w:right="95"/>
              <w:jc w:val="center"/>
              <w:rPr>
                <w:sz w:val="22"/>
              </w:rPr>
            </w:pPr>
            <w:r>
              <w:rPr>
                <w:spacing w:val="-15"/>
                <w:sz w:val="22"/>
              </w:rPr>
              <w:t>办公地址：北京市朝阳区安定路 </w:t>
            </w:r>
            <w:r>
              <w:rPr>
                <w:sz w:val="22"/>
              </w:rPr>
              <w:t>5</w:t>
            </w:r>
            <w:r>
              <w:rPr>
                <w:spacing w:val="-19"/>
                <w:sz w:val="22"/>
              </w:rPr>
              <w:t> 号院</w:t>
            </w:r>
          </w:p>
          <w:p>
            <w:pPr>
              <w:pStyle w:val="TableParagraph"/>
              <w:spacing w:line="266" w:lineRule="auto" w:before="30"/>
              <w:ind w:left="464" w:right="454"/>
              <w:jc w:val="center"/>
              <w:rPr>
                <w:sz w:val="22"/>
              </w:rPr>
            </w:pPr>
            <w:r>
              <w:rPr>
                <w:sz w:val="22"/>
              </w:rPr>
              <w:t>3</w:t>
            </w:r>
            <w:r>
              <w:rPr>
                <w:spacing w:val="-12"/>
                <w:sz w:val="22"/>
              </w:rPr>
              <w:t> 号楼中建财富国际中心 </w:t>
            </w:r>
            <w:r>
              <w:rPr>
                <w:sz w:val="22"/>
              </w:rPr>
              <w:t>27</w:t>
            </w:r>
            <w:r>
              <w:rPr>
                <w:spacing w:val="-33"/>
                <w:sz w:val="22"/>
              </w:rPr>
              <w:t> 层</w:t>
            </w:r>
            <w:r>
              <w:rPr>
                <w:spacing w:val="-2"/>
                <w:sz w:val="22"/>
              </w:rPr>
              <w:t>法定代表人：吕春卫</w:t>
            </w:r>
          </w:p>
          <w:p>
            <w:pPr>
              <w:pStyle w:val="TableParagraph"/>
              <w:spacing w:line="266" w:lineRule="auto"/>
              <w:ind w:left="932" w:right="920" w:firstLine="218"/>
              <w:rPr>
                <w:sz w:val="22"/>
              </w:rPr>
            </w:pPr>
            <w:r>
              <w:rPr>
                <w:spacing w:val="-1"/>
                <w:sz w:val="22"/>
              </w:rPr>
              <w:t>联系人：丁倩云 电话</w:t>
            </w:r>
            <w:r>
              <w:rPr>
                <w:spacing w:val="-3"/>
                <w:sz w:val="22"/>
              </w:rPr>
              <w:t>：010-86499427 </w:t>
            </w:r>
            <w:r>
              <w:rPr>
                <w:sz w:val="22"/>
              </w:rPr>
              <w:t>传真</w:t>
            </w:r>
            <w:r>
              <w:rPr>
                <w:spacing w:val="-3"/>
                <w:sz w:val="22"/>
              </w:rPr>
              <w:t>：010-86499401</w:t>
            </w:r>
          </w:p>
          <w:p>
            <w:pPr>
              <w:pStyle w:val="TableParagraph"/>
              <w:spacing w:line="279" w:lineRule="exact"/>
              <w:ind w:left="105" w:right="95"/>
              <w:jc w:val="center"/>
              <w:rPr>
                <w:sz w:val="22"/>
              </w:rPr>
            </w:pPr>
            <w:r>
              <w:rPr>
                <w:sz w:val="22"/>
              </w:rPr>
              <w:t>客户服务电话：400-620-6868</w:t>
            </w:r>
          </w:p>
          <w:p>
            <w:pPr>
              <w:pStyle w:val="TableParagraph"/>
              <w:spacing w:line="277" w:lineRule="exact" w:before="29"/>
              <w:ind w:left="105" w:right="95"/>
              <w:jc w:val="center"/>
              <w:rPr>
                <w:sz w:val="22"/>
              </w:rPr>
            </w:pPr>
            <w:hyperlink r:id="rId92">
              <w:r>
                <w:rPr>
                  <w:sz w:val="22"/>
                </w:rPr>
                <w:t>网址：www.lczq.com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87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2" w:right="77"/>
              <w:jc w:val="center"/>
              <w:rPr>
                <w:sz w:val="22"/>
              </w:rPr>
            </w:pPr>
            <w:r>
              <w:rPr>
                <w:sz w:val="22"/>
              </w:rPr>
              <w:t>深圳众禄基金销售股份有限公司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地址：深圳市罗湖区梨园路物资控股置地大厦 </w:t>
            </w:r>
            <w:r>
              <w:rPr>
                <w:rFonts w:ascii="Arial" w:eastAsia="Arial"/>
                <w:sz w:val="22"/>
              </w:rPr>
              <w:t>8 </w:t>
            </w:r>
            <w:r>
              <w:rPr>
                <w:sz w:val="22"/>
              </w:rPr>
              <w:t>楼</w:t>
            </w:r>
          </w:p>
          <w:p>
            <w:pPr>
              <w:pStyle w:val="TableParagraph"/>
              <w:spacing w:line="266" w:lineRule="auto"/>
              <w:ind w:left="1043" w:right="1031"/>
              <w:jc w:val="center"/>
              <w:rPr>
                <w:sz w:val="22"/>
              </w:rPr>
            </w:pPr>
            <w:r>
              <w:rPr>
                <w:sz w:val="22"/>
              </w:rPr>
              <w:t>法定代表人：薛峰联系人：童彩平</w:t>
            </w:r>
          </w:p>
          <w:p>
            <w:pPr>
              <w:pStyle w:val="TableParagraph"/>
              <w:spacing w:line="266" w:lineRule="auto"/>
              <w:ind w:left="822" w:right="810"/>
              <w:rPr>
                <w:rFonts w:ascii="Arial" w:eastAsia="Arial"/>
                <w:sz w:val="22"/>
              </w:rPr>
            </w:pPr>
            <w:r>
              <w:rPr>
                <w:sz w:val="22"/>
              </w:rPr>
              <w:t>电话：</w:t>
            </w:r>
            <w:r>
              <w:rPr>
                <w:rFonts w:ascii="Arial" w:eastAsia="Arial"/>
                <w:sz w:val="22"/>
              </w:rPr>
              <w:t>0755-33227950 </w:t>
            </w:r>
            <w:r>
              <w:rPr>
                <w:sz w:val="22"/>
              </w:rPr>
              <w:t>传真：</w:t>
            </w:r>
            <w:r>
              <w:rPr>
                <w:rFonts w:ascii="Arial" w:eastAsia="Arial"/>
                <w:sz w:val="22"/>
              </w:rPr>
              <w:t>0755-33227951</w:t>
            </w:r>
          </w:p>
          <w:p>
            <w:pPr>
              <w:pStyle w:val="TableParagraph"/>
              <w:spacing w:line="266" w:lineRule="auto"/>
              <w:ind w:left="277" w:right="268" w:firstLine="189"/>
              <w:rPr>
                <w:rFonts w:ascii="Arial" w:eastAsia="Arial"/>
                <w:sz w:val="22"/>
              </w:rPr>
            </w:pPr>
            <w:r>
              <w:rPr>
                <w:sz w:val="22"/>
              </w:rPr>
              <w:t>客户服务电话：</w:t>
            </w:r>
            <w:r>
              <w:rPr>
                <w:rFonts w:ascii="Arial" w:eastAsia="Arial"/>
                <w:sz w:val="22"/>
              </w:rPr>
              <w:t>4006-788-887 </w:t>
            </w:r>
            <w:r>
              <w:rPr>
                <w:sz w:val="22"/>
              </w:rPr>
              <w:t>网址：众禄基金网 </w:t>
            </w:r>
            <w:hyperlink r:id="rId93">
              <w:r>
                <w:rPr>
                  <w:rFonts w:ascii="Arial" w:eastAsia="Arial"/>
                  <w:sz w:val="22"/>
                </w:rPr>
                <w:t>www.zlfund.cn</w:t>
              </w:r>
            </w:hyperlink>
          </w:p>
          <w:p>
            <w:pPr>
              <w:pStyle w:val="TableParagraph"/>
              <w:spacing w:line="275" w:lineRule="exact"/>
              <w:ind w:left="498"/>
              <w:rPr>
                <w:rFonts w:ascii="Arial" w:eastAsia="Arial"/>
                <w:sz w:val="22"/>
              </w:rPr>
            </w:pPr>
            <w:r>
              <w:rPr>
                <w:sz w:val="22"/>
              </w:rPr>
              <w:t>基金买卖网 </w:t>
            </w:r>
            <w:hyperlink r:id="rId94">
              <w:r>
                <w:rPr>
                  <w:rFonts w:ascii="Arial" w:eastAsia="Arial"/>
                  <w:sz w:val="22"/>
                </w:rPr>
                <w:t>www.jjmmw.com</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88</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7" w:right="77"/>
              <w:jc w:val="center"/>
              <w:rPr>
                <w:sz w:val="22"/>
              </w:rPr>
            </w:pPr>
            <w:r>
              <w:rPr>
                <w:sz w:val="22"/>
              </w:rPr>
              <w:t>蚂蚁（杭州）基金销售有限公司</w:t>
            </w:r>
          </w:p>
        </w:tc>
        <w:tc>
          <w:tcPr>
            <w:tcW w:w="3848" w:type="dxa"/>
          </w:tcPr>
          <w:p>
            <w:pPr>
              <w:pStyle w:val="TableParagraph"/>
              <w:spacing w:line="266" w:lineRule="auto" w:before="15"/>
              <w:ind w:left="107" w:right="95"/>
              <w:jc w:val="center"/>
              <w:rPr>
                <w:rFonts w:ascii="Arial" w:eastAsia="Arial"/>
                <w:sz w:val="22"/>
              </w:rPr>
            </w:pPr>
            <w:r>
              <w:rPr>
                <w:spacing w:val="-13"/>
                <w:sz w:val="22"/>
              </w:rPr>
              <w:t>注册地址：浙江省杭州市余杭区五常街</w:t>
            </w:r>
            <w:r>
              <w:rPr>
                <w:spacing w:val="-10"/>
                <w:sz w:val="22"/>
              </w:rPr>
              <w:t>道文一西路 </w:t>
            </w:r>
            <w:r>
              <w:rPr>
                <w:rFonts w:ascii="Arial" w:eastAsia="Arial"/>
                <w:sz w:val="22"/>
              </w:rPr>
              <w:t>969</w:t>
            </w:r>
            <w:r>
              <w:rPr>
                <w:rFonts w:ascii="Arial" w:eastAsia="Arial"/>
                <w:spacing w:val="-6"/>
                <w:sz w:val="22"/>
              </w:rPr>
              <w:t> </w:t>
            </w:r>
            <w:r>
              <w:rPr>
                <w:spacing w:val="-28"/>
                <w:sz w:val="22"/>
              </w:rPr>
              <w:t>号 </w:t>
            </w:r>
            <w:r>
              <w:rPr>
                <w:rFonts w:ascii="Arial" w:eastAsia="Arial"/>
                <w:sz w:val="22"/>
              </w:rPr>
              <w:t>3</w:t>
            </w:r>
            <w:r>
              <w:rPr>
                <w:rFonts w:ascii="Arial" w:eastAsia="Arial"/>
                <w:spacing w:val="-8"/>
                <w:sz w:val="22"/>
              </w:rPr>
              <w:t> </w:t>
            </w:r>
            <w:r>
              <w:rPr>
                <w:spacing w:val="-28"/>
                <w:sz w:val="22"/>
              </w:rPr>
              <w:t>幢 </w:t>
            </w:r>
            <w:r>
              <w:rPr>
                <w:rFonts w:ascii="Arial" w:eastAsia="Arial"/>
                <w:sz w:val="22"/>
              </w:rPr>
              <w:t>5</w:t>
            </w:r>
            <w:r>
              <w:rPr>
                <w:rFonts w:ascii="Arial" w:eastAsia="Arial"/>
                <w:spacing w:val="-7"/>
                <w:sz w:val="22"/>
              </w:rPr>
              <w:t> </w:t>
            </w:r>
            <w:r>
              <w:rPr>
                <w:spacing w:val="-27"/>
                <w:sz w:val="22"/>
              </w:rPr>
              <w:t>层 </w:t>
            </w:r>
            <w:r>
              <w:rPr>
                <w:rFonts w:ascii="Arial" w:eastAsia="Arial"/>
                <w:sz w:val="22"/>
              </w:rPr>
              <w:t>599</w:t>
            </w:r>
            <w:r>
              <w:rPr>
                <w:rFonts w:ascii="Arial" w:eastAsia="Arial"/>
                <w:spacing w:val="-6"/>
                <w:sz w:val="22"/>
              </w:rPr>
              <w:t> </w:t>
            </w:r>
            <w:r>
              <w:rPr>
                <w:sz w:val="22"/>
              </w:rPr>
              <w:t>室 </w:t>
            </w:r>
            <w:r>
              <w:rPr>
                <w:spacing w:val="-13"/>
                <w:sz w:val="22"/>
              </w:rPr>
              <w:t>办公地址：浙江省杭州市西湖区万塘路</w:t>
            </w:r>
            <w:r>
              <w:rPr>
                <w:rFonts w:ascii="Arial" w:eastAsia="Arial"/>
                <w:sz w:val="22"/>
              </w:rPr>
              <w:t>18</w:t>
            </w:r>
            <w:r>
              <w:rPr>
                <w:rFonts w:ascii="Arial" w:eastAsia="Arial"/>
                <w:spacing w:val="-7"/>
                <w:sz w:val="22"/>
              </w:rPr>
              <w:t> </w:t>
            </w:r>
            <w:r>
              <w:rPr>
                <w:spacing w:val="-8"/>
                <w:sz w:val="22"/>
              </w:rPr>
              <w:t>号黄龙时代广场 </w:t>
            </w:r>
            <w:r>
              <w:rPr>
                <w:rFonts w:ascii="Arial" w:eastAsia="Arial"/>
                <w:sz w:val="22"/>
              </w:rPr>
              <w:t>B</w:t>
            </w:r>
            <w:r>
              <w:rPr>
                <w:rFonts w:ascii="Arial" w:eastAsia="Arial"/>
                <w:spacing w:val="-9"/>
                <w:sz w:val="22"/>
              </w:rPr>
              <w:t> </w:t>
            </w:r>
            <w:r>
              <w:rPr>
                <w:spacing w:val="-29"/>
                <w:sz w:val="22"/>
              </w:rPr>
              <w:t>座 </w:t>
            </w:r>
            <w:r>
              <w:rPr>
                <w:rFonts w:ascii="Arial" w:eastAsia="Arial"/>
                <w:sz w:val="22"/>
              </w:rPr>
              <w:t>6F</w:t>
            </w:r>
          </w:p>
          <w:p>
            <w:pPr>
              <w:pStyle w:val="TableParagraph"/>
              <w:spacing w:line="266" w:lineRule="auto"/>
              <w:ind w:left="932" w:right="920"/>
              <w:jc w:val="center"/>
              <w:rPr>
                <w:sz w:val="22"/>
              </w:rPr>
            </w:pPr>
            <w:r>
              <w:rPr>
                <w:sz w:val="22"/>
              </w:rPr>
              <w:t>法定代表人：祖国明联系人：韩爱彬</w:t>
            </w:r>
          </w:p>
          <w:p>
            <w:pPr>
              <w:pStyle w:val="TableParagraph"/>
              <w:spacing w:line="280" w:lineRule="exact"/>
              <w:ind w:left="103" w:right="95"/>
              <w:jc w:val="center"/>
              <w:rPr>
                <w:rFonts w:ascii="Arial" w:eastAsia="Arial"/>
                <w:sz w:val="22"/>
              </w:rPr>
            </w:pPr>
            <w:r>
              <w:rPr>
                <w:sz w:val="22"/>
              </w:rPr>
              <w:t>客服电话：</w:t>
            </w:r>
            <w:r>
              <w:rPr>
                <w:rFonts w:ascii="Arial" w:eastAsia="Arial"/>
                <w:sz w:val="22"/>
              </w:rPr>
              <w:t>4000-766-123</w:t>
            </w:r>
          </w:p>
          <w:p>
            <w:pPr>
              <w:pStyle w:val="TableParagraph"/>
              <w:spacing w:line="277" w:lineRule="exact" w:before="27"/>
              <w:ind w:left="102" w:right="95"/>
              <w:jc w:val="center"/>
              <w:rPr>
                <w:rFonts w:ascii="Arial" w:eastAsia="Arial"/>
                <w:sz w:val="22"/>
              </w:rPr>
            </w:pPr>
            <w:r>
              <w:rPr>
                <w:sz w:val="22"/>
              </w:rPr>
              <w:t>公司网址： </w:t>
            </w:r>
            <w:hyperlink r:id="rId95">
              <w:r>
                <w:rPr>
                  <w:rFonts w:ascii="Arial" w:eastAsia="Arial"/>
                  <w:sz w:val="22"/>
                </w:rPr>
                <w:t>www.fund123.cn</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89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诺亚正行基金销售有限公司</w:t>
            </w:r>
          </w:p>
        </w:tc>
        <w:tc>
          <w:tcPr>
            <w:tcW w:w="3848" w:type="dxa"/>
          </w:tcPr>
          <w:p>
            <w:pPr>
              <w:pStyle w:val="TableParagraph"/>
              <w:spacing w:before="15"/>
              <w:ind w:left="105" w:right="95"/>
              <w:jc w:val="center"/>
              <w:rPr>
                <w:sz w:val="22"/>
              </w:rPr>
            </w:pPr>
            <w:r>
              <w:rPr>
                <w:sz w:val="22"/>
              </w:rPr>
              <w:t>注册地址：上海市虹口区飞虹路 360</w:t>
            </w:r>
          </w:p>
          <w:p>
            <w:pPr>
              <w:pStyle w:val="TableParagraph"/>
              <w:spacing w:before="30"/>
              <w:ind w:left="102" w:right="95"/>
              <w:jc w:val="center"/>
              <w:rPr>
                <w:sz w:val="22"/>
              </w:rPr>
            </w:pPr>
            <w:r>
              <w:rPr>
                <w:sz w:val="22"/>
              </w:rPr>
              <w:t>弄 9 号 3724 室</w:t>
            </w:r>
          </w:p>
          <w:p>
            <w:pPr>
              <w:pStyle w:val="TableParagraph"/>
              <w:spacing w:line="266" w:lineRule="auto" w:before="30"/>
              <w:ind w:left="103" w:right="90"/>
              <w:jc w:val="center"/>
              <w:rPr>
                <w:sz w:val="22"/>
              </w:rPr>
            </w:pPr>
            <w:r>
              <w:rPr>
                <w:sz w:val="22"/>
              </w:rPr>
              <w:t>办公地址：上海市杨浦区秦皇岛路 32 号东码头园区 C 栋</w:t>
            </w:r>
          </w:p>
          <w:p>
            <w:pPr>
              <w:pStyle w:val="TableParagraph"/>
              <w:spacing w:line="266" w:lineRule="auto"/>
              <w:ind w:left="932" w:right="920"/>
              <w:jc w:val="center"/>
              <w:rPr>
                <w:sz w:val="22"/>
              </w:rPr>
            </w:pPr>
            <w:r>
              <w:rPr>
                <w:sz w:val="22"/>
              </w:rPr>
              <w:t>法定代表人：汪静波联系人：李娟</w:t>
            </w:r>
          </w:p>
          <w:p>
            <w:pPr>
              <w:pStyle w:val="TableParagraph"/>
              <w:spacing w:line="266" w:lineRule="auto"/>
              <w:ind w:left="932" w:right="920"/>
              <w:jc w:val="center"/>
              <w:rPr>
                <w:sz w:val="22"/>
              </w:rPr>
            </w:pPr>
            <w:r>
              <w:rPr>
                <w:sz w:val="22"/>
              </w:rPr>
              <w:t>电话：021-80358236 传真：021-80358749</w:t>
            </w:r>
          </w:p>
          <w:p>
            <w:pPr>
              <w:pStyle w:val="TableParagraph"/>
              <w:spacing w:line="280" w:lineRule="exact"/>
              <w:ind w:left="101" w:right="95"/>
              <w:jc w:val="center"/>
              <w:rPr>
                <w:sz w:val="22"/>
              </w:rPr>
            </w:pPr>
            <w:r>
              <w:rPr>
                <w:sz w:val="22"/>
              </w:rPr>
              <w:t>客户服务电话：400－821－5399</w:t>
            </w:r>
          </w:p>
          <w:p>
            <w:pPr>
              <w:pStyle w:val="TableParagraph"/>
              <w:spacing w:line="279" w:lineRule="exact" w:before="27"/>
              <w:ind w:left="100" w:right="95"/>
              <w:jc w:val="center"/>
              <w:rPr>
                <w:sz w:val="22"/>
              </w:rPr>
            </w:pPr>
            <w:hyperlink r:id="rId96">
              <w:r>
                <w:rPr>
                  <w:sz w:val="22"/>
                </w:rPr>
                <w:t>网址：www.noah-fund.com</w:t>
              </w:r>
            </w:hyperlink>
          </w:p>
        </w:tc>
      </w:tr>
    </w:tbl>
    <w:p>
      <w:pPr>
        <w:spacing w:after="0" w:line="279" w:lineRule="exact"/>
        <w:jc w:val="center"/>
        <w:rPr>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90</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上海长量基金销售有限公司</w:t>
            </w:r>
          </w:p>
        </w:tc>
        <w:tc>
          <w:tcPr>
            <w:tcW w:w="3848" w:type="dxa"/>
            <w:tcBorders>
              <w:top w:val="nil"/>
            </w:tcBorders>
          </w:tcPr>
          <w:p>
            <w:pPr>
              <w:pStyle w:val="TableParagraph"/>
              <w:spacing w:before="15"/>
              <w:ind w:left="10"/>
              <w:jc w:val="center"/>
              <w:rPr>
                <w:rFonts w:ascii="Arial" w:eastAsia="Arial"/>
                <w:sz w:val="22"/>
              </w:rPr>
            </w:pPr>
            <w:r>
              <w:rPr>
                <w:sz w:val="22"/>
              </w:rPr>
              <w:t>注册地址：上海市浦东新区高翔路 </w:t>
            </w:r>
            <w:r>
              <w:rPr>
                <w:rFonts w:ascii="Arial" w:eastAsia="Arial"/>
                <w:sz w:val="22"/>
              </w:rPr>
              <w:t>526</w:t>
            </w:r>
          </w:p>
          <w:p>
            <w:pPr>
              <w:pStyle w:val="TableParagraph"/>
              <w:spacing w:before="30"/>
              <w:ind w:left="105" w:right="95"/>
              <w:jc w:val="center"/>
              <w:rPr>
                <w:sz w:val="22"/>
              </w:rPr>
            </w:pPr>
            <w:r>
              <w:rPr>
                <w:sz w:val="22"/>
              </w:rPr>
              <w:t>号 </w:t>
            </w:r>
            <w:r>
              <w:rPr>
                <w:rFonts w:ascii="Arial" w:eastAsia="Arial"/>
                <w:sz w:val="22"/>
              </w:rPr>
              <w:t>2 </w:t>
            </w:r>
            <w:r>
              <w:rPr>
                <w:sz w:val="22"/>
              </w:rPr>
              <w:t>幢 </w:t>
            </w:r>
            <w:r>
              <w:rPr>
                <w:rFonts w:ascii="Arial" w:eastAsia="Arial"/>
                <w:sz w:val="22"/>
              </w:rPr>
              <w:t>220 </w:t>
            </w:r>
            <w:r>
              <w:rPr>
                <w:sz w:val="22"/>
              </w:rPr>
              <w:t>室</w:t>
            </w:r>
          </w:p>
          <w:p>
            <w:pPr>
              <w:pStyle w:val="TableParagraph"/>
              <w:spacing w:before="31"/>
              <w:ind w:left="105" w:right="95"/>
              <w:jc w:val="center"/>
              <w:rPr>
                <w:sz w:val="22"/>
              </w:rPr>
            </w:pPr>
            <w:r>
              <w:rPr>
                <w:sz w:val="22"/>
              </w:rPr>
              <w:t>办公地址：上海市浦东新区东方路</w:t>
            </w:r>
          </w:p>
          <w:p>
            <w:pPr>
              <w:pStyle w:val="TableParagraph"/>
              <w:spacing w:before="30"/>
              <w:ind w:left="102" w:right="95"/>
              <w:jc w:val="center"/>
              <w:rPr>
                <w:sz w:val="22"/>
              </w:rPr>
            </w:pPr>
            <w:r>
              <w:rPr>
                <w:rFonts w:ascii="Arial" w:eastAsia="Arial"/>
                <w:sz w:val="22"/>
              </w:rPr>
              <w:t>1267 </w:t>
            </w:r>
            <w:r>
              <w:rPr>
                <w:sz w:val="22"/>
              </w:rPr>
              <w:t>号 </w:t>
            </w:r>
            <w:r>
              <w:rPr>
                <w:rFonts w:ascii="Arial" w:eastAsia="Arial"/>
                <w:sz w:val="22"/>
              </w:rPr>
              <w:t>11 </w:t>
            </w:r>
            <w:r>
              <w:rPr>
                <w:sz w:val="22"/>
              </w:rPr>
              <w:t>层</w:t>
            </w:r>
          </w:p>
          <w:p>
            <w:pPr>
              <w:pStyle w:val="TableParagraph"/>
              <w:spacing w:line="266" w:lineRule="auto" w:before="30"/>
              <w:ind w:left="932" w:right="920"/>
              <w:jc w:val="center"/>
              <w:rPr>
                <w:sz w:val="22"/>
              </w:rPr>
            </w:pPr>
            <w:r>
              <w:rPr>
                <w:sz w:val="22"/>
              </w:rPr>
              <w:t>法定代表人：张跃伟联系人：单丙烨</w:t>
            </w:r>
          </w:p>
          <w:p>
            <w:pPr>
              <w:pStyle w:val="TableParagraph"/>
              <w:spacing w:line="266" w:lineRule="auto"/>
              <w:ind w:left="882" w:right="872"/>
              <w:jc w:val="center"/>
              <w:rPr>
                <w:rFonts w:ascii="Arial" w:eastAsia="Arial"/>
                <w:sz w:val="22"/>
              </w:rPr>
            </w:pPr>
            <w:r>
              <w:rPr>
                <w:sz w:val="22"/>
              </w:rPr>
              <w:t>电话：</w:t>
            </w:r>
            <w:r>
              <w:rPr>
                <w:rFonts w:ascii="Arial" w:eastAsia="Arial"/>
                <w:sz w:val="22"/>
              </w:rPr>
              <w:t>021-20691832 </w:t>
            </w:r>
            <w:r>
              <w:rPr>
                <w:sz w:val="22"/>
              </w:rPr>
              <w:t>传真：</w:t>
            </w:r>
            <w:r>
              <w:rPr>
                <w:rFonts w:ascii="Arial" w:eastAsia="Arial"/>
                <w:sz w:val="22"/>
              </w:rPr>
              <w:t>021-20691861</w:t>
            </w:r>
          </w:p>
          <w:p>
            <w:pPr>
              <w:pStyle w:val="TableParagraph"/>
              <w:spacing w:line="280" w:lineRule="exact"/>
              <w:ind w:left="103" w:right="95"/>
              <w:jc w:val="center"/>
              <w:rPr>
                <w:rFonts w:ascii="Arial" w:eastAsia="Arial"/>
                <w:sz w:val="22"/>
              </w:rPr>
            </w:pPr>
            <w:r>
              <w:rPr>
                <w:sz w:val="22"/>
              </w:rPr>
              <w:t>客服电话：</w:t>
            </w:r>
            <w:r>
              <w:rPr>
                <w:rFonts w:ascii="Arial" w:eastAsia="Arial"/>
                <w:sz w:val="22"/>
              </w:rPr>
              <w:t>400-820-2899</w:t>
            </w:r>
          </w:p>
          <w:p>
            <w:pPr>
              <w:pStyle w:val="TableParagraph"/>
              <w:spacing w:line="277" w:lineRule="exact" w:before="28"/>
              <w:ind w:left="101" w:right="95"/>
              <w:jc w:val="center"/>
              <w:rPr>
                <w:rFonts w:ascii="Arial" w:eastAsia="Arial"/>
                <w:sz w:val="22"/>
              </w:rPr>
            </w:pPr>
            <w:r>
              <w:rPr>
                <w:sz w:val="22"/>
              </w:rPr>
              <w:t>公司网站： </w:t>
            </w:r>
            <w:hyperlink r:id="rId97">
              <w:r>
                <w:rPr>
                  <w:rFonts w:ascii="Arial" w:eastAsia="Arial"/>
                  <w:sz w:val="22"/>
                </w:rPr>
                <w:t>www.erichfund.com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91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上海好买基金销售有限公司</w:t>
            </w:r>
          </w:p>
        </w:tc>
        <w:tc>
          <w:tcPr>
            <w:tcW w:w="3848" w:type="dxa"/>
          </w:tcPr>
          <w:p>
            <w:pPr>
              <w:pStyle w:val="TableParagraph"/>
              <w:spacing w:before="15"/>
              <w:ind w:left="105" w:right="95"/>
              <w:jc w:val="center"/>
              <w:rPr>
                <w:rFonts w:ascii="Arial" w:eastAsia="Arial"/>
                <w:sz w:val="22"/>
              </w:rPr>
            </w:pPr>
            <w:r>
              <w:rPr>
                <w:sz w:val="22"/>
              </w:rPr>
              <w:t>注册地址：上海市虹口区场中路 </w:t>
            </w:r>
            <w:r>
              <w:rPr>
                <w:rFonts w:ascii="Arial" w:eastAsia="Arial"/>
                <w:sz w:val="22"/>
              </w:rPr>
              <w:t>685</w:t>
            </w:r>
          </w:p>
          <w:p>
            <w:pPr>
              <w:pStyle w:val="TableParagraph"/>
              <w:spacing w:before="30"/>
              <w:ind w:left="102" w:right="95"/>
              <w:jc w:val="center"/>
              <w:rPr>
                <w:rFonts w:ascii="Arial" w:eastAsia="Arial"/>
                <w:sz w:val="22"/>
              </w:rPr>
            </w:pPr>
            <w:r>
              <w:rPr>
                <w:sz w:val="22"/>
              </w:rPr>
              <w:t>弄 </w:t>
            </w:r>
            <w:r>
              <w:rPr>
                <w:rFonts w:ascii="Arial" w:eastAsia="Arial"/>
                <w:sz w:val="22"/>
              </w:rPr>
              <w:t>37 </w:t>
            </w:r>
            <w:r>
              <w:rPr>
                <w:sz w:val="22"/>
              </w:rPr>
              <w:t>号 </w:t>
            </w:r>
            <w:r>
              <w:rPr>
                <w:rFonts w:ascii="Arial" w:eastAsia="Arial"/>
                <w:sz w:val="22"/>
              </w:rPr>
              <w:t>4 </w:t>
            </w:r>
            <w:r>
              <w:rPr>
                <w:sz w:val="22"/>
              </w:rPr>
              <w:t>号楼 </w:t>
            </w:r>
            <w:r>
              <w:rPr>
                <w:rFonts w:ascii="Arial" w:eastAsia="Arial"/>
                <w:sz w:val="22"/>
              </w:rPr>
              <w:t>4494</w:t>
            </w:r>
          </w:p>
          <w:p>
            <w:pPr>
              <w:pStyle w:val="TableParagraph"/>
              <w:spacing w:before="31"/>
              <w:ind w:left="10"/>
              <w:jc w:val="center"/>
              <w:rPr>
                <w:sz w:val="22"/>
              </w:rPr>
            </w:pPr>
            <w:r>
              <w:rPr>
                <w:sz w:val="22"/>
              </w:rPr>
              <w:t>办公地址：上海市浦东南路 </w:t>
            </w:r>
            <w:r>
              <w:rPr>
                <w:rFonts w:ascii="Arial" w:eastAsia="Arial"/>
                <w:sz w:val="22"/>
              </w:rPr>
              <w:t>1118 </w:t>
            </w:r>
            <w:r>
              <w:rPr>
                <w:sz w:val="22"/>
              </w:rPr>
              <w:t>号鄂</w:t>
            </w:r>
          </w:p>
          <w:p>
            <w:pPr>
              <w:pStyle w:val="TableParagraph"/>
              <w:spacing w:line="266" w:lineRule="auto" w:before="30"/>
              <w:ind w:left="891" w:right="881"/>
              <w:jc w:val="center"/>
              <w:rPr>
                <w:sz w:val="22"/>
              </w:rPr>
            </w:pPr>
            <w:r>
              <w:rPr>
                <w:sz w:val="22"/>
              </w:rPr>
              <w:t>尔多斯国际大厦 </w:t>
            </w:r>
            <w:r>
              <w:rPr>
                <w:rFonts w:ascii="Arial" w:eastAsia="Arial"/>
                <w:sz w:val="22"/>
              </w:rPr>
              <w:t>9 </w:t>
            </w:r>
            <w:r>
              <w:rPr>
                <w:sz w:val="22"/>
              </w:rPr>
              <w:t>楼法定代表人：杨文斌联系人：张茹</w:t>
            </w:r>
          </w:p>
          <w:p>
            <w:pPr>
              <w:pStyle w:val="TableParagraph"/>
              <w:spacing w:line="266" w:lineRule="auto"/>
              <w:ind w:left="882" w:right="872"/>
              <w:jc w:val="center"/>
              <w:rPr>
                <w:rFonts w:ascii="Arial" w:eastAsia="Arial"/>
                <w:sz w:val="22"/>
              </w:rPr>
            </w:pPr>
            <w:r>
              <w:rPr>
                <w:sz w:val="22"/>
              </w:rPr>
              <w:t>电话：</w:t>
            </w:r>
            <w:r>
              <w:rPr>
                <w:rFonts w:ascii="Arial" w:eastAsia="Arial"/>
                <w:sz w:val="22"/>
              </w:rPr>
              <w:t>021-58870011 </w:t>
            </w:r>
            <w:r>
              <w:rPr>
                <w:sz w:val="22"/>
              </w:rPr>
              <w:t>传真：</w:t>
            </w:r>
            <w:r>
              <w:rPr>
                <w:rFonts w:ascii="Arial" w:eastAsia="Arial"/>
                <w:sz w:val="22"/>
              </w:rPr>
              <w:t>021-68596916</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400 700 9665</w:t>
            </w:r>
          </w:p>
          <w:p>
            <w:pPr>
              <w:pStyle w:val="TableParagraph"/>
              <w:spacing w:line="277" w:lineRule="exact" w:before="27"/>
              <w:ind w:left="101" w:right="95"/>
              <w:jc w:val="center"/>
              <w:rPr>
                <w:rFonts w:ascii="Arial" w:eastAsia="Arial"/>
                <w:sz w:val="22"/>
              </w:rPr>
            </w:pPr>
            <w:r>
              <w:rPr>
                <w:sz w:val="22"/>
              </w:rPr>
              <w:t>网址：</w:t>
            </w:r>
            <w:hyperlink r:id="rId98">
              <w:r>
                <w:rPr>
                  <w:rFonts w:ascii="Arial" w:eastAsia="Arial"/>
                  <w:sz w:val="22"/>
                </w:rPr>
                <w:t>www.ehowbuy.com</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87"/>
              <w:jc w:val="right"/>
              <w:rPr>
                <w:rFonts w:ascii="Arial"/>
                <w:sz w:val="21"/>
              </w:rPr>
            </w:pPr>
            <w:r>
              <w:rPr>
                <w:rFonts w:ascii="Arial"/>
                <w:sz w:val="21"/>
              </w:rPr>
              <w:t>92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2" w:right="77"/>
              <w:jc w:val="center"/>
              <w:rPr>
                <w:sz w:val="22"/>
              </w:rPr>
            </w:pPr>
            <w:r>
              <w:rPr>
                <w:sz w:val="22"/>
              </w:rPr>
              <w:t>北京展恒基金销售股份有限公司</w:t>
            </w:r>
          </w:p>
        </w:tc>
        <w:tc>
          <w:tcPr>
            <w:tcW w:w="3848" w:type="dxa"/>
          </w:tcPr>
          <w:p>
            <w:pPr>
              <w:pStyle w:val="TableParagraph"/>
              <w:spacing w:line="266" w:lineRule="auto" w:before="15"/>
              <w:ind w:left="107" w:right="95"/>
              <w:jc w:val="center"/>
              <w:rPr>
                <w:sz w:val="22"/>
              </w:rPr>
            </w:pPr>
            <w:r>
              <w:rPr>
                <w:spacing w:val="-13"/>
                <w:sz w:val="22"/>
              </w:rPr>
              <w:t>注册地址：北京市顺义区后沙峪镇安富</w:t>
            </w:r>
            <w:r>
              <w:rPr>
                <w:spacing w:val="-31"/>
                <w:sz w:val="22"/>
              </w:rPr>
              <w:t>街 </w:t>
            </w:r>
            <w:r>
              <w:rPr>
                <w:rFonts w:ascii="Arial" w:eastAsia="Arial"/>
                <w:sz w:val="22"/>
              </w:rPr>
              <w:t>6 </w:t>
            </w:r>
            <w:r>
              <w:rPr>
                <w:sz w:val="22"/>
              </w:rPr>
              <w:t>号</w:t>
            </w:r>
          </w:p>
          <w:p>
            <w:pPr>
              <w:pStyle w:val="TableParagraph"/>
              <w:spacing w:line="281" w:lineRule="exact"/>
              <w:ind w:left="11"/>
              <w:jc w:val="center"/>
              <w:rPr>
                <w:rFonts w:ascii="Arial" w:eastAsia="Arial"/>
                <w:sz w:val="22"/>
              </w:rPr>
            </w:pPr>
            <w:r>
              <w:rPr>
                <w:sz w:val="22"/>
              </w:rPr>
              <w:t>办公地址：北京市朝阳区安苑路 </w:t>
            </w:r>
            <w:r>
              <w:rPr>
                <w:rFonts w:ascii="Arial" w:eastAsia="Arial"/>
                <w:sz w:val="22"/>
              </w:rPr>
              <w:t>15-1</w:t>
            </w:r>
          </w:p>
          <w:p>
            <w:pPr>
              <w:pStyle w:val="TableParagraph"/>
              <w:spacing w:line="266" w:lineRule="auto" w:before="30"/>
              <w:ind w:left="891" w:right="881"/>
              <w:jc w:val="center"/>
              <w:rPr>
                <w:sz w:val="22"/>
              </w:rPr>
            </w:pPr>
            <w:r>
              <w:rPr>
                <w:sz w:val="22"/>
              </w:rPr>
              <w:t>号邮电新闻大厦 </w:t>
            </w:r>
            <w:r>
              <w:rPr>
                <w:rFonts w:ascii="Arial" w:eastAsia="Arial"/>
                <w:sz w:val="22"/>
              </w:rPr>
              <w:t>6 </w:t>
            </w:r>
            <w:r>
              <w:rPr>
                <w:sz w:val="22"/>
              </w:rPr>
              <w:t>层法定代表人：闫振杰联系人： 李晓芳</w:t>
            </w:r>
          </w:p>
          <w:p>
            <w:pPr>
              <w:pStyle w:val="TableParagraph"/>
              <w:spacing w:line="279" w:lineRule="exact"/>
              <w:ind w:left="105" w:right="95"/>
              <w:jc w:val="center"/>
              <w:rPr>
                <w:rFonts w:ascii="Arial" w:eastAsia="Arial"/>
                <w:sz w:val="22"/>
              </w:rPr>
            </w:pPr>
            <w:r>
              <w:rPr>
                <w:sz w:val="22"/>
              </w:rPr>
              <w:t>联系电话：</w:t>
            </w:r>
            <w:r>
              <w:rPr>
                <w:rFonts w:ascii="Arial" w:eastAsia="Arial"/>
                <w:sz w:val="22"/>
              </w:rPr>
              <w:t>010-59601366 </w:t>
            </w:r>
            <w:r>
              <w:rPr>
                <w:sz w:val="22"/>
              </w:rPr>
              <w:t>转 </w:t>
            </w:r>
            <w:r>
              <w:rPr>
                <w:rFonts w:ascii="Arial" w:eastAsia="Arial"/>
                <w:sz w:val="22"/>
              </w:rPr>
              <w:t>7167</w:t>
            </w:r>
          </w:p>
          <w:p>
            <w:pPr>
              <w:pStyle w:val="TableParagraph"/>
              <w:spacing w:before="30"/>
              <w:ind w:left="103" w:right="95"/>
              <w:jc w:val="center"/>
              <w:rPr>
                <w:rFonts w:ascii="Arial" w:eastAsia="Arial"/>
                <w:sz w:val="22"/>
              </w:rPr>
            </w:pPr>
            <w:r>
              <w:rPr>
                <w:sz w:val="22"/>
              </w:rPr>
              <w:t>客服电话：</w:t>
            </w:r>
            <w:r>
              <w:rPr>
                <w:rFonts w:ascii="Arial" w:eastAsia="Arial"/>
                <w:sz w:val="22"/>
              </w:rPr>
              <w:t>400-818-8000</w:t>
            </w:r>
          </w:p>
          <w:p>
            <w:pPr>
              <w:pStyle w:val="TableParagraph"/>
              <w:spacing w:line="277" w:lineRule="exact" w:before="30"/>
              <w:ind w:left="101" w:right="95"/>
              <w:jc w:val="center"/>
              <w:rPr>
                <w:rFonts w:ascii="Arial" w:eastAsia="Arial"/>
                <w:sz w:val="22"/>
              </w:rPr>
            </w:pPr>
            <w:r>
              <w:rPr>
                <w:sz w:val="22"/>
              </w:rPr>
              <w:t>公司网站：</w:t>
            </w:r>
            <w:hyperlink r:id="rId99">
              <w:r>
                <w:rPr>
                  <w:rFonts w:ascii="Arial" w:eastAsia="Arial"/>
                  <w:sz w:val="22"/>
                </w:rPr>
                <w:t>www.myfund.com</w:t>
              </w:r>
            </w:hyperlink>
          </w:p>
        </w:tc>
      </w:tr>
      <w:tr>
        <w:trPr>
          <w:trHeight w:val="281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87"/>
              <w:jc w:val="right"/>
              <w:rPr>
                <w:rFonts w:ascii="Arial"/>
                <w:sz w:val="21"/>
              </w:rPr>
            </w:pPr>
            <w:r>
              <w:rPr>
                <w:rFonts w:ascii="Arial"/>
                <w:sz w:val="21"/>
              </w:rPr>
              <w:t>93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2" w:right="77"/>
              <w:jc w:val="center"/>
              <w:rPr>
                <w:sz w:val="22"/>
              </w:rPr>
            </w:pPr>
            <w:r>
              <w:rPr>
                <w:sz w:val="22"/>
              </w:rPr>
              <w:t>和讯信息科技有限公司</w:t>
            </w:r>
          </w:p>
        </w:tc>
        <w:tc>
          <w:tcPr>
            <w:tcW w:w="3848" w:type="dxa"/>
          </w:tcPr>
          <w:p>
            <w:pPr>
              <w:pStyle w:val="TableParagraph"/>
              <w:spacing w:before="15"/>
              <w:ind w:left="102" w:right="95"/>
              <w:jc w:val="center"/>
              <w:rPr>
                <w:sz w:val="22"/>
              </w:rPr>
            </w:pPr>
            <w:r>
              <w:rPr>
                <w:sz w:val="22"/>
              </w:rPr>
              <w:t>注册（办公）地址：北京市朝外大街</w:t>
            </w:r>
          </w:p>
          <w:p>
            <w:pPr>
              <w:pStyle w:val="TableParagraph"/>
              <w:spacing w:line="266" w:lineRule="auto" w:before="30"/>
              <w:ind w:left="935" w:right="922"/>
              <w:jc w:val="center"/>
              <w:rPr>
                <w:sz w:val="22"/>
              </w:rPr>
            </w:pPr>
            <w:r>
              <w:rPr>
                <w:rFonts w:ascii="Arial" w:eastAsia="Arial"/>
                <w:sz w:val="22"/>
              </w:rPr>
              <w:t>22</w:t>
            </w:r>
            <w:r>
              <w:rPr>
                <w:rFonts w:ascii="Arial" w:eastAsia="Arial"/>
                <w:spacing w:val="-6"/>
                <w:sz w:val="22"/>
              </w:rPr>
              <w:t> </w:t>
            </w:r>
            <w:r>
              <w:rPr>
                <w:spacing w:val="-10"/>
                <w:sz w:val="22"/>
              </w:rPr>
              <w:t>号泛利大厦 </w:t>
            </w:r>
            <w:r>
              <w:rPr>
                <w:rFonts w:ascii="Arial" w:eastAsia="Arial"/>
                <w:sz w:val="22"/>
              </w:rPr>
              <w:t>10</w:t>
            </w:r>
            <w:r>
              <w:rPr>
                <w:rFonts w:ascii="Arial" w:eastAsia="Arial"/>
                <w:spacing w:val="-4"/>
                <w:sz w:val="22"/>
              </w:rPr>
              <w:t> </w:t>
            </w:r>
            <w:r>
              <w:rPr>
                <w:spacing w:val="-15"/>
                <w:sz w:val="22"/>
              </w:rPr>
              <w:t>层</w:t>
            </w:r>
            <w:r>
              <w:rPr>
                <w:spacing w:val="-2"/>
                <w:sz w:val="22"/>
              </w:rPr>
              <w:t>法定代表人：王莉 </w:t>
            </w:r>
            <w:r>
              <w:rPr>
                <w:spacing w:val="-3"/>
                <w:sz w:val="22"/>
              </w:rPr>
              <w:t>联系人：习甜</w:t>
            </w:r>
          </w:p>
          <w:p>
            <w:pPr>
              <w:pStyle w:val="TableParagraph"/>
              <w:spacing w:line="266" w:lineRule="auto"/>
              <w:ind w:left="661" w:right="653"/>
              <w:jc w:val="center"/>
              <w:rPr>
                <w:rFonts w:ascii="Arial" w:eastAsia="Arial"/>
                <w:sz w:val="22"/>
              </w:rPr>
            </w:pPr>
            <w:r>
              <w:rPr>
                <w:sz w:val="22"/>
              </w:rPr>
              <w:t>联系电话：</w:t>
            </w:r>
            <w:r>
              <w:rPr>
                <w:rFonts w:ascii="Arial" w:eastAsia="Arial"/>
                <w:sz w:val="22"/>
              </w:rPr>
              <w:t>010-85650920 </w:t>
            </w:r>
            <w:r>
              <w:rPr>
                <w:sz w:val="22"/>
              </w:rPr>
              <w:t>传真号码：</w:t>
            </w:r>
            <w:r>
              <w:rPr>
                <w:rFonts w:ascii="Arial" w:eastAsia="Arial"/>
                <w:sz w:val="22"/>
              </w:rPr>
              <w:t>010-85657357</w:t>
            </w:r>
          </w:p>
          <w:p>
            <w:pPr>
              <w:pStyle w:val="TableParagraph"/>
              <w:spacing w:line="278" w:lineRule="auto"/>
              <w:ind w:left="215" w:right="205"/>
              <w:jc w:val="center"/>
              <w:rPr>
                <w:rFonts w:ascii="Arial" w:eastAsia="Arial"/>
                <w:sz w:val="22"/>
              </w:rPr>
            </w:pPr>
            <w:r>
              <w:rPr>
                <w:sz w:val="22"/>
              </w:rPr>
              <w:t>全国统一客服热线：</w:t>
            </w:r>
            <w:r>
              <w:rPr>
                <w:rFonts w:ascii="Arial" w:eastAsia="Arial"/>
                <w:sz w:val="22"/>
              </w:rPr>
              <w:t>400-920-0022/ 021-20835588</w:t>
            </w:r>
          </w:p>
          <w:p>
            <w:pPr>
              <w:pStyle w:val="TableParagraph"/>
              <w:spacing w:line="279" w:lineRule="exact"/>
              <w:ind w:left="104" w:right="95"/>
              <w:jc w:val="center"/>
              <w:rPr>
                <w:rFonts w:ascii="Arial" w:eastAsia="Arial"/>
                <w:sz w:val="22"/>
              </w:rPr>
            </w:pPr>
            <w:r>
              <w:rPr>
                <w:sz w:val="22"/>
              </w:rPr>
              <w:t>公司网址：</w:t>
            </w:r>
            <w:r>
              <w:rPr>
                <w:rFonts w:ascii="Arial" w:eastAsia="Arial"/>
                <w:sz w:val="22"/>
              </w:rPr>
              <w:t>licaike.hexun.com</w:t>
            </w:r>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94</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上海天天基金销售有限公司</w:t>
            </w:r>
          </w:p>
        </w:tc>
        <w:tc>
          <w:tcPr>
            <w:tcW w:w="3848" w:type="dxa"/>
            <w:tcBorders>
              <w:top w:val="nil"/>
            </w:tcBorders>
          </w:tcPr>
          <w:p>
            <w:pPr>
              <w:pStyle w:val="TableParagraph"/>
              <w:spacing w:before="15"/>
              <w:ind w:left="105" w:right="95"/>
              <w:jc w:val="center"/>
              <w:rPr>
                <w:rFonts w:ascii="Arial" w:eastAsia="Arial"/>
                <w:sz w:val="22"/>
              </w:rPr>
            </w:pPr>
            <w:r>
              <w:rPr>
                <w:sz w:val="22"/>
              </w:rPr>
              <w:t>注册地址：上海市徐汇区龙田路 </w:t>
            </w:r>
            <w:r>
              <w:rPr>
                <w:rFonts w:ascii="Arial" w:eastAsia="Arial"/>
                <w:sz w:val="22"/>
              </w:rPr>
              <w:t>190</w:t>
            </w:r>
          </w:p>
          <w:p>
            <w:pPr>
              <w:pStyle w:val="TableParagraph"/>
              <w:spacing w:before="30"/>
              <w:ind w:left="103" w:right="95"/>
              <w:jc w:val="center"/>
              <w:rPr>
                <w:sz w:val="22"/>
              </w:rPr>
            </w:pPr>
            <w:r>
              <w:rPr>
                <w:sz w:val="22"/>
              </w:rPr>
              <w:t>号东方财富大厦 </w:t>
            </w:r>
            <w:r>
              <w:rPr>
                <w:rFonts w:ascii="Arial" w:eastAsia="Arial"/>
                <w:sz w:val="22"/>
              </w:rPr>
              <w:t>2 </w:t>
            </w:r>
            <w:r>
              <w:rPr>
                <w:sz w:val="22"/>
              </w:rPr>
              <w:t>楼</w:t>
            </w:r>
          </w:p>
          <w:p>
            <w:pPr>
              <w:pStyle w:val="TableParagraph"/>
              <w:spacing w:before="31"/>
              <w:ind w:left="10"/>
              <w:jc w:val="center"/>
              <w:rPr>
                <w:rFonts w:ascii="Arial" w:eastAsia="Arial"/>
                <w:sz w:val="22"/>
              </w:rPr>
            </w:pPr>
            <w:r>
              <w:rPr>
                <w:sz w:val="22"/>
              </w:rPr>
              <w:t>办公地址： 上海市徐汇区宛平南路 </w:t>
            </w:r>
            <w:r>
              <w:rPr>
                <w:rFonts w:ascii="Arial" w:eastAsia="Arial"/>
                <w:sz w:val="22"/>
              </w:rPr>
              <w:t>88</w:t>
            </w:r>
          </w:p>
          <w:p>
            <w:pPr>
              <w:pStyle w:val="TableParagraph"/>
              <w:spacing w:line="266" w:lineRule="auto" w:before="30"/>
              <w:ind w:left="892" w:right="881"/>
              <w:jc w:val="center"/>
              <w:rPr>
                <w:sz w:val="22"/>
              </w:rPr>
            </w:pPr>
            <w:r>
              <w:rPr>
                <w:sz w:val="22"/>
              </w:rPr>
              <w:t>号金座</w:t>
            </w:r>
            <w:r>
              <w:rPr>
                <w:spacing w:val="-3"/>
                <w:sz w:val="22"/>
              </w:rPr>
              <w:t>（</w:t>
            </w:r>
            <w:r>
              <w:rPr>
                <w:sz w:val="22"/>
              </w:rPr>
              <w:t>北楼）</w:t>
            </w:r>
            <w:r>
              <w:rPr>
                <w:rFonts w:ascii="Arial" w:eastAsia="Arial"/>
                <w:sz w:val="22"/>
              </w:rPr>
              <w:t>25</w:t>
            </w:r>
            <w:r>
              <w:rPr>
                <w:rFonts w:ascii="Arial" w:eastAsia="Arial"/>
                <w:spacing w:val="-3"/>
                <w:sz w:val="22"/>
              </w:rPr>
              <w:t> </w:t>
            </w:r>
            <w:r>
              <w:rPr>
                <w:spacing w:val="-16"/>
                <w:sz w:val="22"/>
              </w:rPr>
              <w:t>层</w:t>
            </w:r>
            <w:r>
              <w:rPr>
                <w:spacing w:val="-2"/>
                <w:sz w:val="22"/>
              </w:rPr>
              <w:t>法定代表人：其实 联系人： 潘世友</w:t>
            </w:r>
          </w:p>
          <w:p>
            <w:pPr>
              <w:pStyle w:val="TableParagraph"/>
              <w:spacing w:line="266" w:lineRule="auto"/>
              <w:ind w:left="601" w:right="590"/>
              <w:jc w:val="center"/>
              <w:rPr>
                <w:rFonts w:ascii="Arial" w:eastAsia="Arial"/>
                <w:sz w:val="22"/>
              </w:rPr>
            </w:pPr>
            <w:r>
              <w:rPr>
                <w:sz w:val="22"/>
              </w:rPr>
              <w:t>电话：</w:t>
            </w:r>
            <w:r>
              <w:rPr>
                <w:rFonts w:ascii="Arial" w:eastAsia="Arial"/>
                <w:sz w:val="22"/>
              </w:rPr>
              <w:t>021-54509977-8400 </w:t>
            </w:r>
            <w:r>
              <w:rPr>
                <w:sz w:val="22"/>
              </w:rPr>
              <w:t>传真：</w:t>
            </w:r>
            <w:r>
              <w:rPr>
                <w:rFonts w:ascii="Arial" w:eastAsia="Arial"/>
                <w:sz w:val="22"/>
              </w:rPr>
              <w:t>021-54509953</w:t>
            </w:r>
          </w:p>
          <w:p>
            <w:pPr>
              <w:pStyle w:val="TableParagraph"/>
              <w:spacing w:line="280" w:lineRule="exact"/>
              <w:ind w:left="103" w:right="95"/>
              <w:jc w:val="center"/>
              <w:rPr>
                <w:rFonts w:ascii="Arial" w:eastAsia="Arial"/>
                <w:sz w:val="22"/>
              </w:rPr>
            </w:pPr>
            <w:r>
              <w:rPr>
                <w:sz w:val="22"/>
              </w:rPr>
              <w:t>客服电话：</w:t>
            </w:r>
            <w:r>
              <w:rPr>
                <w:rFonts w:ascii="Arial" w:eastAsia="Arial"/>
                <w:sz w:val="22"/>
              </w:rPr>
              <w:t>400-1818-188</w:t>
            </w:r>
          </w:p>
          <w:p>
            <w:pPr>
              <w:pStyle w:val="TableParagraph"/>
              <w:spacing w:line="277" w:lineRule="exact" w:before="27"/>
              <w:ind w:left="102" w:right="95"/>
              <w:jc w:val="center"/>
              <w:rPr>
                <w:rFonts w:ascii="Arial" w:eastAsia="Arial"/>
                <w:sz w:val="22"/>
              </w:rPr>
            </w:pPr>
            <w:r>
              <w:rPr>
                <w:sz w:val="22"/>
              </w:rPr>
              <w:t>网址：</w:t>
            </w:r>
            <w:hyperlink r:id="rId100">
              <w:r>
                <w:rPr>
                  <w:rFonts w:ascii="Arial" w:eastAsia="Arial"/>
                  <w:sz w:val="22"/>
                </w:rPr>
                <w:t>http://www.1234567.com.cn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87"/>
              <w:jc w:val="right"/>
              <w:rPr>
                <w:rFonts w:ascii="Arial"/>
                <w:sz w:val="21"/>
              </w:rPr>
            </w:pPr>
            <w:r>
              <w:rPr>
                <w:rFonts w:ascii="Arial"/>
                <w:sz w:val="21"/>
              </w:rPr>
              <w:t>95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7"/>
              <w:jc w:val="center"/>
              <w:rPr>
                <w:sz w:val="22"/>
              </w:rPr>
            </w:pPr>
            <w:r>
              <w:rPr>
                <w:sz w:val="22"/>
              </w:rPr>
              <w:t>浙江同花顺基金销售有限公司</w:t>
            </w:r>
          </w:p>
        </w:tc>
        <w:tc>
          <w:tcPr>
            <w:tcW w:w="3848" w:type="dxa"/>
          </w:tcPr>
          <w:p>
            <w:pPr>
              <w:pStyle w:val="TableParagraph"/>
              <w:spacing w:line="266" w:lineRule="auto" w:before="15"/>
              <w:ind w:left="107" w:right="95"/>
              <w:jc w:val="center"/>
              <w:rPr>
                <w:sz w:val="22"/>
              </w:rPr>
            </w:pPr>
            <w:r>
              <w:rPr>
                <w:spacing w:val="-13"/>
                <w:sz w:val="22"/>
              </w:rPr>
              <w:t>注册地址：浙江省杭州市文二西路一号</w:t>
            </w:r>
            <w:r>
              <w:rPr>
                <w:spacing w:val="-11"/>
                <w:sz w:val="22"/>
              </w:rPr>
              <w:t>元茂大厦 </w:t>
            </w:r>
            <w:r>
              <w:rPr>
                <w:rFonts w:ascii="Arial" w:eastAsia="Arial"/>
                <w:sz w:val="22"/>
              </w:rPr>
              <w:t>903 </w:t>
            </w:r>
            <w:r>
              <w:rPr>
                <w:sz w:val="22"/>
              </w:rPr>
              <w:t>室</w:t>
            </w:r>
          </w:p>
          <w:p>
            <w:pPr>
              <w:pStyle w:val="TableParagraph"/>
              <w:spacing w:line="266" w:lineRule="auto"/>
              <w:ind w:left="1043" w:right="1031"/>
              <w:jc w:val="center"/>
              <w:rPr>
                <w:sz w:val="22"/>
              </w:rPr>
            </w:pPr>
            <w:r>
              <w:rPr>
                <w:sz w:val="22"/>
              </w:rPr>
              <w:t>法定代表人：吴强联系人：洪泓</w:t>
            </w:r>
          </w:p>
          <w:p>
            <w:pPr>
              <w:pStyle w:val="TableParagraph"/>
              <w:spacing w:line="266" w:lineRule="auto"/>
              <w:ind w:left="539" w:right="530"/>
              <w:jc w:val="center"/>
              <w:rPr>
                <w:rFonts w:ascii="Arial" w:eastAsia="Arial"/>
                <w:sz w:val="22"/>
              </w:rPr>
            </w:pPr>
            <w:r>
              <w:rPr>
                <w:sz w:val="22"/>
              </w:rPr>
              <w:t>电话：</w:t>
            </w:r>
            <w:r>
              <w:rPr>
                <w:rFonts w:ascii="Arial" w:eastAsia="Arial"/>
                <w:sz w:val="22"/>
              </w:rPr>
              <w:t>0571-88911818-8659 </w:t>
            </w:r>
            <w:r>
              <w:rPr>
                <w:sz w:val="22"/>
              </w:rPr>
              <w:t>传真：</w:t>
            </w:r>
            <w:r>
              <w:rPr>
                <w:rFonts w:ascii="Arial" w:eastAsia="Arial"/>
                <w:sz w:val="22"/>
              </w:rPr>
              <w:t>0571-86800423</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4008-773-772</w:t>
            </w:r>
          </w:p>
          <w:p>
            <w:pPr>
              <w:pStyle w:val="TableParagraph"/>
              <w:spacing w:line="277" w:lineRule="exact" w:before="27"/>
              <w:ind w:left="101" w:right="95"/>
              <w:jc w:val="center"/>
              <w:rPr>
                <w:rFonts w:ascii="Arial" w:eastAsia="Arial"/>
                <w:sz w:val="22"/>
              </w:rPr>
            </w:pPr>
            <w:r>
              <w:rPr>
                <w:sz w:val="22"/>
              </w:rPr>
              <w:t>网址：</w:t>
            </w:r>
            <w:hyperlink r:id="rId101">
              <w:r>
                <w:rPr>
                  <w:rFonts w:ascii="Arial" w:eastAsia="Arial"/>
                  <w:sz w:val="22"/>
                </w:rPr>
                <w:t>www.5ifund.com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96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浦领基金销售有限公司</w:t>
            </w:r>
          </w:p>
        </w:tc>
        <w:tc>
          <w:tcPr>
            <w:tcW w:w="3848" w:type="dxa"/>
          </w:tcPr>
          <w:p>
            <w:pPr>
              <w:pStyle w:val="TableParagraph"/>
              <w:spacing w:before="15"/>
              <w:ind w:left="10"/>
              <w:jc w:val="center"/>
              <w:rPr>
                <w:sz w:val="22"/>
              </w:rPr>
            </w:pPr>
            <w:r>
              <w:rPr>
                <w:sz w:val="22"/>
              </w:rPr>
              <w:t>注册地址：北京市朝阳区望京东园四区</w:t>
            </w:r>
          </w:p>
          <w:p>
            <w:pPr>
              <w:pStyle w:val="TableParagraph"/>
              <w:spacing w:before="30"/>
              <w:ind w:left="103" w:right="95"/>
              <w:jc w:val="center"/>
              <w:rPr>
                <w:sz w:val="22"/>
              </w:rPr>
            </w:pPr>
            <w:r>
              <w:rPr>
                <w:rFonts w:ascii="Arial" w:eastAsia="Arial"/>
                <w:sz w:val="22"/>
              </w:rPr>
              <w:t>13 </w:t>
            </w:r>
            <w:r>
              <w:rPr>
                <w:sz w:val="22"/>
              </w:rPr>
              <w:t>号 楼 </w:t>
            </w:r>
            <w:r>
              <w:rPr>
                <w:rFonts w:ascii="Arial" w:eastAsia="Arial"/>
                <w:sz w:val="22"/>
              </w:rPr>
              <w:t>A </w:t>
            </w:r>
            <w:r>
              <w:rPr>
                <w:sz w:val="22"/>
              </w:rPr>
              <w:t>座 </w:t>
            </w:r>
            <w:r>
              <w:rPr>
                <w:rFonts w:ascii="Arial" w:eastAsia="Arial"/>
                <w:sz w:val="22"/>
              </w:rPr>
              <w:t>9 </w:t>
            </w:r>
            <w:r>
              <w:rPr>
                <w:sz w:val="22"/>
              </w:rPr>
              <w:t>层 </w:t>
            </w:r>
            <w:r>
              <w:rPr>
                <w:rFonts w:ascii="Arial" w:eastAsia="Arial"/>
                <w:sz w:val="22"/>
              </w:rPr>
              <w:t>908 </w:t>
            </w:r>
            <w:r>
              <w:rPr>
                <w:sz w:val="22"/>
              </w:rPr>
              <w:t>室</w:t>
            </w:r>
          </w:p>
          <w:p>
            <w:pPr>
              <w:pStyle w:val="TableParagraph"/>
              <w:spacing w:before="30"/>
              <w:ind w:left="10"/>
              <w:jc w:val="center"/>
              <w:rPr>
                <w:sz w:val="22"/>
              </w:rPr>
            </w:pPr>
            <w:r>
              <w:rPr>
                <w:sz w:val="22"/>
              </w:rPr>
              <w:t>办公地址：北京市朝阳区望京浦项中心</w:t>
            </w:r>
          </w:p>
          <w:p>
            <w:pPr>
              <w:pStyle w:val="TableParagraph"/>
              <w:spacing w:before="30"/>
              <w:ind w:left="102" w:right="95"/>
              <w:jc w:val="center"/>
              <w:rPr>
                <w:rFonts w:ascii="Arial" w:eastAsia="Arial"/>
                <w:sz w:val="22"/>
              </w:rPr>
            </w:pPr>
            <w:r>
              <w:rPr>
                <w:rFonts w:ascii="Arial" w:eastAsia="Arial"/>
                <w:sz w:val="22"/>
              </w:rPr>
              <w:t>A</w:t>
            </w:r>
            <w:r>
              <w:rPr>
                <w:rFonts w:ascii="Arial" w:eastAsia="Arial"/>
                <w:spacing w:val="-7"/>
                <w:sz w:val="22"/>
              </w:rPr>
              <w:t> </w:t>
            </w:r>
            <w:r>
              <w:rPr>
                <w:spacing w:val="-28"/>
                <w:sz w:val="22"/>
              </w:rPr>
              <w:t>座 </w:t>
            </w:r>
            <w:r>
              <w:rPr>
                <w:rFonts w:ascii="Arial" w:eastAsia="Arial"/>
                <w:sz w:val="22"/>
              </w:rPr>
              <w:t>9</w:t>
            </w:r>
            <w:r>
              <w:rPr>
                <w:rFonts w:ascii="Arial" w:eastAsia="Arial"/>
                <w:spacing w:val="-7"/>
                <w:sz w:val="22"/>
              </w:rPr>
              <w:t> </w:t>
            </w:r>
            <w:r>
              <w:rPr>
                <w:spacing w:val="-28"/>
                <w:sz w:val="22"/>
              </w:rPr>
              <w:t>层 </w:t>
            </w:r>
            <w:r>
              <w:rPr>
                <w:rFonts w:ascii="Arial" w:eastAsia="Arial"/>
                <w:sz w:val="22"/>
              </w:rPr>
              <w:t>04-08</w:t>
            </w:r>
          </w:p>
          <w:p>
            <w:pPr>
              <w:pStyle w:val="TableParagraph"/>
              <w:spacing w:line="266" w:lineRule="auto" w:before="31"/>
              <w:ind w:left="932" w:right="920"/>
              <w:jc w:val="center"/>
              <w:rPr>
                <w:sz w:val="22"/>
              </w:rPr>
            </w:pPr>
            <w:r>
              <w:rPr>
                <w:spacing w:val="-4"/>
                <w:sz w:val="22"/>
              </w:rPr>
              <w:t>法定代表人：李招弟</w:t>
            </w:r>
            <w:r>
              <w:rPr>
                <w:spacing w:val="-1"/>
                <w:sz w:val="22"/>
              </w:rPr>
              <w:t>联系人：高晓芳</w:t>
            </w:r>
          </w:p>
          <w:p>
            <w:pPr>
              <w:pStyle w:val="TableParagraph"/>
              <w:spacing w:line="266" w:lineRule="auto"/>
              <w:ind w:left="882" w:right="872"/>
              <w:jc w:val="center"/>
              <w:rPr>
                <w:rFonts w:ascii="Arial" w:eastAsia="Arial"/>
                <w:sz w:val="22"/>
              </w:rPr>
            </w:pPr>
            <w:r>
              <w:rPr>
                <w:sz w:val="22"/>
              </w:rPr>
              <w:t>电话：</w:t>
            </w:r>
            <w:r>
              <w:rPr>
                <w:rFonts w:ascii="Arial" w:eastAsia="Arial"/>
                <w:sz w:val="22"/>
              </w:rPr>
              <w:t>010-59393923 </w:t>
            </w:r>
            <w:r>
              <w:rPr>
                <w:sz w:val="22"/>
              </w:rPr>
              <w:t>传真：</w:t>
            </w:r>
            <w:r>
              <w:rPr>
                <w:rFonts w:ascii="Arial" w:eastAsia="Arial"/>
                <w:sz w:val="22"/>
              </w:rPr>
              <w:t>010-64788105</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400-059-8888</w:t>
            </w:r>
          </w:p>
          <w:p>
            <w:pPr>
              <w:pStyle w:val="TableParagraph"/>
              <w:spacing w:line="277" w:lineRule="exact" w:before="28"/>
              <w:ind w:left="103" w:right="95"/>
              <w:jc w:val="center"/>
              <w:rPr>
                <w:rFonts w:ascii="Arial" w:eastAsia="Arial"/>
                <w:sz w:val="22"/>
              </w:rPr>
            </w:pPr>
            <w:r>
              <w:rPr>
                <w:sz w:val="22"/>
              </w:rPr>
              <w:t>网址：</w:t>
            </w:r>
            <w:hyperlink r:id="rId102">
              <w:r>
                <w:rPr>
                  <w:rFonts w:ascii="Arial" w:eastAsia="Arial"/>
                  <w:sz w:val="22"/>
                </w:rPr>
                <w:t>www.zscffund.com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87"/>
              <w:jc w:val="right"/>
              <w:rPr>
                <w:rFonts w:ascii="Arial"/>
                <w:sz w:val="21"/>
              </w:rPr>
            </w:pPr>
            <w:r>
              <w:rPr>
                <w:rFonts w:ascii="Arial"/>
                <w:sz w:val="21"/>
              </w:rPr>
              <w:t>97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9" w:right="77"/>
              <w:jc w:val="center"/>
              <w:rPr>
                <w:sz w:val="22"/>
              </w:rPr>
            </w:pPr>
            <w:r>
              <w:rPr>
                <w:sz w:val="22"/>
              </w:rPr>
              <w:t>宜信普泽（北京）基金销售有限公司</w:t>
            </w:r>
          </w:p>
        </w:tc>
        <w:tc>
          <w:tcPr>
            <w:tcW w:w="3848" w:type="dxa"/>
          </w:tcPr>
          <w:p>
            <w:pPr>
              <w:pStyle w:val="TableParagraph"/>
              <w:spacing w:before="15"/>
              <w:ind w:left="13"/>
              <w:jc w:val="center"/>
              <w:rPr>
                <w:sz w:val="22"/>
              </w:rPr>
            </w:pPr>
            <w:r>
              <w:rPr>
                <w:sz w:val="22"/>
              </w:rPr>
              <w:t>注册地址：北京市朝阳区建国路 </w:t>
            </w:r>
            <w:r>
              <w:rPr>
                <w:rFonts w:ascii="Arial" w:eastAsia="Arial"/>
                <w:sz w:val="22"/>
              </w:rPr>
              <w:t>88 </w:t>
            </w:r>
            <w:r>
              <w:rPr>
                <w:sz w:val="22"/>
              </w:rPr>
              <w:t>号</w:t>
            </w:r>
          </w:p>
          <w:p>
            <w:pPr>
              <w:pStyle w:val="TableParagraph"/>
              <w:spacing w:before="30"/>
              <w:ind w:left="102" w:right="95"/>
              <w:jc w:val="center"/>
              <w:rPr>
                <w:rFonts w:ascii="Arial" w:eastAsia="Arial"/>
                <w:sz w:val="22"/>
              </w:rPr>
            </w:pPr>
            <w:r>
              <w:rPr>
                <w:rFonts w:ascii="Arial" w:eastAsia="Arial"/>
                <w:sz w:val="22"/>
              </w:rPr>
              <w:t>9 </w:t>
            </w:r>
            <w:r>
              <w:rPr>
                <w:sz w:val="22"/>
              </w:rPr>
              <w:t>号楼 </w:t>
            </w:r>
            <w:r>
              <w:rPr>
                <w:rFonts w:ascii="Arial" w:eastAsia="Arial"/>
                <w:sz w:val="22"/>
              </w:rPr>
              <w:t>15 </w:t>
            </w:r>
            <w:r>
              <w:rPr>
                <w:sz w:val="22"/>
              </w:rPr>
              <w:t>层 </w:t>
            </w:r>
            <w:r>
              <w:rPr>
                <w:rFonts w:ascii="Arial" w:eastAsia="Arial"/>
                <w:sz w:val="22"/>
              </w:rPr>
              <w:t>1809</w:t>
            </w:r>
          </w:p>
          <w:p>
            <w:pPr>
              <w:pStyle w:val="TableParagraph"/>
              <w:spacing w:before="30"/>
              <w:ind w:left="13"/>
              <w:jc w:val="center"/>
              <w:rPr>
                <w:sz w:val="22"/>
              </w:rPr>
            </w:pPr>
            <w:r>
              <w:rPr>
                <w:sz w:val="22"/>
              </w:rPr>
              <w:t>办公地址：北京市朝阳区建国路 </w:t>
            </w:r>
            <w:r>
              <w:rPr>
                <w:rFonts w:ascii="Arial" w:eastAsia="Arial"/>
                <w:sz w:val="22"/>
              </w:rPr>
              <w:t>88 </w:t>
            </w:r>
            <w:r>
              <w:rPr>
                <w:sz w:val="22"/>
              </w:rPr>
              <w:t>号</w:t>
            </w:r>
          </w:p>
          <w:p>
            <w:pPr>
              <w:pStyle w:val="TableParagraph"/>
              <w:spacing w:line="266" w:lineRule="auto" w:before="30"/>
              <w:ind w:left="587" w:right="576"/>
              <w:jc w:val="center"/>
              <w:rPr>
                <w:sz w:val="22"/>
              </w:rPr>
            </w:pPr>
            <w:r>
              <w:rPr>
                <w:rFonts w:ascii="Arial" w:eastAsia="Arial"/>
                <w:sz w:val="22"/>
              </w:rPr>
              <w:t>SOHO </w:t>
            </w:r>
            <w:r>
              <w:rPr>
                <w:spacing w:val="-16"/>
                <w:sz w:val="22"/>
              </w:rPr>
              <w:t>现代城 </w:t>
            </w:r>
            <w:r>
              <w:rPr>
                <w:rFonts w:ascii="Arial" w:eastAsia="Arial"/>
                <w:sz w:val="22"/>
              </w:rPr>
              <w:t>C </w:t>
            </w:r>
            <w:r>
              <w:rPr>
                <w:spacing w:val="-28"/>
                <w:sz w:val="22"/>
              </w:rPr>
              <w:t>座 </w:t>
            </w:r>
            <w:r>
              <w:rPr>
                <w:rFonts w:ascii="Arial" w:eastAsia="Arial"/>
                <w:sz w:val="22"/>
              </w:rPr>
              <w:t>1809 </w:t>
            </w:r>
            <w:r>
              <w:rPr>
                <w:spacing w:val="-13"/>
                <w:sz w:val="22"/>
              </w:rPr>
              <w:t>室</w:t>
            </w:r>
            <w:r>
              <w:rPr>
                <w:spacing w:val="-2"/>
                <w:sz w:val="22"/>
              </w:rPr>
              <w:t>法定代表人：戎兵</w:t>
            </w:r>
          </w:p>
          <w:p>
            <w:pPr>
              <w:pStyle w:val="TableParagraph"/>
              <w:spacing w:line="281" w:lineRule="exact"/>
              <w:ind w:left="102" w:right="95"/>
              <w:jc w:val="center"/>
              <w:rPr>
                <w:sz w:val="22"/>
              </w:rPr>
            </w:pPr>
            <w:r>
              <w:rPr>
                <w:sz w:val="22"/>
              </w:rPr>
              <w:t>联系人：魏晨</w:t>
            </w:r>
          </w:p>
          <w:p>
            <w:pPr>
              <w:pStyle w:val="TableParagraph"/>
              <w:spacing w:line="266" w:lineRule="auto" w:before="30"/>
              <w:ind w:left="882" w:right="872"/>
              <w:jc w:val="center"/>
              <w:rPr>
                <w:rFonts w:ascii="Arial" w:eastAsia="Arial"/>
                <w:sz w:val="22"/>
              </w:rPr>
            </w:pPr>
            <w:r>
              <w:rPr>
                <w:sz w:val="22"/>
              </w:rPr>
              <w:t>电话：</w:t>
            </w:r>
            <w:r>
              <w:rPr>
                <w:rFonts w:ascii="Arial" w:eastAsia="Arial"/>
                <w:sz w:val="22"/>
              </w:rPr>
              <w:t>010-52858244 </w:t>
            </w:r>
            <w:r>
              <w:rPr>
                <w:sz w:val="22"/>
              </w:rPr>
              <w:t>传真：</w:t>
            </w:r>
            <w:r>
              <w:rPr>
                <w:rFonts w:ascii="Arial" w:eastAsia="Arial"/>
                <w:sz w:val="22"/>
              </w:rPr>
              <w:t>010-59644496</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400-609-9200</w:t>
            </w:r>
          </w:p>
          <w:p>
            <w:pPr>
              <w:pStyle w:val="TableParagraph"/>
              <w:spacing w:line="279" w:lineRule="exact" w:before="30"/>
              <w:ind w:left="98" w:right="95"/>
              <w:jc w:val="center"/>
              <w:rPr>
                <w:rFonts w:ascii="Arial" w:eastAsia="Arial"/>
                <w:sz w:val="22"/>
              </w:rPr>
            </w:pPr>
            <w:r>
              <w:rPr>
                <w:sz w:val="22"/>
              </w:rPr>
              <w:t>网址：</w:t>
            </w:r>
            <w:hyperlink r:id="rId103">
              <w:r>
                <w:rPr>
                  <w:rFonts w:ascii="Arial" w:eastAsia="Arial"/>
                  <w:sz w:val="22"/>
                </w:rPr>
                <w:t>www.yixinfund.com</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99"/>
              <w:rPr>
                <w:rFonts w:ascii="Arial"/>
                <w:sz w:val="21"/>
              </w:rPr>
            </w:pPr>
            <w:r>
              <w:rPr>
                <w:rFonts w:ascii="Arial"/>
                <w:sz w:val="21"/>
              </w:rPr>
              <w:t>98</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北京增财基金销售有限公司</w:t>
            </w:r>
          </w:p>
        </w:tc>
        <w:tc>
          <w:tcPr>
            <w:tcW w:w="3848" w:type="dxa"/>
            <w:tcBorders>
              <w:top w:val="nil"/>
            </w:tcBorders>
          </w:tcPr>
          <w:p>
            <w:pPr>
              <w:pStyle w:val="TableParagraph"/>
              <w:spacing w:before="15"/>
              <w:ind w:left="8"/>
              <w:jc w:val="center"/>
              <w:rPr>
                <w:rFonts w:ascii="Arial" w:eastAsia="Arial"/>
                <w:sz w:val="22"/>
              </w:rPr>
            </w:pPr>
            <w:r>
              <w:rPr>
                <w:sz w:val="22"/>
              </w:rPr>
              <w:t>注册地址：北京市西城区南礼士路 </w:t>
            </w:r>
            <w:r>
              <w:rPr>
                <w:rFonts w:ascii="Arial" w:eastAsia="Arial"/>
                <w:sz w:val="22"/>
              </w:rPr>
              <w:t>66</w:t>
            </w:r>
          </w:p>
          <w:p>
            <w:pPr>
              <w:pStyle w:val="TableParagraph"/>
              <w:spacing w:before="30"/>
              <w:ind w:left="103" w:right="95"/>
              <w:jc w:val="center"/>
              <w:rPr>
                <w:sz w:val="22"/>
              </w:rPr>
            </w:pPr>
            <w:r>
              <w:rPr>
                <w:sz w:val="22"/>
              </w:rPr>
              <w:t>号建威大厦 </w:t>
            </w:r>
            <w:r>
              <w:rPr>
                <w:rFonts w:ascii="Arial" w:eastAsia="Arial"/>
                <w:sz w:val="22"/>
              </w:rPr>
              <w:t>1208 </w:t>
            </w:r>
            <w:r>
              <w:rPr>
                <w:sz w:val="22"/>
              </w:rPr>
              <w:t>室</w:t>
            </w:r>
          </w:p>
          <w:p>
            <w:pPr>
              <w:pStyle w:val="TableParagraph"/>
              <w:spacing w:before="31"/>
              <w:ind w:left="8"/>
              <w:jc w:val="center"/>
              <w:rPr>
                <w:rFonts w:ascii="Arial" w:eastAsia="Arial"/>
                <w:sz w:val="22"/>
              </w:rPr>
            </w:pPr>
            <w:r>
              <w:rPr>
                <w:sz w:val="22"/>
              </w:rPr>
              <w:t>办公地址：北京市西城区南礼士路 </w:t>
            </w:r>
            <w:r>
              <w:rPr>
                <w:rFonts w:ascii="Arial" w:eastAsia="Arial"/>
                <w:sz w:val="22"/>
              </w:rPr>
              <w:t>66</w:t>
            </w:r>
          </w:p>
          <w:p>
            <w:pPr>
              <w:pStyle w:val="TableParagraph"/>
              <w:spacing w:line="266" w:lineRule="auto" w:before="30"/>
              <w:ind w:left="646" w:right="636"/>
              <w:jc w:val="center"/>
              <w:rPr>
                <w:sz w:val="22"/>
              </w:rPr>
            </w:pPr>
            <w:r>
              <w:rPr>
                <w:sz w:val="22"/>
              </w:rPr>
              <w:t>号建威大厦 </w:t>
            </w:r>
            <w:r>
              <w:rPr>
                <w:rFonts w:ascii="Arial" w:eastAsia="Arial"/>
                <w:sz w:val="22"/>
              </w:rPr>
              <w:t>1208-1209 </w:t>
            </w:r>
            <w:r>
              <w:rPr>
                <w:sz w:val="22"/>
              </w:rPr>
              <w:t>室法定代表人：罗细安</w:t>
            </w:r>
          </w:p>
          <w:p>
            <w:pPr>
              <w:pStyle w:val="TableParagraph"/>
              <w:spacing w:line="266" w:lineRule="auto"/>
              <w:ind w:left="882" w:right="872" w:firstLine="268"/>
              <w:rPr>
                <w:rFonts w:ascii="Arial" w:eastAsia="Arial"/>
                <w:sz w:val="22"/>
              </w:rPr>
            </w:pPr>
            <w:r>
              <w:rPr>
                <w:spacing w:val="-1"/>
                <w:sz w:val="22"/>
              </w:rPr>
              <w:t>联系人：孙晋峰 电话：</w:t>
            </w:r>
            <w:r>
              <w:rPr>
                <w:rFonts w:ascii="Arial" w:eastAsia="Arial"/>
                <w:spacing w:val="-1"/>
                <w:sz w:val="22"/>
              </w:rPr>
              <w:t>010-67000988</w:t>
            </w:r>
          </w:p>
          <w:p>
            <w:pPr>
              <w:pStyle w:val="TableParagraph"/>
              <w:spacing w:line="280" w:lineRule="exact"/>
              <w:ind w:left="104" w:right="95"/>
              <w:jc w:val="center"/>
              <w:rPr>
                <w:rFonts w:ascii="Arial" w:eastAsia="Arial"/>
                <w:sz w:val="22"/>
              </w:rPr>
            </w:pPr>
            <w:r>
              <w:rPr>
                <w:sz w:val="22"/>
              </w:rPr>
              <w:t>传真：</w:t>
            </w:r>
            <w:r>
              <w:rPr>
                <w:rFonts w:ascii="Arial" w:eastAsia="Arial"/>
                <w:sz w:val="22"/>
              </w:rPr>
              <w:t>010-67000988-6000</w:t>
            </w:r>
          </w:p>
          <w:p>
            <w:pPr>
              <w:pStyle w:val="TableParagraph"/>
              <w:spacing w:line="310" w:lineRule="atLeast"/>
              <w:ind w:left="320" w:right="310"/>
              <w:jc w:val="center"/>
              <w:rPr>
                <w:rFonts w:ascii="Arial" w:eastAsia="Arial"/>
                <w:sz w:val="22"/>
              </w:rPr>
            </w:pPr>
            <w:r>
              <w:rPr>
                <w:sz w:val="22"/>
              </w:rPr>
              <w:t>客户服务电话：</w:t>
            </w:r>
            <w:r>
              <w:rPr>
                <w:rFonts w:ascii="Arial" w:eastAsia="Arial"/>
                <w:sz w:val="22"/>
              </w:rPr>
              <w:t>400</w:t>
            </w:r>
            <w:r>
              <w:rPr>
                <w:sz w:val="22"/>
              </w:rPr>
              <w:t>－</w:t>
            </w:r>
            <w:r>
              <w:rPr>
                <w:rFonts w:ascii="Arial" w:eastAsia="Arial"/>
                <w:sz w:val="22"/>
              </w:rPr>
              <w:t>001</w:t>
            </w:r>
            <w:r>
              <w:rPr>
                <w:sz w:val="22"/>
              </w:rPr>
              <w:t>－</w:t>
            </w:r>
            <w:r>
              <w:rPr>
                <w:rFonts w:ascii="Arial" w:eastAsia="Arial"/>
                <w:sz w:val="22"/>
              </w:rPr>
              <w:t>8811 </w:t>
            </w:r>
            <w:r>
              <w:rPr>
                <w:sz w:val="22"/>
              </w:rPr>
              <w:t>网址：</w:t>
            </w:r>
            <w:hyperlink r:id="rId104">
              <w:r>
                <w:rPr>
                  <w:rFonts w:ascii="Arial" w:eastAsia="Arial"/>
                  <w:sz w:val="22"/>
                </w:rPr>
                <w:t>www.zcvc.com.cn</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199"/>
              <w:rPr>
                <w:rFonts w:ascii="Arial"/>
                <w:sz w:val="21"/>
              </w:rPr>
            </w:pPr>
            <w:r>
              <w:rPr>
                <w:rFonts w:ascii="Arial"/>
                <w:sz w:val="21"/>
              </w:rPr>
              <w:t>99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7" w:right="77"/>
              <w:jc w:val="center"/>
              <w:rPr>
                <w:sz w:val="22"/>
              </w:rPr>
            </w:pPr>
            <w:r>
              <w:rPr>
                <w:sz w:val="22"/>
              </w:rPr>
              <w:t>厦门市鑫鼎盛控股有限公司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地址：厦门市思明区鹭江</w:t>
            </w:r>
            <w:r>
              <w:rPr>
                <w:spacing w:val="-27"/>
                <w:sz w:val="22"/>
              </w:rPr>
              <w:t>道 </w:t>
            </w:r>
            <w:r>
              <w:rPr>
                <w:rFonts w:ascii="Arial" w:eastAsia="Arial"/>
                <w:sz w:val="22"/>
              </w:rPr>
              <w:t>2 </w:t>
            </w:r>
            <w:r>
              <w:rPr>
                <w:spacing w:val="-9"/>
                <w:sz w:val="22"/>
              </w:rPr>
              <w:t>号厦门第一广场西座 </w:t>
            </w:r>
            <w:r>
              <w:rPr>
                <w:rFonts w:ascii="Arial" w:eastAsia="Arial"/>
                <w:sz w:val="22"/>
              </w:rPr>
              <w:t>1501-1504 </w:t>
            </w:r>
            <w:r>
              <w:rPr>
                <w:sz w:val="22"/>
              </w:rPr>
              <w:t>室</w:t>
            </w:r>
          </w:p>
          <w:p>
            <w:pPr>
              <w:pStyle w:val="TableParagraph"/>
              <w:spacing w:line="266" w:lineRule="auto"/>
              <w:ind w:left="932" w:right="920"/>
              <w:jc w:val="center"/>
              <w:rPr>
                <w:sz w:val="22"/>
              </w:rPr>
            </w:pPr>
            <w:r>
              <w:rPr>
                <w:sz w:val="22"/>
              </w:rPr>
              <w:t>法定代表人：陈洪生联系人：梁云波</w:t>
            </w:r>
          </w:p>
          <w:p>
            <w:pPr>
              <w:pStyle w:val="TableParagraph"/>
              <w:spacing w:line="280" w:lineRule="exact"/>
              <w:ind w:left="661"/>
              <w:rPr>
                <w:rFonts w:ascii="Arial" w:eastAsia="Arial"/>
                <w:sz w:val="22"/>
              </w:rPr>
            </w:pPr>
            <w:r>
              <w:rPr>
                <w:sz w:val="22"/>
              </w:rPr>
              <w:t>联系电话：</w:t>
            </w:r>
            <w:r>
              <w:rPr>
                <w:rFonts w:ascii="Arial" w:eastAsia="Arial"/>
                <w:sz w:val="22"/>
              </w:rPr>
              <w:t>0592-3122757</w:t>
            </w:r>
          </w:p>
          <w:p>
            <w:pPr>
              <w:pStyle w:val="TableParagraph"/>
              <w:spacing w:line="310" w:lineRule="atLeast"/>
              <w:ind w:left="546" w:right="536" w:firstLine="177"/>
              <w:rPr>
                <w:rFonts w:ascii="Arial" w:eastAsia="Arial"/>
                <w:sz w:val="22"/>
              </w:rPr>
            </w:pPr>
            <w:r>
              <w:rPr>
                <w:sz w:val="22"/>
              </w:rPr>
              <w:t>客服电话：</w:t>
            </w:r>
            <w:r>
              <w:rPr>
                <w:rFonts w:ascii="Arial" w:eastAsia="Arial"/>
                <w:sz w:val="22"/>
              </w:rPr>
              <w:t>400-9180808 </w:t>
            </w:r>
            <w:r>
              <w:rPr>
                <w:sz w:val="22"/>
              </w:rPr>
              <w:t>公司网站：</w:t>
            </w:r>
            <w:hyperlink r:id="rId105">
              <w:r>
                <w:rPr>
                  <w:rFonts w:ascii="Arial" w:eastAsia="Arial"/>
                  <w:sz w:val="22"/>
                </w:rPr>
                <w:t>www.xds.com.cn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141"/>
              <w:rPr>
                <w:rFonts w:ascii="Arial"/>
                <w:sz w:val="21"/>
              </w:rPr>
            </w:pPr>
            <w:r>
              <w:rPr>
                <w:rFonts w:ascii="Arial"/>
                <w:sz w:val="21"/>
              </w:rPr>
              <w:t>100</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北京晟视天下基金销售有限公司</w:t>
            </w:r>
          </w:p>
        </w:tc>
        <w:tc>
          <w:tcPr>
            <w:tcW w:w="3848" w:type="dxa"/>
          </w:tcPr>
          <w:p>
            <w:pPr>
              <w:pStyle w:val="TableParagraph"/>
              <w:spacing w:line="266" w:lineRule="auto" w:before="15"/>
              <w:ind w:left="107" w:right="95"/>
              <w:jc w:val="center"/>
              <w:rPr>
                <w:sz w:val="22"/>
              </w:rPr>
            </w:pPr>
            <w:r>
              <w:rPr>
                <w:spacing w:val="-13"/>
                <w:sz w:val="22"/>
              </w:rPr>
              <w:t>注册地址：北京市怀柔区九渡河镇黄坎</w:t>
            </w:r>
            <w:r>
              <w:rPr>
                <w:spacing w:val="-28"/>
                <w:sz w:val="22"/>
              </w:rPr>
              <w:t>村 </w:t>
            </w:r>
            <w:r>
              <w:rPr>
                <w:rFonts w:ascii="Arial" w:eastAsia="Arial"/>
                <w:sz w:val="22"/>
              </w:rPr>
              <w:t>735 </w:t>
            </w:r>
            <w:r>
              <w:rPr>
                <w:spacing w:val="-28"/>
                <w:sz w:val="22"/>
              </w:rPr>
              <w:t>号 </w:t>
            </w:r>
            <w:r>
              <w:rPr>
                <w:rFonts w:ascii="Arial" w:eastAsia="Arial"/>
                <w:sz w:val="22"/>
              </w:rPr>
              <w:t>03 </w:t>
            </w:r>
            <w:r>
              <w:rPr>
                <w:sz w:val="22"/>
              </w:rPr>
              <w:t>室</w:t>
            </w:r>
          </w:p>
          <w:p>
            <w:pPr>
              <w:pStyle w:val="TableParagraph"/>
              <w:spacing w:line="280" w:lineRule="exact"/>
              <w:ind w:left="11"/>
              <w:jc w:val="center"/>
              <w:rPr>
                <w:rFonts w:ascii="Arial" w:eastAsia="Arial"/>
                <w:sz w:val="22"/>
              </w:rPr>
            </w:pPr>
            <w:r>
              <w:rPr>
                <w:sz w:val="22"/>
              </w:rPr>
              <w:t>办公地址：北京市朝阳区朝外大街甲 </w:t>
            </w:r>
            <w:r>
              <w:rPr>
                <w:rFonts w:ascii="Arial" w:eastAsia="Arial"/>
                <w:sz w:val="22"/>
              </w:rPr>
              <w:t>6</w:t>
            </w:r>
          </w:p>
          <w:p>
            <w:pPr>
              <w:pStyle w:val="TableParagraph"/>
              <w:spacing w:line="266" w:lineRule="auto" w:before="30"/>
              <w:ind w:left="839" w:right="828"/>
              <w:jc w:val="center"/>
              <w:rPr>
                <w:sz w:val="22"/>
              </w:rPr>
            </w:pPr>
            <w:r>
              <w:rPr>
                <w:spacing w:val="-10"/>
                <w:sz w:val="22"/>
              </w:rPr>
              <w:t>号万通中心 </w:t>
            </w:r>
            <w:r>
              <w:rPr>
                <w:rFonts w:ascii="Arial" w:eastAsia="Arial"/>
                <w:sz w:val="22"/>
              </w:rPr>
              <w:t>D </w:t>
            </w:r>
            <w:r>
              <w:rPr>
                <w:spacing w:val="-27"/>
                <w:sz w:val="22"/>
              </w:rPr>
              <w:t>座 </w:t>
            </w:r>
            <w:r>
              <w:rPr>
                <w:rFonts w:ascii="Arial" w:eastAsia="Arial"/>
                <w:sz w:val="22"/>
              </w:rPr>
              <w:t>28 </w:t>
            </w:r>
            <w:r>
              <w:rPr>
                <w:spacing w:val="-15"/>
                <w:sz w:val="22"/>
              </w:rPr>
              <w:t>层</w:t>
            </w:r>
            <w:r>
              <w:rPr>
                <w:spacing w:val="-2"/>
                <w:sz w:val="22"/>
              </w:rPr>
              <w:t>法定代表人：蒋煜</w:t>
            </w:r>
          </w:p>
          <w:p>
            <w:pPr>
              <w:pStyle w:val="TableParagraph"/>
              <w:spacing w:line="280" w:lineRule="exact"/>
              <w:ind w:left="105" w:right="95"/>
              <w:jc w:val="center"/>
              <w:rPr>
                <w:sz w:val="22"/>
              </w:rPr>
            </w:pPr>
            <w:r>
              <w:rPr>
                <w:sz w:val="22"/>
              </w:rPr>
              <w:t>联系人：徐长征、林凌</w:t>
            </w:r>
          </w:p>
          <w:p>
            <w:pPr>
              <w:pStyle w:val="TableParagraph"/>
              <w:spacing w:line="266" w:lineRule="auto" w:before="30"/>
              <w:ind w:left="107" w:right="94"/>
              <w:jc w:val="center"/>
              <w:rPr>
                <w:rFonts w:ascii="Arial" w:eastAsia="Arial"/>
                <w:sz w:val="22"/>
              </w:rPr>
            </w:pPr>
            <w:r>
              <w:rPr>
                <w:spacing w:val="-2"/>
                <w:sz w:val="22"/>
              </w:rPr>
              <w:t>电话：</w:t>
            </w:r>
            <w:r>
              <w:rPr>
                <w:rFonts w:ascii="Arial" w:eastAsia="Arial"/>
                <w:spacing w:val="-5"/>
                <w:sz w:val="22"/>
              </w:rPr>
              <w:t>010-58170943</w:t>
            </w:r>
            <w:r>
              <w:rPr>
                <w:spacing w:val="-5"/>
                <w:sz w:val="22"/>
              </w:rPr>
              <w:t>，</w:t>
            </w:r>
            <w:r>
              <w:rPr>
                <w:rFonts w:ascii="Arial" w:eastAsia="Arial"/>
                <w:spacing w:val="-5"/>
                <w:sz w:val="22"/>
              </w:rPr>
              <w:t>010-58170918 </w:t>
            </w:r>
            <w:r>
              <w:rPr>
                <w:sz w:val="22"/>
              </w:rPr>
              <w:t>传真：</w:t>
            </w:r>
            <w:r>
              <w:rPr>
                <w:rFonts w:ascii="Arial" w:eastAsia="Arial"/>
                <w:sz w:val="22"/>
              </w:rPr>
              <w:t>010-58170800</w:t>
            </w:r>
          </w:p>
          <w:p>
            <w:pPr>
              <w:pStyle w:val="TableParagraph"/>
              <w:spacing w:line="280" w:lineRule="exact"/>
              <w:ind w:left="103" w:right="95"/>
              <w:jc w:val="center"/>
              <w:rPr>
                <w:rFonts w:ascii="Arial" w:eastAsia="Arial"/>
                <w:sz w:val="22"/>
              </w:rPr>
            </w:pPr>
            <w:r>
              <w:rPr>
                <w:spacing w:val="-2"/>
                <w:sz w:val="22"/>
              </w:rPr>
              <w:t>客户服务电话：</w:t>
            </w:r>
            <w:r>
              <w:rPr>
                <w:rFonts w:ascii="Arial" w:eastAsia="Arial"/>
                <w:spacing w:val="-1"/>
                <w:sz w:val="22"/>
              </w:rPr>
              <w:t>400-818-8866</w:t>
            </w:r>
          </w:p>
          <w:p>
            <w:pPr>
              <w:pStyle w:val="TableParagraph"/>
              <w:spacing w:line="277" w:lineRule="exact" w:before="30"/>
              <w:ind w:left="99" w:right="95"/>
              <w:jc w:val="center"/>
              <w:rPr>
                <w:rFonts w:ascii="Arial" w:eastAsia="Arial"/>
                <w:sz w:val="22"/>
              </w:rPr>
            </w:pPr>
            <w:r>
              <w:rPr>
                <w:spacing w:val="-1"/>
                <w:sz w:val="22"/>
              </w:rPr>
              <w:t>网址：</w:t>
            </w:r>
            <w:hyperlink r:id="rId106">
              <w:r>
                <w:rPr>
                  <w:rFonts w:ascii="Arial" w:eastAsia="Arial"/>
                  <w:spacing w:val="-1"/>
                  <w:sz w:val="22"/>
                </w:rPr>
                <w:t>www.shengshiview.com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141"/>
              <w:rPr>
                <w:rFonts w:ascii="Arial"/>
                <w:sz w:val="21"/>
              </w:rPr>
            </w:pPr>
            <w:r>
              <w:rPr>
                <w:rFonts w:ascii="Arial"/>
                <w:sz w:val="21"/>
              </w:rPr>
              <w:t>101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2" w:right="77"/>
              <w:jc w:val="center"/>
              <w:rPr>
                <w:sz w:val="22"/>
              </w:rPr>
            </w:pPr>
            <w:r>
              <w:rPr>
                <w:sz w:val="22"/>
              </w:rPr>
              <w:t>嘉实财富管理有限公司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地址：上海市浦东新区世</w:t>
            </w:r>
            <w:r>
              <w:rPr>
                <w:spacing w:val="-14"/>
                <w:sz w:val="22"/>
              </w:rPr>
              <w:t>纪大道 </w:t>
            </w:r>
            <w:r>
              <w:rPr>
                <w:rFonts w:ascii="Arial" w:eastAsia="Arial"/>
                <w:sz w:val="22"/>
              </w:rPr>
              <w:t>8 </w:t>
            </w:r>
            <w:r>
              <w:rPr>
                <w:spacing w:val="-10"/>
                <w:sz w:val="22"/>
              </w:rPr>
              <w:t>号国金中心二期 </w:t>
            </w:r>
            <w:r>
              <w:rPr>
                <w:rFonts w:ascii="Arial" w:eastAsia="Arial"/>
                <w:sz w:val="22"/>
              </w:rPr>
              <w:t>4606-10 </w:t>
            </w:r>
            <w:r>
              <w:rPr>
                <w:sz w:val="22"/>
              </w:rPr>
              <w:t>单元</w:t>
            </w:r>
          </w:p>
          <w:p>
            <w:pPr>
              <w:pStyle w:val="TableParagraph"/>
              <w:spacing w:line="266" w:lineRule="auto"/>
              <w:ind w:left="932" w:right="920"/>
              <w:jc w:val="center"/>
              <w:rPr>
                <w:sz w:val="22"/>
              </w:rPr>
            </w:pPr>
            <w:r>
              <w:rPr>
                <w:sz w:val="22"/>
              </w:rPr>
              <w:t>法定代表人：赵学军联系人：景琪</w:t>
            </w:r>
          </w:p>
          <w:p>
            <w:pPr>
              <w:pStyle w:val="TableParagraph"/>
              <w:spacing w:line="266" w:lineRule="auto"/>
              <w:ind w:left="882" w:right="872"/>
              <w:jc w:val="center"/>
              <w:rPr>
                <w:rFonts w:ascii="Arial" w:eastAsia="Arial"/>
                <w:sz w:val="22"/>
              </w:rPr>
            </w:pPr>
            <w:r>
              <w:rPr>
                <w:sz w:val="22"/>
              </w:rPr>
              <w:t>电话：</w:t>
            </w:r>
            <w:r>
              <w:rPr>
                <w:rFonts w:ascii="Arial" w:eastAsia="Arial"/>
                <w:sz w:val="22"/>
              </w:rPr>
              <w:t>021-20289890 </w:t>
            </w:r>
            <w:r>
              <w:rPr>
                <w:sz w:val="22"/>
              </w:rPr>
              <w:t>传真：</w:t>
            </w:r>
            <w:r>
              <w:rPr>
                <w:rFonts w:ascii="Arial" w:eastAsia="Arial"/>
                <w:sz w:val="22"/>
              </w:rPr>
              <w:t>010-85097308</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400-021-8850</w:t>
            </w:r>
          </w:p>
          <w:p>
            <w:pPr>
              <w:pStyle w:val="TableParagraph"/>
              <w:spacing w:line="277" w:lineRule="exact" w:before="26"/>
              <w:ind w:left="102" w:right="95"/>
              <w:jc w:val="center"/>
              <w:rPr>
                <w:rFonts w:ascii="Arial" w:eastAsia="Arial"/>
                <w:sz w:val="22"/>
              </w:rPr>
            </w:pPr>
            <w:r>
              <w:rPr>
                <w:sz w:val="22"/>
              </w:rPr>
              <w:t>网址：</w:t>
            </w:r>
            <w:hyperlink r:id="rId107">
              <w:r>
                <w:rPr>
                  <w:rFonts w:ascii="Arial" w:eastAsia="Arial"/>
                  <w:sz w:val="22"/>
                </w:rPr>
                <w:t>www.harvestwm.cn</w:t>
              </w:r>
            </w:hyperlink>
          </w:p>
        </w:tc>
      </w:tr>
      <w:tr>
        <w:trPr>
          <w:trHeight w:val="226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2"/>
              <w:ind w:left="141"/>
              <w:rPr>
                <w:rFonts w:ascii="Arial"/>
                <w:sz w:val="21"/>
              </w:rPr>
            </w:pPr>
            <w:r>
              <w:rPr>
                <w:rFonts w:ascii="Arial"/>
                <w:sz w:val="21"/>
              </w:rPr>
              <w:t>102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0"/>
              </w:rPr>
            </w:pPr>
          </w:p>
          <w:p>
            <w:pPr>
              <w:pStyle w:val="TableParagraph"/>
              <w:spacing w:before="1"/>
              <w:ind w:left="79" w:right="77"/>
              <w:jc w:val="center"/>
              <w:rPr>
                <w:sz w:val="22"/>
              </w:rPr>
            </w:pPr>
            <w:r>
              <w:rPr>
                <w:sz w:val="22"/>
              </w:rPr>
              <w:t>深圳市新兰德证券投资咨询有限公司</w:t>
            </w:r>
          </w:p>
        </w:tc>
        <w:tc>
          <w:tcPr>
            <w:tcW w:w="3848" w:type="dxa"/>
          </w:tcPr>
          <w:p>
            <w:pPr>
              <w:pStyle w:val="TableParagraph"/>
              <w:spacing w:line="266" w:lineRule="auto" w:before="55"/>
              <w:ind w:left="107" w:right="95"/>
              <w:jc w:val="center"/>
              <w:rPr>
                <w:rFonts w:ascii="Arial" w:eastAsia="Arial"/>
                <w:sz w:val="22"/>
              </w:rPr>
            </w:pPr>
            <w:r>
              <w:rPr>
                <w:spacing w:val="-13"/>
                <w:sz w:val="22"/>
              </w:rPr>
              <w:t>注册地址：深圳市福田区华强北路赛格</w:t>
            </w:r>
            <w:r>
              <w:rPr>
                <w:spacing w:val="-14"/>
                <w:sz w:val="22"/>
              </w:rPr>
              <w:t>科技园 </w:t>
            </w:r>
            <w:r>
              <w:rPr>
                <w:rFonts w:ascii="Arial" w:eastAsia="Arial"/>
                <w:sz w:val="22"/>
              </w:rPr>
              <w:t>4 </w:t>
            </w:r>
            <w:r>
              <w:rPr>
                <w:spacing w:val="-28"/>
                <w:sz w:val="22"/>
              </w:rPr>
              <w:t>栋 </w:t>
            </w:r>
            <w:r>
              <w:rPr>
                <w:rFonts w:ascii="Arial" w:eastAsia="Arial"/>
                <w:sz w:val="22"/>
              </w:rPr>
              <w:t>10 </w:t>
            </w:r>
            <w:r>
              <w:rPr>
                <w:spacing w:val="-28"/>
                <w:sz w:val="22"/>
              </w:rPr>
              <w:t>层 </w:t>
            </w:r>
            <w:r>
              <w:rPr>
                <w:rFonts w:ascii="Arial" w:eastAsia="Arial"/>
                <w:sz w:val="22"/>
              </w:rPr>
              <w:t>1006#</w:t>
            </w:r>
          </w:p>
          <w:p>
            <w:pPr>
              <w:pStyle w:val="TableParagraph"/>
              <w:spacing w:line="266" w:lineRule="auto"/>
              <w:ind w:left="107" w:right="95"/>
              <w:jc w:val="center"/>
              <w:rPr>
                <w:sz w:val="22"/>
              </w:rPr>
            </w:pPr>
            <w:r>
              <w:rPr>
                <w:spacing w:val="-13"/>
                <w:sz w:val="22"/>
              </w:rPr>
              <w:t>办公地址：北京市西城区宣武门外大街</w:t>
            </w:r>
            <w:r>
              <w:rPr>
                <w:rFonts w:ascii="Arial" w:eastAsia="Arial"/>
                <w:sz w:val="22"/>
              </w:rPr>
              <w:t>10</w:t>
            </w:r>
            <w:r>
              <w:rPr>
                <w:rFonts w:ascii="Arial" w:eastAsia="Arial"/>
                <w:spacing w:val="-5"/>
                <w:sz w:val="22"/>
              </w:rPr>
              <w:t> </w:t>
            </w:r>
            <w:r>
              <w:rPr>
                <w:spacing w:val="-7"/>
                <w:sz w:val="22"/>
              </w:rPr>
              <w:t>号庄胜广场中央办公楼东翼 </w:t>
            </w:r>
            <w:r>
              <w:rPr>
                <w:rFonts w:ascii="Arial" w:eastAsia="Arial"/>
                <w:sz w:val="22"/>
              </w:rPr>
              <w:t>7</w:t>
            </w:r>
            <w:r>
              <w:rPr>
                <w:rFonts w:ascii="Arial" w:eastAsia="Arial"/>
                <w:spacing w:val="-5"/>
                <w:sz w:val="22"/>
              </w:rPr>
              <w:t> </w:t>
            </w:r>
            <w:r>
              <w:rPr>
                <w:sz w:val="22"/>
              </w:rPr>
              <w:t>层 </w:t>
            </w:r>
            <w:r>
              <w:rPr>
                <w:spacing w:val="-2"/>
                <w:sz w:val="22"/>
              </w:rPr>
              <w:t>法定代表人：马勇</w:t>
            </w:r>
          </w:p>
          <w:p>
            <w:pPr>
              <w:pStyle w:val="TableParagraph"/>
              <w:spacing w:line="266" w:lineRule="auto"/>
              <w:ind w:left="822" w:right="810"/>
              <w:jc w:val="center"/>
              <w:rPr>
                <w:rFonts w:ascii="Arial" w:eastAsia="Arial"/>
                <w:sz w:val="22"/>
              </w:rPr>
            </w:pPr>
            <w:r>
              <w:rPr>
                <w:sz w:val="22"/>
              </w:rPr>
              <w:t>电话：</w:t>
            </w:r>
            <w:r>
              <w:rPr>
                <w:rFonts w:ascii="Arial" w:eastAsia="Arial"/>
                <w:sz w:val="22"/>
              </w:rPr>
              <w:t>0755-88394666 </w:t>
            </w:r>
            <w:r>
              <w:rPr>
                <w:sz w:val="22"/>
              </w:rPr>
              <w:t>传真：</w:t>
            </w:r>
            <w:r>
              <w:rPr>
                <w:rFonts w:ascii="Arial" w:eastAsia="Arial"/>
                <w:sz w:val="22"/>
              </w:rPr>
              <w:t>0755-88394677</w:t>
            </w:r>
          </w:p>
        </w:tc>
      </w:tr>
    </w:tbl>
    <w:p>
      <w:pPr>
        <w:spacing w:after="0" w:line="266" w:lineRule="auto"/>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265" w:hRule="atLeast"/>
        </w:trPr>
        <w:tc>
          <w:tcPr>
            <w:tcW w:w="634" w:type="dxa"/>
            <w:tcBorders>
              <w:top w:val="nil"/>
            </w:tcBorders>
          </w:tcPr>
          <w:p>
            <w:pPr>
              <w:pStyle w:val="TableParagraph"/>
              <w:rPr>
                <w:rFonts w:ascii="Times New Roman"/>
                <w:sz w:val="20"/>
              </w:rPr>
            </w:pPr>
          </w:p>
        </w:tc>
        <w:tc>
          <w:tcPr>
            <w:tcW w:w="3949" w:type="dxa"/>
            <w:tcBorders>
              <w:top w:val="nil"/>
            </w:tcBorders>
          </w:tcPr>
          <w:p>
            <w:pPr>
              <w:pStyle w:val="TableParagraph"/>
              <w:rPr>
                <w:rFonts w:ascii="Times New Roman"/>
                <w:sz w:val="20"/>
              </w:rPr>
            </w:pPr>
          </w:p>
        </w:tc>
        <w:tc>
          <w:tcPr>
            <w:tcW w:w="3848" w:type="dxa"/>
            <w:tcBorders>
              <w:top w:val="nil"/>
            </w:tcBorders>
          </w:tcPr>
          <w:p>
            <w:pPr>
              <w:pStyle w:val="TableParagraph"/>
              <w:spacing w:line="266" w:lineRule="auto" w:before="15"/>
              <w:ind w:left="724" w:right="456" w:hanging="257"/>
              <w:rPr>
                <w:rFonts w:ascii="Arial" w:eastAsia="Arial"/>
                <w:sz w:val="22"/>
              </w:rPr>
            </w:pPr>
            <w:r>
              <w:rPr>
                <w:sz w:val="22"/>
              </w:rPr>
              <w:t>客户服务电话：</w:t>
            </w:r>
            <w:r>
              <w:rPr>
                <w:rFonts w:ascii="Arial" w:eastAsia="Arial"/>
                <w:sz w:val="22"/>
              </w:rPr>
              <w:t>400-166-1188 </w:t>
            </w:r>
            <w:r>
              <w:rPr>
                <w:sz w:val="22"/>
              </w:rPr>
              <w:t>网址：</w:t>
            </w:r>
            <w:hyperlink r:id="rId108">
              <w:r>
                <w:rPr>
                  <w:rFonts w:ascii="Arial" w:eastAsia="Arial"/>
                  <w:sz w:val="22"/>
                </w:rPr>
                <w:t>http://8.jrj.com.cn/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103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9" w:right="77"/>
              <w:jc w:val="center"/>
              <w:rPr>
                <w:sz w:val="22"/>
              </w:rPr>
            </w:pPr>
            <w:r>
              <w:rPr>
                <w:sz w:val="22"/>
              </w:rPr>
              <w:t>一路财富（北京）信息科技有限公司</w:t>
            </w:r>
          </w:p>
        </w:tc>
        <w:tc>
          <w:tcPr>
            <w:tcW w:w="3848" w:type="dxa"/>
          </w:tcPr>
          <w:p>
            <w:pPr>
              <w:pStyle w:val="TableParagraph"/>
              <w:spacing w:before="15"/>
              <w:ind w:left="11"/>
              <w:jc w:val="center"/>
              <w:rPr>
                <w:rFonts w:ascii="Arial" w:eastAsia="Arial"/>
                <w:sz w:val="22"/>
              </w:rPr>
            </w:pPr>
            <w:r>
              <w:rPr>
                <w:sz w:val="22"/>
              </w:rPr>
              <w:t>注册地址：北京市西城区车公庄大街 </w:t>
            </w:r>
            <w:r>
              <w:rPr>
                <w:rFonts w:ascii="Arial" w:eastAsia="Arial"/>
                <w:sz w:val="22"/>
              </w:rPr>
              <w:t>9</w:t>
            </w:r>
          </w:p>
          <w:p>
            <w:pPr>
              <w:pStyle w:val="TableParagraph"/>
              <w:spacing w:before="30"/>
              <w:ind w:left="103" w:right="95"/>
              <w:jc w:val="center"/>
              <w:rPr>
                <w:rFonts w:ascii="Arial" w:eastAsia="Arial"/>
                <w:sz w:val="22"/>
              </w:rPr>
            </w:pPr>
            <w:r>
              <w:rPr>
                <w:sz w:val="22"/>
              </w:rPr>
              <w:t>号五栋大楼 </w:t>
            </w:r>
            <w:r>
              <w:rPr>
                <w:rFonts w:ascii="Arial" w:eastAsia="Arial"/>
                <w:sz w:val="22"/>
              </w:rPr>
              <w:t>C </w:t>
            </w:r>
            <w:r>
              <w:rPr>
                <w:sz w:val="22"/>
              </w:rPr>
              <w:t>座 </w:t>
            </w:r>
            <w:r>
              <w:rPr>
                <w:rFonts w:ascii="Arial" w:eastAsia="Arial"/>
                <w:sz w:val="22"/>
              </w:rPr>
              <w:t>702</w:t>
            </w:r>
          </w:p>
          <w:p>
            <w:pPr>
              <w:pStyle w:val="TableParagraph"/>
              <w:spacing w:before="30"/>
              <w:ind w:left="11"/>
              <w:jc w:val="center"/>
              <w:rPr>
                <w:rFonts w:ascii="Arial" w:eastAsia="Arial"/>
                <w:sz w:val="22"/>
              </w:rPr>
            </w:pPr>
            <w:r>
              <w:rPr>
                <w:sz w:val="22"/>
              </w:rPr>
              <w:t>办公地址：北京市西城区阜成门大街 </w:t>
            </w:r>
            <w:r>
              <w:rPr>
                <w:rFonts w:ascii="Arial" w:eastAsia="Arial"/>
                <w:sz w:val="22"/>
              </w:rPr>
              <w:t>2</w:t>
            </w:r>
          </w:p>
          <w:p>
            <w:pPr>
              <w:pStyle w:val="TableParagraph"/>
              <w:spacing w:before="31"/>
              <w:ind w:left="103" w:right="95"/>
              <w:jc w:val="center"/>
              <w:rPr>
                <w:rFonts w:ascii="Arial" w:eastAsia="Arial"/>
                <w:sz w:val="22"/>
              </w:rPr>
            </w:pPr>
            <w:r>
              <w:rPr>
                <w:sz w:val="22"/>
              </w:rPr>
              <w:t>号万通新世界广场 </w:t>
            </w:r>
            <w:r>
              <w:rPr>
                <w:rFonts w:ascii="Arial" w:eastAsia="Arial"/>
                <w:sz w:val="22"/>
              </w:rPr>
              <w:t>A </w:t>
            </w:r>
            <w:r>
              <w:rPr>
                <w:sz w:val="22"/>
              </w:rPr>
              <w:t>座 </w:t>
            </w:r>
            <w:r>
              <w:rPr>
                <w:rFonts w:ascii="Arial" w:eastAsia="Arial"/>
                <w:sz w:val="22"/>
              </w:rPr>
              <w:t>2208</w:t>
            </w:r>
          </w:p>
          <w:p>
            <w:pPr>
              <w:pStyle w:val="TableParagraph"/>
              <w:spacing w:line="266" w:lineRule="auto" w:before="30"/>
              <w:ind w:left="877" w:right="865"/>
              <w:jc w:val="center"/>
              <w:rPr>
                <w:sz w:val="22"/>
              </w:rPr>
            </w:pPr>
            <w:r>
              <w:rPr>
                <w:sz w:val="22"/>
              </w:rPr>
              <w:t>法定代表人： 吴雪秀联系人：段京璐</w:t>
            </w:r>
          </w:p>
          <w:p>
            <w:pPr>
              <w:pStyle w:val="TableParagraph"/>
              <w:spacing w:line="266" w:lineRule="auto"/>
              <w:ind w:left="882" w:right="872"/>
              <w:jc w:val="center"/>
              <w:rPr>
                <w:rFonts w:ascii="Arial" w:eastAsia="Arial"/>
                <w:sz w:val="22"/>
              </w:rPr>
            </w:pPr>
            <w:r>
              <w:rPr>
                <w:sz w:val="22"/>
              </w:rPr>
              <w:t>电话：</w:t>
            </w:r>
            <w:r>
              <w:rPr>
                <w:rFonts w:ascii="Arial" w:eastAsia="Arial"/>
                <w:sz w:val="22"/>
              </w:rPr>
              <w:t>010-88312877 </w:t>
            </w:r>
            <w:r>
              <w:rPr>
                <w:sz w:val="22"/>
              </w:rPr>
              <w:t>传真：</w:t>
            </w:r>
            <w:r>
              <w:rPr>
                <w:rFonts w:ascii="Arial" w:eastAsia="Arial"/>
                <w:sz w:val="22"/>
              </w:rPr>
              <w:t>010-88312885</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400-001-1566</w:t>
            </w:r>
          </w:p>
          <w:p>
            <w:pPr>
              <w:pStyle w:val="TableParagraph"/>
              <w:spacing w:line="277" w:lineRule="exact" w:before="28"/>
              <w:ind w:left="103" w:right="95"/>
              <w:jc w:val="center"/>
              <w:rPr>
                <w:rFonts w:ascii="Arial" w:eastAsia="Arial"/>
                <w:sz w:val="22"/>
              </w:rPr>
            </w:pPr>
            <w:r>
              <w:rPr>
                <w:sz w:val="22"/>
              </w:rPr>
              <w:t>网址：</w:t>
            </w:r>
            <w:hyperlink r:id="rId109">
              <w:r>
                <w:rPr>
                  <w:rFonts w:ascii="Arial" w:eastAsia="Arial"/>
                  <w:sz w:val="22"/>
                </w:rPr>
                <w:t>www.yilucaifu.com</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27"/>
              <w:jc w:val="right"/>
              <w:rPr>
                <w:rFonts w:ascii="Arial"/>
                <w:sz w:val="21"/>
              </w:rPr>
            </w:pPr>
            <w:r>
              <w:rPr>
                <w:rFonts w:ascii="Arial"/>
                <w:sz w:val="21"/>
              </w:rPr>
              <w:t>104</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2" w:right="77"/>
              <w:jc w:val="center"/>
              <w:rPr>
                <w:sz w:val="22"/>
              </w:rPr>
            </w:pPr>
            <w:r>
              <w:rPr>
                <w:sz w:val="22"/>
              </w:rPr>
              <w:t>北京恒天明泽基金销售有限公司</w:t>
            </w:r>
          </w:p>
        </w:tc>
        <w:tc>
          <w:tcPr>
            <w:tcW w:w="3848" w:type="dxa"/>
          </w:tcPr>
          <w:p>
            <w:pPr>
              <w:pStyle w:val="TableParagraph"/>
              <w:spacing w:line="266" w:lineRule="auto" w:before="15"/>
              <w:ind w:left="107" w:right="95"/>
              <w:jc w:val="center"/>
              <w:rPr>
                <w:sz w:val="22"/>
              </w:rPr>
            </w:pPr>
            <w:r>
              <w:rPr>
                <w:spacing w:val="-13"/>
                <w:sz w:val="22"/>
              </w:rPr>
              <w:t>注册地址：北京市经济技术开发区宏达</w:t>
            </w:r>
            <w:r>
              <w:rPr>
                <w:spacing w:val="-19"/>
                <w:sz w:val="22"/>
              </w:rPr>
              <w:t>北路 </w:t>
            </w:r>
            <w:r>
              <w:rPr>
                <w:rFonts w:ascii="Arial" w:eastAsia="Arial"/>
                <w:sz w:val="22"/>
              </w:rPr>
              <w:t>10 </w:t>
            </w:r>
            <w:r>
              <w:rPr>
                <w:spacing w:val="-16"/>
                <w:sz w:val="22"/>
              </w:rPr>
              <w:t>号五层 </w:t>
            </w:r>
            <w:r>
              <w:rPr>
                <w:rFonts w:ascii="Arial" w:eastAsia="Arial"/>
                <w:sz w:val="22"/>
              </w:rPr>
              <w:t>5122 </w:t>
            </w:r>
            <w:r>
              <w:rPr>
                <w:sz w:val="22"/>
              </w:rPr>
              <w:t>室</w:t>
            </w:r>
          </w:p>
          <w:p>
            <w:pPr>
              <w:pStyle w:val="TableParagraph"/>
              <w:spacing w:line="266" w:lineRule="auto"/>
              <w:ind w:left="107" w:right="95"/>
              <w:jc w:val="center"/>
              <w:rPr>
                <w:sz w:val="22"/>
              </w:rPr>
            </w:pPr>
            <w:r>
              <w:rPr>
                <w:spacing w:val="-13"/>
                <w:sz w:val="22"/>
              </w:rPr>
              <w:t>办公地址：北京市朝阳区东三环北路甲</w:t>
            </w:r>
            <w:r>
              <w:rPr>
                <w:rFonts w:ascii="Arial" w:eastAsia="Arial"/>
                <w:sz w:val="22"/>
              </w:rPr>
              <w:t>19 </w:t>
            </w:r>
            <w:r>
              <w:rPr>
                <w:spacing w:val="-28"/>
                <w:sz w:val="22"/>
              </w:rPr>
              <w:t>号 </w:t>
            </w:r>
            <w:r>
              <w:rPr>
                <w:rFonts w:ascii="Arial" w:eastAsia="Arial"/>
                <w:sz w:val="22"/>
              </w:rPr>
              <w:t>SOHO </w:t>
            </w:r>
            <w:r>
              <w:rPr>
                <w:spacing w:val="-13"/>
                <w:sz w:val="22"/>
              </w:rPr>
              <w:t>嘉盛中心 </w:t>
            </w:r>
            <w:r>
              <w:rPr>
                <w:rFonts w:ascii="Arial" w:eastAsia="Arial"/>
                <w:sz w:val="22"/>
              </w:rPr>
              <w:t>30 </w:t>
            </w:r>
            <w:r>
              <w:rPr>
                <w:spacing w:val="-28"/>
                <w:sz w:val="22"/>
              </w:rPr>
              <w:t>层 </w:t>
            </w:r>
            <w:r>
              <w:rPr>
                <w:rFonts w:ascii="Arial" w:eastAsia="Arial"/>
                <w:sz w:val="22"/>
              </w:rPr>
              <w:t>3001 </w:t>
            </w:r>
            <w:r>
              <w:rPr>
                <w:sz w:val="22"/>
              </w:rPr>
              <w:t>室</w:t>
            </w:r>
            <w:r>
              <w:rPr>
                <w:spacing w:val="-2"/>
                <w:sz w:val="22"/>
              </w:rPr>
              <w:t>法定代表人：周斌</w:t>
            </w:r>
          </w:p>
          <w:p>
            <w:pPr>
              <w:pStyle w:val="TableParagraph"/>
              <w:spacing w:line="266" w:lineRule="auto"/>
              <w:ind w:left="882" w:right="872"/>
              <w:jc w:val="center"/>
              <w:rPr>
                <w:rFonts w:ascii="Arial" w:eastAsia="Arial"/>
                <w:sz w:val="22"/>
              </w:rPr>
            </w:pPr>
            <w:r>
              <w:rPr>
                <w:sz w:val="22"/>
              </w:rPr>
              <w:t>电话：</w:t>
            </w:r>
            <w:r>
              <w:rPr>
                <w:rFonts w:ascii="Arial" w:eastAsia="Arial"/>
                <w:sz w:val="22"/>
              </w:rPr>
              <w:t>010-59313555 </w:t>
            </w:r>
            <w:r>
              <w:rPr>
                <w:sz w:val="22"/>
              </w:rPr>
              <w:t>传真：</w:t>
            </w:r>
            <w:r>
              <w:rPr>
                <w:rFonts w:ascii="Arial" w:eastAsia="Arial"/>
                <w:sz w:val="22"/>
              </w:rPr>
              <w:t>010-53509643</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400-8980-618</w:t>
            </w:r>
          </w:p>
          <w:p>
            <w:pPr>
              <w:pStyle w:val="TableParagraph"/>
              <w:spacing w:line="277" w:lineRule="exact" w:before="26"/>
              <w:ind w:left="101" w:right="95"/>
              <w:jc w:val="center"/>
              <w:rPr>
                <w:rFonts w:ascii="Arial" w:eastAsia="Arial"/>
                <w:sz w:val="22"/>
              </w:rPr>
            </w:pPr>
            <w:r>
              <w:rPr>
                <w:sz w:val="22"/>
              </w:rPr>
              <w:t>网址</w:t>
            </w:r>
            <w:r>
              <w:rPr>
                <w:rFonts w:ascii="Arial" w:eastAsia="Arial"/>
                <w:sz w:val="22"/>
              </w:rPr>
              <w:t>: </w:t>
            </w:r>
            <w:hyperlink r:id="rId110">
              <w:r>
                <w:rPr>
                  <w:rFonts w:ascii="Arial" w:eastAsia="Arial"/>
                  <w:sz w:val="22"/>
                </w:rPr>
                <w:t>www.chtwm.com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27"/>
              <w:jc w:val="right"/>
              <w:rPr>
                <w:rFonts w:ascii="Arial"/>
                <w:sz w:val="21"/>
              </w:rPr>
            </w:pPr>
            <w:r>
              <w:rPr>
                <w:rFonts w:ascii="Arial"/>
                <w:sz w:val="21"/>
              </w:rPr>
              <w:t>105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7" w:right="77"/>
              <w:jc w:val="center"/>
              <w:rPr>
                <w:sz w:val="22"/>
              </w:rPr>
            </w:pPr>
            <w:r>
              <w:rPr>
                <w:sz w:val="22"/>
              </w:rPr>
              <w:t>北京钱景基金销售有限公司</w:t>
            </w:r>
          </w:p>
        </w:tc>
        <w:tc>
          <w:tcPr>
            <w:tcW w:w="3848" w:type="dxa"/>
          </w:tcPr>
          <w:p>
            <w:pPr>
              <w:pStyle w:val="TableParagraph"/>
              <w:spacing w:line="266" w:lineRule="auto" w:before="15"/>
              <w:ind w:left="107" w:right="95"/>
              <w:jc w:val="center"/>
              <w:rPr>
                <w:rFonts w:ascii="Arial" w:eastAsia="Arial"/>
                <w:sz w:val="22"/>
              </w:rPr>
            </w:pPr>
            <w:r>
              <w:rPr>
                <w:spacing w:val="-18"/>
                <w:sz w:val="22"/>
              </w:rPr>
              <w:t>注册</w:t>
            </w:r>
            <w:r>
              <w:rPr>
                <w:sz w:val="22"/>
              </w:rPr>
              <w:t>（</w:t>
            </w:r>
            <w:r>
              <w:rPr>
                <w:spacing w:val="-2"/>
                <w:sz w:val="22"/>
              </w:rPr>
              <w:t>办公</w:t>
            </w:r>
            <w:r>
              <w:rPr>
                <w:spacing w:val="-39"/>
                <w:sz w:val="22"/>
              </w:rPr>
              <w:t>）</w:t>
            </w:r>
            <w:r>
              <w:rPr>
                <w:spacing w:val="-8"/>
                <w:sz w:val="22"/>
              </w:rPr>
              <w:t>地址：北京市海淀区丹棱</w:t>
            </w:r>
            <w:r>
              <w:rPr>
                <w:spacing w:val="-28"/>
                <w:sz w:val="22"/>
              </w:rPr>
              <w:t>街 </w:t>
            </w:r>
            <w:r>
              <w:rPr>
                <w:rFonts w:ascii="Arial" w:eastAsia="Arial"/>
                <w:sz w:val="22"/>
              </w:rPr>
              <w:t>6 </w:t>
            </w:r>
            <w:r>
              <w:rPr>
                <w:spacing w:val="-28"/>
                <w:sz w:val="22"/>
              </w:rPr>
              <w:t>号 </w:t>
            </w:r>
            <w:r>
              <w:rPr>
                <w:rFonts w:ascii="Arial" w:eastAsia="Arial"/>
                <w:sz w:val="22"/>
              </w:rPr>
              <w:t>1 </w:t>
            </w:r>
            <w:r>
              <w:rPr>
                <w:spacing w:val="-29"/>
                <w:sz w:val="22"/>
              </w:rPr>
              <w:t>幢 </w:t>
            </w:r>
            <w:r>
              <w:rPr>
                <w:rFonts w:ascii="Arial" w:eastAsia="Arial"/>
                <w:sz w:val="22"/>
              </w:rPr>
              <w:t>9 </w:t>
            </w:r>
            <w:r>
              <w:rPr>
                <w:spacing w:val="-28"/>
                <w:sz w:val="22"/>
              </w:rPr>
              <w:t>层 </w:t>
            </w:r>
            <w:r>
              <w:rPr>
                <w:rFonts w:ascii="Arial" w:eastAsia="Arial"/>
                <w:sz w:val="22"/>
              </w:rPr>
              <w:t>1008-1012</w:t>
            </w:r>
          </w:p>
          <w:p>
            <w:pPr>
              <w:pStyle w:val="TableParagraph"/>
              <w:spacing w:line="266" w:lineRule="auto"/>
              <w:ind w:left="932" w:right="920"/>
              <w:jc w:val="center"/>
              <w:rPr>
                <w:sz w:val="22"/>
              </w:rPr>
            </w:pPr>
            <w:r>
              <w:rPr>
                <w:sz w:val="22"/>
              </w:rPr>
              <w:t>法定代表人：赵荣春联系人：陈剑炜</w:t>
            </w:r>
          </w:p>
          <w:p>
            <w:pPr>
              <w:pStyle w:val="TableParagraph"/>
              <w:spacing w:line="266" w:lineRule="auto"/>
              <w:ind w:left="882" w:right="872"/>
              <w:jc w:val="center"/>
              <w:rPr>
                <w:rFonts w:ascii="Arial" w:eastAsia="Arial"/>
                <w:sz w:val="22"/>
              </w:rPr>
            </w:pPr>
            <w:r>
              <w:rPr>
                <w:sz w:val="22"/>
              </w:rPr>
              <w:t>电话：</w:t>
            </w:r>
            <w:r>
              <w:rPr>
                <w:rFonts w:ascii="Arial" w:eastAsia="Arial"/>
                <w:sz w:val="22"/>
              </w:rPr>
              <w:t>010-57418813 </w:t>
            </w:r>
            <w:r>
              <w:rPr>
                <w:sz w:val="22"/>
              </w:rPr>
              <w:t>传真：</w:t>
            </w:r>
            <w:r>
              <w:rPr>
                <w:rFonts w:ascii="Arial" w:eastAsia="Arial"/>
                <w:sz w:val="22"/>
              </w:rPr>
              <w:t>010-57569671</w:t>
            </w:r>
          </w:p>
          <w:p>
            <w:pPr>
              <w:pStyle w:val="TableParagraph"/>
              <w:spacing w:line="281" w:lineRule="exact"/>
              <w:ind w:left="103" w:right="95"/>
              <w:jc w:val="center"/>
              <w:rPr>
                <w:rFonts w:ascii="Arial" w:eastAsia="Arial"/>
                <w:sz w:val="22"/>
              </w:rPr>
            </w:pPr>
            <w:r>
              <w:rPr>
                <w:sz w:val="22"/>
              </w:rPr>
              <w:t>客户服务电话：</w:t>
            </w:r>
            <w:r>
              <w:rPr>
                <w:rFonts w:ascii="Arial" w:eastAsia="Arial"/>
                <w:sz w:val="22"/>
              </w:rPr>
              <w:t>400-875-9885</w:t>
            </w:r>
          </w:p>
          <w:p>
            <w:pPr>
              <w:pStyle w:val="TableParagraph"/>
              <w:spacing w:line="277" w:lineRule="exact" w:before="26"/>
              <w:ind w:left="101" w:right="95"/>
              <w:jc w:val="center"/>
              <w:rPr>
                <w:rFonts w:ascii="Arial" w:eastAsia="Arial"/>
                <w:sz w:val="22"/>
              </w:rPr>
            </w:pPr>
            <w:r>
              <w:rPr>
                <w:sz w:val="22"/>
              </w:rPr>
              <w:t>网址：</w:t>
            </w:r>
            <w:hyperlink r:id="rId111">
              <w:r>
                <w:rPr>
                  <w:rFonts w:ascii="Arial" w:eastAsia="Arial"/>
                  <w:sz w:val="22"/>
                </w:rPr>
                <w:t>www.qianjing.com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27"/>
              <w:jc w:val="right"/>
              <w:rPr>
                <w:rFonts w:ascii="Arial"/>
                <w:sz w:val="21"/>
              </w:rPr>
            </w:pPr>
            <w:r>
              <w:rPr>
                <w:rFonts w:ascii="Arial"/>
                <w:sz w:val="21"/>
              </w:rPr>
              <w:t>106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深圳腾元基金销售有限公司</w:t>
            </w:r>
          </w:p>
        </w:tc>
        <w:tc>
          <w:tcPr>
            <w:tcW w:w="3848" w:type="dxa"/>
          </w:tcPr>
          <w:p>
            <w:pPr>
              <w:pStyle w:val="TableParagraph"/>
              <w:spacing w:before="15"/>
              <w:ind w:left="8"/>
              <w:jc w:val="center"/>
              <w:rPr>
                <w:rFonts w:ascii="Arial" w:eastAsia="Arial"/>
                <w:sz w:val="22"/>
              </w:rPr>
            </w:pPr>
            <w:r>
              <w:rPr>
                <w:sz w:val="22"/>
              </w:rPr>
              <w:t>注册地址：深圳市福田区金田路 </w:t>
            </w:r>
            <w:r>
              <w:rPr>
                <w:rFonts w:ascii="Arial" w:eastAsia="Arial"/>
                <w:sz w:val="22"/>
              </w:rPr>
              <w:t>2028</w:t>
            </w:r>
          </w:p>
          <w:p>
            <w:pPr>
              <w:pStyle w:val="TableParagraph"/>
              <w:spacing w:line="266" w:lineRule="auto" w:before="30"/>
              <w:ind w:left="234" w:right="222"/>
              <w:jc w:val="center"/>
              <w:rPr>
                <w:rFonts w:ascii="Arial" w:eastAsia="Arial"/>
                <w:sz w:val="22"/>
              </w:rPr>
            </w:pPr>
            <w:r>
              <w:rPr>
                <w:sz w:val="22"/>
              </w:rPr>
              <w:t>号卓越世纪中心 </w:t>
            </w:r>
            <w:r>
              <w:rPr>
                <w:rFonts w:ascii="Arial" w:eastAsia="Arial"/>
                <w:sz w:val="22"/>
              </w:rPr>
              <w:t>1 </w:t>
            </w:r>
            <w:r>
              <w:rPr>
                <w:sz w:val="22"/>
              </w:rPr>
              <w:t>号楼 </w:t>
            </w:r>
            <w:r>
              <w:rPr>
                <w:rFonts w:ascii="Arial" w:eastAsia="Arial"/>
                <w:sz w:val="22"/>
              </w:rPr>
              <w:t>1806 </w:t>
            </w:r>
            <w:r>
              <w:rPr>
                <w:sz w:val="22"/>
              </w:rPr>
              <w:t>单元办公地址：深圳市福田区深南中路</w:t>
            </w:r>
            <w:r>
              <w:rPr>
                <w:rFonts w:ascii="Arial" w:eastAsia="Arial"/>
                <w:sz w:val="22"/>
              </w:rPr>
              <w:t>4026 </w:t>
            </w:r>
            <w:r>
              <w:rPr>
                <w:sz w:val="22"/>
              </w:rPr>
              <w:t>号田面城市大厦 </w:t>
            </w:r>
            <w:r>
              <w:rPr>
                <w:rFonts w:ascii="Arial" w:eastAsia="Arial"/>
                <w:sz w:val="22"/>
              </w:rPr>
              <w:t>18A</w:t>
            </w:r>
          </w:p>
          <w:p>
            <w:pPr>
              <w:pStyle w:val="TableParagraph"/>
              <w:spacing w:line="266" w:lineRule="auto"/>
              <w:ind w:left="1043" w:right="1031"/>
              <w:jc w:val="center"/>
              <w:rPr>
                <w:sz w:val="22"/>
              </w:rPr>
            </w:pPr>
            <w:r>
              <w:rPr>
                <w:sz w:val="22"/>
              </w:rPr>
              <w:t>法定代表人：曾革联系人：叶健</w:t>
            </w:r>
          </w:p>
          <w:p>
            <w:pPr>
              <w:pStyle w:val="TableParagraph"/>
              <w:spacing w:line="266" w:lineRule="auto"/>
              <w:ind w:left="822" w:right="810"/>
              <w:jc w:val="center"/>
              <w:rPr>
                <w:rFonts w:ascii="Arial" w:eastAsia="Arial"/>
                <w:sz w:val="22"/>
              </w:rPr>
            </w:pPr>
            <w:r>
              <w:rPr>
                <w:sz w:val="22"/>
              </w:rPr>
              <w:t>电话：</w:t>
            </w:r>
            <w:r>
              <w:rPr>
                <w:rFonts w:ascii="Arial" w:eastAsia="Arial"/>
                <w:sz w:val="22"/>
              </w:rPr>
              <w:t>0755-33376853 </w:t>
            </w:r>
            <w:r>
              <w:rPr>
                <w:sz w:val="22"/>
              </w:rPr>
              <w:t>传真：</w:t>
            </w:r>
            <w:r>
              <w:rPr>
                <w:rFonts w:ascii="Arial" w:eastAsia="Arial"/>
                <w:sz w:val="22"/>
              </w:rPr>
              <w:t>0755-33065516</w:t>
            </w:r>
          </w:p>
          <w:p>
            <w:pPr>
              <w:pStyle w:val="TableParagraph"/>
              <w:spacing w:line="281" w:lineRule="exact"/>
              <w:ind w:left="103" w:right="95"/>
              <w:jc w:val="center"/>
              <w:rPr>
                <w:rFonts w:ascii="Arial" w:eastAsia="Arial"/>
                <w:sz w:val="22"/>
              </w:rPr>
            </w:pPr>
            <w:r>
              <w:rPr>
                <w:spacing w:val="-2"/>
                <w:sz w:val="22"/>
              </w:rPr>
              <w:t>客户服务电话：</w:t>
            </w:r>
            <w:r>
              <w:rPr>
                <w:rFonts w:ascii="Arial" w:eastAsia="Arial"/>
                <w:spacing w:val="-1"/>
                <w:sz w:val="22"/>
              </w:rPr>
              <w:t>400-990-8600</w:t>
            </w:r>
          </w:p>
          <w:p>
            <w:pPr>
              <w:pStyle w:val="TableParagraph"/>
              <w:spacing w:line="279" w:lineRule="exact" w:before="26"/>
              <w:ind w:left="103" w:right="95"/>
              <w:jc w:val="center"/>
              <w:rPr>
                <w:rFonts w:ascii="Arial" w:eastAsia="Arial"/>
                <w:sz w:val="22"/>
              </w:rPr>
            </w:pPr>
            <w:r>
              <w:rPr>
                <w:spacing w:val="-1"/>
                <w:sz w:val="22"/>
              </w:rPr>
              <w:t>网址：</w:t>
            </w:r>
            <w:hyperlink r:id="rId112">
              <w:r>
                <w:rPr>
                  <w:rFonts w:ascii="Arial" w:eastAsia="Arial"/>
                  <w:spacing w:val="-1"/>
                  <w:sz w:val="22"/>
                </w:rPr>
                <w:t>www.tenyuanfund.com</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107</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北京创金启富投资管理有限公司</w:t>
            </w:r>
          </w:p>
        </w:tc>
        <w:tc>
          <w:tcPr>
            <w:tcW w:w="3848" w:type="dxa"/>
            <w:tcBorders>
              <w:top w:val="nil"/>
            </w:tcBorders>
          </w:tcPr>
          <w:p>
            <w:pPr>
              <w:pStyle w:val="TableParagraph"/>
              <w:spacing w:before="15"/>
              <w:ind w:left="8"/>
              <w:jc w:val="center"/>
              <w:rPr>
                <w:rFonts w:ascii="Arial" w:eastAsia="Arial"/>
                <w:sz w:val="22"/>
              </w:rPr>
            </w:pPr>
            <w:r>
              <w:rPr>
                <w:sz w:val="22"/>
              </w:rPr>
              <w:t>注册地址：北京市西城区民丰胡同 </w:t>
            </w:r>
            <w:r>
              <w:rPr>
                <w:rFonts w:ascii="Arial" w:eastAsia="Arial"/>
                <w:sz w:val="22"/>
              </w:rPr>
              <w:t>31</w:t>
            </w:r>
          </w:p>
          <w:p>
            <w:pPr>
              <w:pStyle w:val="TableParagraph"/>
              <w:spacing w:before="30"/>
              <w:ind w:left="105" w:right="95"/>
              <w:jc w:val="center"/>
              <w:rPr>
                <w:rFonts w:ascii="Arial" w:eastAsia="Arial"/>
                <w:sz w:val="22"/>
              </w:rPr>
            </w:pPr>
            <w:r>
              <w:rPr>
                <w:sz w:val="22"/>
              </w:rPr>
              <w:t>号 </w:t>
            </w:r>
            <w:r>
              <w:rPr>
                <w:rFonts w:ascii="Arial" w:eastAsia="Arial"/>
                <w:sz w:val="22"/>
              </w:rPr>
              <w:t>5 </w:t>
            </w:r>
            <w:r>
              <w:rPr>
                <w:sz w:val="22"/>
              </w:rPr>
              <w:t>号楼 </w:t>
            </w:r>
            <w:r>
              <w:rPr>
                <w:rFonts w:ascii="Arial" w:eastAsia="Arial"/>
                <w:sz w:val="22"/>
              </w:rPr>
              <w:t>215A</w:t>
            </w:r>
          </w:p>
          <w:p>
            <w:pPr>
              <w:pStyle w:val="TableParagraph"/>
              <w:spacing w:line="266" w:lineRule="auto" w:before="31"/>
              <w:ind w:left="107" w:right="95"/>
              <w:jc w:val="center"/>
              <w:rPr>
                <w:sz w:val="22"/>
              </w:rPr>
            </w:pPr>
            <w:r>
              <w:rPr>
                <w:spacing w:val="-13"/>
                <w:sz w:val="22"/>
              </w:rPr>
              <w:t>办公地址：北京市西城区民白纸坊东街</w:t>
            </w:r>
            <w:r>
              <w:rPr>
                <w:rFonts w:ascii="Arial" w:eastAsia="Arial"/>
                <w:sz w:val="22"/>
              </w:rPr>
              <w:t>2</w:t>
            </w:r>
            <w:r>
              <w:rPr>
                <w:rFonts w:ascii="Arial" w:eastAsia="Arial"/>
                <w:spacing w:val="-6"/>
                <w:sz w:val="22"/>
              </w:rPr>
              <w:t> </w:t>
            </w:r>
            <w:r>
              <w:rPr>
                <w:spacing w:val="-8"/>
                <w:sz w:val="22"/>
              </w:rPr>
              <w:t>号经济日报社综合楼 </w:t>
            </w:r>
            <w:r>
              <w:rPr>
                <w:rFonts w:ascii="Arial" w:eastAsia="Arial"/>
                <w:sz w:val="22"/>
              </w:rPr>
              <w:t>A</w:t>
            </w:r>
            <w:r>
              <w:rPr>
                <w:rFonts w:ascii="Arial" w:eastAsia="Arial"/>
                <w:spacing w:val="-8"/>
                <w:sz w:val="22"/>
              </w:rPr>
              <w:t> </w:t>
            </w:r>
            <w:r>
              <w:rPr>
                <w:spacing w:val="-27"/>
                <w:sz w:val="22"/>
              </w:rPr>
              <w:t>座 </w:t>
            </w:r>
            <w:r>
              <w:rPr>
                <w:rFonts w:ascii="Arial" w:eastAsia="Arial"/>
                <w:sz w:val="22"/>
              </w:rPr>
              <w:t>712</w:t>
            </w:r>
            <w:r>
              <w:rPr>
                <w:rFonts w:ascii="Arial" w:eastAsia="Arial"/>
                <w:spacing w:val="-6"/>
                <w:sz w:val="22"/>
              </w:rPr>
              <w:t> </w:t>
            </w:r>
            <w:r>
              <w:rPr>
                <w:sz w:val="22"/>
              </w:rPr>
              <w:t>室 </w:t>
            </w:r>
            <w:r>
              <w:rPr>
                <w:spacing w:val="-2"/>
                <w:sz w:val="22"/>
              </w:rPr>
              <w:t>法定代表人：梁蓉</w:t>
            </w:r>
          </w:p>
          <w:p>
            <w:pPr>
              <w:pStyle w:val="TableParagraph"/>
              <w:spacing w:line="266" w:lineRule="auto"/>
              <w:ind w:left="882" w:right="872" w:firstLine="268"/>
              <w:rPr>
                <w:rFonts w:ascii="Arial" w:eastAsia="Arial"/>
                <w:sz w:val="22"/>
              </w:rPr>
            </w:pPr>
            <w:r>
              <w:rPr>
                <w:spacing w:val="-1"/>
                <w:sz w:val="22"/>
              </w:rPr>
              <w:t>联系人：魏素清 电话：</w:t>
            </w:r>
            <w:r>
              <w:rPr>
                <w:rFonts w:ascii="Arial" w:eastAsia="Arial"/>
                <w:spacing w:val="-1"/>
                <w:sz w:val="22"/>
              </w:rPr>
              <w:t>010-66154828 </w:t>
            </w:r>
            <w:r>
              <w:rPr>
                <w:spacing w:val="-1"/>
                <w:sz w:val="22"/>
              </w:rPr>
              <w:t>传真：</w:t>
            </w:r>
            <w:r>
              <w:rPr>
                <w:rFonts w:ascii="Arial" w:eastAsia="Arial"/>
                <w:spacing w:val="-1"/>
                <w:sz w:val="22"/>
              </w:rPr>
              <w:t>010-63583991</w:t>
            </w:r>
          </w:p>
          <w:p>
            <w:pPr>
              <w:pStyle w:val="TableParagraph"/>
              <w:spacing w:line="279" w:lineRule="exact"/>
              <w:ind w:left="105" w:right="95"/>
              <w:jc w:val="center"/>
              <w:rPr>
                <w:rFonts w:ascii="Arial" w:eastAsia="Arial"/>
                <w:sz w:val="22"/>
              </w:rPr>
            </w:pPr>
            <w:r>
              <w:rPr>
                <w:sz w:val="22"/>
              </w:rPr>
              <w:t>客户服务电话：</w:t>
            </w:r>
            <w:r>
              <w:rPr>
                <w:rFonts w:ascii="Arial" w:eastAsia="Arial"/>
                <w:sz w:val="22"/>
              </w:rPr>
              <w:t>400-6262-1818</w:t>
            </w:r>
          </w:p>
          <w:p>
            <w:pPr>
              <w:pStyle w:val="TableParagraph"/>
              <w:spacing w:line="277" w:lineRule="exact" w:before="27"/>
              <w:ind w:left="101" w:right="95"/>
              <w:jc w:val="center"/>
              <w:rPr>
                <w:rFonts w:ascii="Arial" w:eastAsia="Arial"/>
                <w:sz w:val="22"/>
              </w:rPr>
            </w:pPr>
            <w:r>
              <w:rPr>
                <w:sz w:val="22"/>
              </w:rPr>
              <w:t>网址：</w:t>
            </w:r>
            <w:hyperlink r:id="rId113">
              <w:r>
                <w:rPr>
                  <w:rFonts w:ascii="Arial" w:eastAsia="Arial"/>
                  <w:sz w:val="22"/>
                </w:rPr>
                <w:t>www.5irich.com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108</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北京唐鼎耀华基金销售有限公司</w:t>
            </w:r>
          </w:p>
        </w:tc>
        <w:tc>
          <w:tcPr>
            <w:tcW w:w="3848" w:type="dxa"/>
          </w:tcPr>
          <w:p>
            <w:pPr>
              <w:pStyle w:val="TableParagraph"/>
              <w:spacing w:line="266" w:lineRule="auto" w:before="15"/>
              <w:ind w:left="107" w:right="95"/>
              <w:jc w:val="center"/>
              <w:rPr>
                <w:sz w:val="22"/>
              </w:rPr>
            </w:pPr>
            <w:r>
              <w:rPr>
                <w:spacing w:val="-13"/>
                <w:sz w:val="22"/>
              </w:rPr>
              <w:t>注册地址：北京市延庆县延庆经济开发</w:t>
            </w:r>
            <w:r>
              <w:rPr>
                <w:spacing w:val="-11"/>
                <w:sz w:val="22"/>
              </w:rPr>
              <w:t>区百泉街 </w:t>
            </w:r>
            <w:r>
              <w:rPr>
                <w:rFonts w:ascii="Arial" w:eastAsia="Arial"/>
                <w:sz w:val="22"/>
              </w:rPr>
              <w:t>10 </w:t>
            </w:r>
            <w:r>
              <w:rPr>
                <w:spacing w:val="-28"/>
                <w:sz w:val="22"/>
              </w:rPr>
              <w:t>号 </w:t>
            </w:r>
            <w:r>
              <w:rPr>
                <w:rFonts w:ascii="Arial" w:eastAsia="Arial"/>
                <w:sz w:val="22"/>
              </w:rPr>
              <w:t>2 </w:t>
            </w:r>
            <w:r>
              <w:rPr>
                <w:spacing w:val="-27"/>
                <w:sz w:val="22"/>
              </w:rPr>
              <w:t>栋 </w:t>
            </w:r>
            <w:r>
              <w:rPr>
                <w:rFonts w:ascii="Arial" w:eastAsia="Arial"/>
                <w:sz w:val="22"/>
              </w:rPr>
              <w:t>236 </w:t>
            </w:r>
            <w:r>
              <w:rPr>
                <w:sz w:val="22"/>
              </w:rPr>
              <w:t>室</w:t>
            </w:r>
          </w:p>
          <w:p>
            <w:pPr>
              <w:pStyle w:val="TableParagraph"/>
              <w:spacing w:line="281" w:lineRule="exact"/>
              <w:ind w:left="10"/>
              <w:jc w:val="center"/>
              <w:rPr>
                <w:sz w:val="22"/>
              </w:rPr>
            </w:pPr>
            <w:r>
              <w:rPr>
                <w:sz w:val="22"/>
              </w:rPr>
              <w:t>办公地址：北京市朝阳区建国门外大街</w:t>
            </w:r>
          </w:p>
          <w:p>
            <w:pPr>
              <w:pStyle w:val="TableParagraph"/>
              <w:spacing w:line="266" w:lineRule="auto" w:before="30"/>
              <w:ind w:left="932" w:right="920"/>
              <w:jc w:val="center"/>
              <w:rPr>
                <w:sz w:val="22"/>
              </w:rPr>
            </w:pPr>
            <w:r>
              <w:rPr>
                <w:rFonts w:ascii="Arial" w:eastAsia="Arial"/>
                <w:sz w:val="22"/>
              </w:rPr>
              <w:t>19 </w:t>
            </w:r>
            <w:r>
              <w:rPr>
                <w:sz w:val="22"/>
              </w:rPr>
              <w:t>号 </w:t>
            </w:r>
            <w:r>
              <w:rPr>
                <w:rFonts w:ascii="Arial" w:eastAsia="Arial"/>
                <w:sz w:val="22"/>
              </w:rPr>
              <w:t>A </w:t>
            </w:r>
            <w:r>
              <w:rPr>
                <w:sz w:val="22"/>
              </w:rPr>
              <w:t>座 </w:t>
            </w:r>
            <w:r>
              <w:rPr>
                <w:rFonts w:ascii="Arial" w:eastAsia="Arial"/>
                <w:sz w:val="22"/>
              </w:rPr>
              <w:t>1505 </w:t>
            </w:r>
            <w:r>
              <w:rPr>
                <w:sz w:val="22"/>
              </w:rPr>
              <w:t>室法定代表人：张冠宇联系人：王丽敏</w:t>
            </w:r>
          </w:p>
          <w:p>
            <w:pPr>
              <w:pStyle w:val="TableParagraph"/>
              <w:spacing w:line="266" w:lineRule="auto"/>
              <w:ind w:left="882" w:right="872"/>
              <w:jc w:val="center"/>
              <w:rPr>
                <w:rFonts w:ascii="Arial" w:eastAsia="Arial"/>
                <w:sz w:val="22"/>
              </w:rPr>
            </w:pPr>
            <w:r>
              <w:rPr>
                <w:sz w:val="22"/>
              </w:rPr>
              <w:t>电话：</w:t>
            </w:r>
            <w:r>
              <w:rPr>
                <w:rFonts w:ascii="Arial" w:eastAsia="Arial"/>
                <w:sz w:val="22"/>
              </w:rPr>
              <w:t>010-85932810 </w:t>
            </w:r>
            <w:r>
              <w:rPr>
                <w:sz w:val="22"/>
              </w:rPr>
              <w:t>传真：</w:t>
            </w:r>
            <w:r>
              <w:rPr>
                <w:rFonts w:ascii="Arial" w:eastAsia="Arial"/>
                <w:sz w:val="22"/>
              </w:rPr>
              <w:t>010-85932880</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400-819-9868</w:t>
            </w:r>
          </w:p>
          <w:p>
            <w:pPr>
              <w:pStyle w:val="TableParagraph"/>
              <w:spacing w:line="277" w:lineRule="exact" w:before="27"/>
              <w:ind w:left="103" w:right="95"/>
              <w:jc w:val="center"/>
              <w:rPr>
                <w:rFonts w:ascii="Arial" w:eastAsia="Arial"/>
                <w:sz w:val="22"/>
              </w:rPr>
            </w:pPr>
            <w:r>
              <w:rPr>
                <w:sz w:val="22"/>
              </w:rPr>
              <w:t>网址：</w:t>
            </w:r>
            <w:hyperlink r:id="rId114">
              <w:r>
                <w:rPr>
                  <w:rFonts w:ascii="Arial" w:eastAsia="Arial"/>
                  <w:sz w:val="22"/>
                </w:rPr>
                <w:t>www.tdyhfund.com</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27"/>
              <w:jc w:val="right"/>
              <w:rPr>
                <w:rFonts w:ascii="Arial"/>
                <w:sz w:val="21"/>
              </w:rPr>
            </w:pPr>
            <w:r>
              <w:rPr>
                <w:rFonts w:ascii="Arial"/>
                <w:sz w:val="21"/>
              </w:rPr>
              <w:t>109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7" w:right="77"/>
              <w:jc w:val="center"/>
              <w:rPr>
                <w:sz w:val="22"/>
              </w:rPr>
            </w:pPr>
            <w:r>
              <w:rPr>
                <w:sz w:val="22"/>
              </w:rPr>
              <w:t>上海联泰基金销售有限公司</w:t>
            </w:r>
          </w:p>
        </w:tc>
        <w:tc>
          <w:tcPr>
            <w:tcW w:w="3848" w:type="dxa"/>
          </w:tcPr>
          <w:p>
            <w:pPr>
              <w:pStyle w:val="TableParagraph"/>
              <w:spacing w:line="266" w:lineRule="auto" w:before="15"/>
              <w:ind w:left="105" w:right="95"/>
              <w:jc w:val="center"/>
              <w:rPr>
                <w:sz w:val="22"/>
              </w:rPr>
            </w:pPr>
            <w:r>
              <w:rPr>
                <w:sz w:val="22"/>
              </w:rPr>
              <w:t>注册地址：上海自由贸易区富特北路277 号 3 层 310 室</w:t>
            </w:r>
          </w:p>
          <w:p>
            <w:pPr>
              <w:pStyle w:val="TableParagraph"/>
              <w:spacing w:line="266" w:lineRule="auto"/>
              <w:ind w:left="932" w:right="920"/>
              <w:jc w:val="center"/>
              <w:rPr>
                <w:sz w:val="22"/>
              </w:rPr>
            </w:pPr>
            <w:r>
              <w:rPr>
                <w:sz w:val="22"/>
              </w:rPr>
              <w:t>法定代表人：尹彬彬联系人：兰敏</w:t>
            </w:r>
          </w:p>
          <w:p>
            <w:pPr>
              <w:pStyle w:val="TableParagraph"/>
              <w:spacing w:line="266" w:lineRule="auto"/>
              <w:ind w:left="932" w:right="920"/>
              <w:jc w:val="center"/>
              <w:rPr>
                <w:sz w:val="22"/>
              </w:rPr>
            </w:pPr>
            <w:r>
              <w:rPr>
                <w:sz w:val="22"/>
              </w:rPr>
              <w:t>电话：021-52822063 传真：021-52975270</w:t>
            </w:r>
          </w:p>
          <w:p>
            <w:pPr>
              <w:pStyle w:val="TableParagraph"/>
              <w:spacing w:line="280" w:lineRule="exact"/>
              <w:ind w:left="105" w:right="95"/>
              <w:jc w:val="center"/>
              <w:rPr>
                <w:sz w:val="22"/>
              </w:rPr>
            </w:pPr>
            <w:r>
              <w:rPr>
                <w:sz w:val="22"/>
              </w:rPr>
              <w:t>客户服务电话：400-166-6788</w:t>
            </w:r>
          </w:p>
          <w:p>
            <w:pPr>
              <w:pStyle w:val="TableParagraph"/>
              <w:spacing w:line="277" w:lineRule="exact" w:before="27"/>
              <w:ind w:left="100" w:right="95"/>
              <w:jc w:val="center"/>
              <w:rPr>
                <w:sz w:val="22"/>
              </w:rPr>
            </w:pPr>
            <w:hyperlink r:id="rId115">
              <w:r>
                <w:rPr>
                  <w:sz w:val="22"/>
                </w:rPr>
                <w:t>网址：www.66liantai.com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110</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上海汇付基金销售有限公司</w:t>
            </w:r>
          </w:p>
        </w:tc>
        <w:tc>
          <w:tcPr>
            <w:tcW w:w="3848" w:type="dxa"/>
          </w:tcPr>
          <w:p>
            <w:pPr>
              <w:pStyle w:val="TableParagraph"/>
              <w:spacing w:before="15"/>
              <w:ind w:left="10"/>
              <w:jc w:val="center"/>
              <w:rPr>
                <w:rFonts w:ascii="Arial" w:eastAsia="Arial"/>
                <w:sz w:val="22"/>
              </w:rPr>
            </w:pPr>
            <w:r>
              <w:rPr>
                <w:sz w:val="22"/>
              </w:rPr>
              <w:t>注册地址：上海市黄浦区西藏中路 </w:t>
            </w:r>
            <w:r>
              <w:rPr>
                <w:rFonts w:ascii="Arial" w:eastAsia="Arial"/>
                <w:sz w:val="22"/>
              </w:rPr>
              <w:t>336</w:t>
            </w:r>
          </w:p>
          <w:p>
            <w:pPr>
              <w:pStyle w:val="TableParagraph"/>
              <w:spacing w:before="30"/>
              <w:ind w:left="105" w:right="95"/>
              <w:jc w:val="center"/>
              <w:rPr>
                <w:sz w:val="22"/>
              </w:rPr>
            </w:pPr>
            <w:r>
              <w:rPr>
                <w:sz w:val="22"/>
              </w:rPr>
              <w:t>号 </w:t>
            </w:r>
            <w:r>
              <w:rPr>
                <w:rFonts w:ascii="Arial" w:eastAsia="Arial"/>
                <w:sz w:val="22"/>
              </w:rPr>
              <w:t>1807-5 </w:t>
            </w:r>
            <w:r>
              <w:rPr>
                <w:sz w:val="22"/>
              </w:rPr>
              <w:t>室</w:t>
            </w:r>
          </w:p>
          <w:p>
            <w:pPr>
              <w:pStyle w:val="TableParagraph"/>
              <w:spacing w:before="30"/>
              <w:ind w:left="10"/>
              <w:jc w:val="center"/>
              <w:rPr>
                <w:rFonts w:ascii="Arial" w:eastAsia="Arial"/>
                <w:sz w:val="22"/>
              </w:rPr>
            </w:pPr>
            <w:r>
              <w:rPr>
                <w:sz w:val="22"/>
              </w:rPr>
              <w:t>办公地址：上海市黄浦区中山南路 </w:t>
            </w:r>
            <w:r>
              <w:rPr>
                <w:rFonts w:ascii="Arial" w:eastAsia="Arial"/>
                <w:sz w:val="22"/>
              </w:rPr>
              <w:t>100</w:t>
            </w:r>
          </w:p>
          <w:p>
            <w:pPr>
              <w:pStyle w:val="TableParagraph"/>
              <w:spacing w:line="266" w:lineRule="auto" w:before="30"/>
              <w:ind w:left="721" w:right="708"/>
              <w:jc w:val="center"/>
              <w:rPr>
                <w:sz w:val="22"/>
              </w:rPr>
            </w:pPr>
            <w:r>
              <w:rPr>
                <w:sz w:val="22"/>
              </w:rPr>
              <w:t>号金外滩国际广场 </w:t>
            </w:r>
            <w:r>
              <w:rPr>
                <w:rFonts w:ascii="Arial" w:eastAsia="Arial"/>
                <w:sz w:val="22"/>
              </w:rPr>
              <w:t>19 </w:t>
            </w:r>
            <w:r>
              <w:rPr>
                <w:sz w:val="22"/>
              </w:rPr>
              <w:t>楼法定代表人：张皛</w:t>
            </w:r>
          </w:p>
          <w:p>
            <w:pPr>
              <w:pStyle w:val="TableParagraph"/>
              <w:spacing w:line="281" w:lineRule="exact"/>
              <w:ind w:left="102" w:right="95"/>
              <w:jc w:val="center"/>
              <w:rPr>
                <w:sz w:val="22"/>
              </w:rPr>
            </w:pPr>
            <w:r>
              <w:rPr>
                <w:sz w:val="22"/>
              </w:rPr>
              <w:t>联系人：周丹</w:t>
            </w:r>
          </w:p>
          <w:p>
            <w:pPr>
              <w:pStyle w:val="TableParagraph"/>
              <w:spacing w:line="266" w:lineRule="auto" w:before="30"/>
              <w:ind w:left="882" w:right="872"/>
              <w:jc w:val="center"/>
              <w:rPr>
                <w:rFonts w:ascii="Arial" w:eastAsia="Arial"/>
                <w:sz w:val="22"/>
              </w:rPr>
            </w:pPr>
            <w:r>
              <w:rPr>
                <w:sz w:val="22"/>
              </w:rPr>
              <w:t>电话：</w:t>
            </w:r>
            <w:r>
              <w:rPr>
                <w:rFonts w:ascii="Arial" w:eastAsia="Arial"/>
                <w:sz w:val="22"/>
              </w:rPr>
              <w:t>021-33323999 </w:t>
            </w:r>
            <w:r>
              <w:rPr>
                <w:sz w:val="22"/>
              </w:rPr>
              <w:t>传真：</w:t>
            </w:r>
            <w:r>
              <w:rPr>
                <w:rFonts w:ascii="Arial" w:eastAsia="Arial"/>
                <w:sz w:val="22"/>
              </w:rPr>
              <w:t>021-33323993</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400-820-2819</w:t>
            </w:r>
          </w:p>
          <w:p>
            <w:pPr>
              <w:pStyle w:val="TableParagraph"/>
              <w:spacing w:line="279" w:lineRule="exact" w:before="30"/>
              <w:ind w:left="102" w:right="95"/>
              <w:jc w:val="center"/>
              <w:rPr>
                <w:sz w:val="22"/>
              </w:rPr>
            </w:pPr>
            <w:r>
              <w:rPr>
                <w:sz w:val="22"/>
              </w:rPr>
              <w:t>手机客户端：天天盈基金</w:t>
            </w:r>
          </w:p>
        </w:tc>
      </w:tr>
    </w:tbl>
    <w:p>
      <w:pPr>
        <w:spacing w:after="0" w:line="279" w:lineRule="exact"/>
        <w:jc w:val="center"/>
        <w:rPr>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111</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上海利得基金销售有限公司</w:t>
            </w:r>
          </w:p>
        </w:tc>
        <w:tc>
          <w:tcPr>
            <w:tcW w:w="3848" w:type="dxa"/>
            <w:tcBorders>
              <w:top w:val="nil"/>
            </w:tcBorders>
          </w:tcPr>
          <w:p>
            <w:pPr>
              <w:pStyle w:val="TableParagraph"/>
              <w:spacing w:before="15"/>
              <w:ind w:left="8"/>
              <w:jc w:val="center"/>
              <w:rPr>
                <w:rFonts w:ascii="Arial" w:eastAsia="Arial"/>
                <w:sz w:val="22"/>
              </w:rPr>
            </w:pPr>
            <w:r>
              <w:rPr>
                <w:sz w:val="22"/>
              </w:rPr>
              <w:t>注册地址：上海市宝山区蕴川路 </w:t>
            </w:r>
            <w:r>
              <w:rPr>
                <w:rFonts w:ascii="Arial" w:eastAsia="Arial"/>
                <w:sz w:val="22"/>
              </w:rPr>
              <w:t>5475</w:t>
            </w:r>
          </w:p>
          <w:p>
            <w:pPr>
              <w:pStyle w:val="TableParagraph"/>
              <w:spacing w:before="30"/>
              <w:ind w:left="105" w:right="95"/>
              <w:jc w:val="center"/>
              <w:rPr>
                <w:sz w:val="22"/>
              </w:rPr>
            </w:pPr>
            <w:r>
              <w:rPr>
                <w:sz w:val="22"/>
              </w:rPr>
              <w:t>号 </w:t>
            </w:r>
            <w:r>
              <w:rPr>
                <w:rFonts w:ascii="Arial" w:eastAsia="Arial"/>
                <w:sz w:val="22"/>
              </w:rPr>
              <w:t>1033 </w:t>
            </w:r>
            <w:r>
              <w:rPr>
                <w:sz w:val="22"/>
              </w:rPr>
              <w:t>室</w:t>
            </w:r>
          </w:p>
          <w:p>
            <w:pPr>
              <w:pStyle w:val="TableParagraph"/>
              <w:spacing w:before="31"/>
              <w:ind w:left="13"/>
              <w:jc w:val="center"/>
              <w:rPr>
                <w:sz w:val="22"/>
              </w:rPr>
            </w:pPr>
            <w:r>
              <w:rPr>
                <w:sz w:val="22"/>
              </w:rPr>
              <w:t>办公地址：上海浦东新区峨山路 </w:t>
            </w:r>
            <w:r>
              <w:rPr>
                <w:rFonts w:ascii="Arial" w:eastAsia="Arial"/>
                <w:sz w:val="22"/>
              </w:rPr>
              <w:t>91 </w:t>
            </w:r>
            <w:r>
              <w:rPr>
                <w:sz w:val="22"/>
              </w:rPr>
              <w:t>弄</w:t>
            </w:r>
          </w:p>
          <w:p>
            <w:pPr>
              <w:pStyle w:val="TableParagraph"/>
              <w:spacing w:line="266" w:lineRule="auto" w:before="30"/>
              <w:ind w:left="904" w:right="892"/>
              <w:jc w:val="center"/>
              <w:rPr>
                <w:sz w:val="22"/>
              </w:rPr>
            </w:pPr>
            <w:r>
              <w:rPr>
                <w:rFonts w:ascii="Arial" w:eastAsia="Arial"/>
                <w:sz w:val="22"/>
              </w:rPr>
              <w:t>61 </w:t>
            </w:r>
            <w:r>
              <w:rPr>
                <w:sz w:val="22"/>
              </w:rPr>
              <w:t>号 </w:t>
            </w:r>
            <w:r>
              <w:rPr>
                <w:rFonts w:ascii="Arial" w:eastAsia="Arial"/>
                <w:sz w:val="22"/>
              </w:rPr>
              <w:t>10 </w:t>
            </w:r>
            <w:r>
              <w:rPr>
                <w:sz w:val="22"/>
              </w:rPr>
              <w:t>号楼 </w:t>
            </w:r>
            <w:r>
              <w:rPr>
                <w:rFonts w:ascii="Arial" w:eastAsia="Arial"/>
                <w:sz w:val="22"/>
              </w:rPr>
              <w:t>12 </w:t>
            </w:r>
            <w:r>
              <w:rPr>
                <w:sz w:val="22"/>
              </w:rPr>
              <w:t>楼法定代表人：李兴春联系人：徐鹏</w:t>
            </w:r>
          </w:p>
          <w:p>
            <w:pPr>
              <w:pStyle w:val="TableParagraph"/>
              <w:spacing w:line="266" w:lineRule="auto"/>
              <w:ind w:left="882" w:right="872"/>
              <w:jc w:val="center"/>
              <w:rPr>
                <w:rFonts w:ascii="Arial" w:eastAsia="Arial"/>
                <w:sz w:val="22"/>
              </w:rPr>
            </w:pPr>
            <w:r>
              <w:rPr>
                <w:sz w:val="22"/>
              </w:rPr>
              <w:t>电话：</w:t>
            </w:r>
            <w:r>
              <w:rPr>
                <w:rFonts w:ascii="Arial" w:eastAsia="Arial"/>
                <w:sz w:val="22"/>
              </w:rPr>
              <w:t>021-50583533 </w:t>
            </w:r>
            <w:r>
              <w:rPr>
                <w:sz w:val="22"/>
              </w:rPr>
              <w:t>传真：</w:t>
            </w:r>
            <w:r>
              <w:rPr>
                <w:rFonts w:ascii="Arial" w:eastAsia="Arial"/>
                <w:sz w:val="22"/>
              </w:rPr>
              <w:t>021-50583633</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400-921-7755</w:t>
            </w:r>
          </w:p>
          <w:p>
            <w:pPr>
              <w:pStyle w:val="TableParagraph"/>
              <w:spacing w:line="277" w:lineRule="exact" w:before="27"/>
              <w:ind w:left="105" w:right="95"/>
              <w:jc w:val="center"/>
              <w:rPr>
                <w:rFonts w:ascii="Arial" w:eastAsia="Arial"/>
                <w:sz w:val="22"/>
              </w:rPr>
            </w:pPr>
            <w:r>
              <w:rPr>
                <w:sz w:val="22"/>
              </w:rPr>
              <w:t>公司网址：</w:t>
            </w:r>
            <w:hyperlink r:id="rId116">
              <w:r>
                <w:rPr>
                  <w:rFonts w:ascii="Arial" w:eastAsia="Arial"/>
                  <w:sz w:val="22"/>
                </w:rPr>
                <w:t>www.leadfund.com.cn</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27"/>
              <w:jc w:val="right"/>
              <w:rPr>
                <w:rFonts w:ascii="Arial"/>
                <w:sz w:val="21"/>
              </w:rPr>
            </w:pPr>
            <w:r>
              <w:rPr>
                <w:rFonts w:ascii="Arial"/>
                <w:sz w:val="21"/>
              </w:rPr>
              <w:t>112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2" w:right="77"/>
              <w:jc w:val="center"/>
              <w:rPr>
                <w:sz w:val="22"/>
              </w:rPr>
            </w:pPr>
            <w:r>
              <w:rPr>
                <w:sz w:val="22"/>
              </w:rPr>
              <w:t>北京新浪仓石基金销售有限公司</w:t>
            </w:r>
          </w:p>
        </w:tc>
        <w:tc>
          <w:tcPr>
            <w:tcW w:w="3848" w:type="dxa"/>
          </w:tcPr>
          <w:p>
            <w:pPr>
              <w:pStyle w:val="TableParagraph"/>
              <w:spacing w:line="266" w:lineRule="auto" w:before="15"/>
              <w:ind w:left="107" w:right="95"/>
              <w:jc w:val="center"/>
              <w:rPr>
                <w:sz w:val="22"/>
              </w:rPr>
            </w:pPr>
            <w:r>
              <w:rPr>
                <w:spacing w:val="-13"/>
                <w:sz w:val="22"/>
              </w:rPr>
              <w:t>注册地址：北京市海淀区东北旺西路中</w:t>
            </w:r>
            <w:r>
              <w:rPr>
                <w:spacing w:val="-2"/>
                <w:sz w:val="22"/>
              </w:rPr>
              <w:t>关村软件园二期</w:t>
            </w:r>
            <w:r>
              <w:rPr>
                <w:sz w:val="22"/>
              </w:rPr>
              <w:t>（</w:t>
            </w:r>
            <w:r>
              <w:rPr>
                <w:spacing w:val="-2"/>
                <w:sz w:val="22"/>
              </w:rPr>
              <w:t>西扩</w:t>
            </w:r>
            <w:r>
              <w:rPr>
                <w:sz w:val="22"/>
              </w:rPr>
              <w:t>）</w:t>
            </w:r>
            <w:r>
              <w:rPr>
                <w:rFonts w:ascii="Arial" w:eastAsia="Arial"/>
                <w:sz w:val="22"/>
              </w:rPr>
              <w:t>N-1</w:t>
            </w:r>
            <w:r>
              <w:rPr>
                <w:sz w:val="22"/>
              </w:rPr>
              <w:t>、</w:t>
            </w:r>
            <w:r>
              <w:rPr>
                <w:rFonts w:ascii="Arial" w:eastAsia="Arial"/>
                <w:sz w:val="22"/>
              </w:rPr>
              <w:t>N-2 </w:t>
            </w:r>
            <w:r>
              <w:rPr>
                <w:sz w:val="22"/>
              </w:rPr>
              <w:t>地</w:t>
            </w:r>
            <w:r>
              <w:rPr>
                <w:spacing w:val="-8"/>
                <w:sz w:val="22"/>
              </w:rPr>
              <w:t>块新浪总部科研楼 </w:t>
            </w:r>
            <w:r>
              <w:rPr>
                <w:rFonts w:ascii="Arial" w:eastAsia="Arial"/>
                <w:sz w:val="22"/>
              </w:rPr>
              <w:t>5 </w:t>
            </w:r>
            <w:r>
              <w:rPr>
                <w:spacing w:val="-28"/>
                <w:sz w:val="22"/>
              </w:rPr>
              <w:t>层 </w:t>
            </w:r>
            <w:r>
              <w:rPr>
                <w:rFonts w:ascii="Arial" w:eastAsia="Arial"/>
                <w:sz w:val="22"/>
              </w:rPr>
              <w:t>518 </w:t>
            </w:r>
            <w:r>
              <w:rPr>
                <w:sz w:val="22"/>
              </w:rPr>
              <w:t>室</w:t>
            </w:r>
          </w:p>
          <w:p>
            <w:pPr>
              <w:pStyle w:val="TableParagraph"/>
              <w:spacing w:line="266" w:lineRule="auto"/>
              <w:ind w:left="137" w:right="127"/>
              <w:jc w:val="center"/>
              <w:rPr>
                <w:sz w:val="22"/>
              </w:rPr>
            </w:pPr>
            <w:r>
              <w:rPr>
                <w:spacing w:val="-4"/>
                <w:sz w:val="22"/>
              </w:rPr>
              <w:t>办公地址：北京市海淀区西北旺东路</w:t>
            </w:r>
            <w:r>
              <w:rPr>
                <w:rFonts w:ascii="Arial" w:eastAsia="Arial"/>
                <w:sz w:val="22"/>
              </w:rPr>
              <w:t>10 </w:t>
            </w:r>
            <w:r>
              <w:rPr>
                <w:spacing w:val="-12"/>
                <w:sz w:val="22"/>
              </w:rPr>
              <w:t>号院东区 </w:t>
            </w:r>
            <w:r>
              <w:rPr>
                <w:rFonts w:ascii="Arial" w:eastAsia="Arial"/>
                <w:sz w:val="22"/>
              </w:rPr>
              <w:t>3 </w:t>
            </w:r>
            <w:r>
              <w:rPr>
                <w:spacing w:val="-11"/>
                <w:sz w:val="22"/>
              </w:rPr>
              <w:t>号楼为明大厦 </w:t>
            </w:r>
            <w:r>
              <w:rPr>
                <w:rFonts w:ascii="Arial" w:eastAsia="Arial"/>
                <w:sz w:val="22"/>
              </w:rPr>
              <w:t>C </w:t>
            </w:r>
            <w:r>
              <w:rPr>
                <w:sz w:val="22"/>
              </w:rPr>
              <w:t>座 </w:t>
            </w:r>
            <w:r>
              <w:rPr>
                <w:spacing w:val="-2"/>
                <w:sz w:val="22"/>
              </w:rPr>
              <w:t>法定代表人：赵芯蕊</w:t>
            </w:r>
          </w:p>
          <w:p>
            <w:pPr>
              <w:pStyle w:val="TableParagraph"/>
              <w:spacing w:line="266" w:lineRule="auto"/>
              <w:ind w:left="882" w:right="872" w:firstLine="213"/>
              <w:rPr>
                <w:rFonts w:ascii="Arial" w:eastAsia="Arial"/>
                <w:sz w:val="22"/>
              </w:rPr>
            </w:pPr>
            <w:r>
              <w:rPr>
                <w:spacing w:val="-1"/>
                <w:sz w:val="22"/>
              </w:rPr>
              <w:t>联系人： 赵芯蕊电话：</w:t>
            </w:r>
            <w:r>
              <w:rPr>
                <w:rFonts w:ascii="Arial" w:eastAsia="Arial"/>
                <w:spacing w:val="-1"/>
                <w:sz w:val="22"/>
              </w:rPr>
              <w:t>010-62675768 </w:t>
            </w:r>
            <w:r>
              <w:rPr>
                <w:spacing w:val="-1"/>
                <w:sz w:val="22"/>
              </w:rPr>
              <w:t>传真：</w:t>
            </w:r>
            <w:r>
              <w:rPr>
                <w:rFonts w:ascii="Arial" w:eastAsia="Arial"/>
                <w:spacing w:val="-1"/>
                <w:sz w:val="22"/>
              </w:rPr>
              <w:t>010-62676582</w:t>
            </w:r>
          </w:p>
          <w:p>
            <w:pPr>
              <w:pStyle w:val="TableParagraph"/>
              <w:spacing w:line="279" w:lineRule="exact"/>
              <w:ind w:left="103" w:right="95"/>
              <w:jc w:val="center"/>
              <w:rPr>
                <w:rFonts w:ascii="Arial" w:eastAsia="Arial"/>
                <w:sz w:val="22"/>
              </w:rPr>
            </w:pPr>
            <w:r>
              <w:rPr>
                <w:sz w:val="22"/>
              </w:rPr>
              <w:t>客户服务电话：</w:t>
            </w:r>
            <w:r>
              <w:rPr>
                <w:rFonts w:ascii="Arial" w:eastAsia="Arial"/>
                <w:sz w:val="22"/>
              </w:rPr>
              <w:t>010-62675369</w:t>
            </w:r>
          </w:p>
          <w:p>
            <w:pPr>
              <w:pStyle w:val="TableParagraph"/>
              <w:spacing w:line="277" w:lineRule="exact" w:before="25"/>
              <w:ind w:left="99" w:right="95"/>
              <w:jc w:val="center"/>
              <w:rPr>
                <w:rFonts w:ascii="Arial" w:eastAsia="Arial"/>
                <w:sz w:val="22"/>
              </w:rPr>
            </w:pPr>
            <w:r>
              <w:rPr>
                <w:sz w:val="22"/>
              </w:rPr>
              <w:t>网址：</w:t>
            </w:r>
            <w:hyperlink r:id="rId117">
              <w:r>
                <w:rPr>
                  <w:rFonts w:ascii="Arial" w:eastAsia="Arial"/>
                  <w:sz w:val="22"/>
                </w:rPr>
                <w:t>www.xincai.com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113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上海陆金所基金销售有限公司</w:t>
            </w:r>
          </w:p>
        </w:tc>
        <w:tc>
          <w:tcPr>
            <w:tcW w:w="3848" w:type="dxa"/>
          </w:tcPr>
          <w:p>
            <w:pPr>
              <w:pStyle w:val="TableParagraph"/>
              <w:spacing w:before="15"/>
              <w:ind w:left="10"/>
              <w:jc w:val="center"/>
              <w:rPr>
                <w:sz w:val="22"/>
              </w:rPr>
            </w:pPr>
            <w:r>
              <w:rPr>
                <w:sz w:val="22"/>
              </w:rPr>
              <w:t>注册地址：上海市浦东新区陆家嘴环路</w:t>
            </w:r>
          </w:p>
          <w:p>
            <w:pPr>
              <w:pStyle w:val="TableParagraph"/>
              <w:spacing w:before="30"/>
              <w:ind w:left="105" w:right="95"/>
              <w:jc w:val="center"/>
              <w:rPr>
                <w:sz w:val="22"/>
              </w:rPr>
            </w:pPr>
            <w:r>
              <w:rPr>
                <w:rFonts w:ascii="Arial" w:eastAsia="Arial"/>
                <w:sz w:val="22"/>
              </w:rPr>
              <w:t>1333 </w:t>
            </w:r>
            <w:r>
              <w:rPr>
                <w:sz w:val="22"/>
              </w:rPr>
              <w:t>号 </w:t>
            </w:r>
            <w:r>
              <w:rPr>
                <w:rFonts w:ascii="Arial" w:eastAsia="Arial"/>
                <w:sz w:val="22"/>
              </w:rPr>
              <w:t>14 </w:t>
            </w:r>
            <w:r>
              <w:rPr>
                <w:sz w:val="22"/>
              </w:rPr>
              <w:t>楼 </w:t>
            </w:r>
            <w:r>
              <w:rPr>
                <w:rFonts w:ascii="Arial" w:eastAsia="Arial"/>
                <w:sz w:val="22"/>
              </w:rPr>
              <w:t>09 </w:t>
            </w:r>
            <w:r>
              <w:rPr>
                <w:sz w:val="22"/>
              </w:rPr>
              <w:t>单元</w:t>
            </w:r>
          </w:p>
          <w:p>
            <w:pPr>
              <w:pStyle w:val="TableParagraph"/>
              <w:spacing w:before="30"/>
              <w:ind w:left="10"/>
              <w:jc w:val="center"/>
              <w:rPr>
                <w:sz w:val="22"/>
              </w:rPr>
            </w:pPr>
            <w:r>
              <w:rPr>
                <w:sz w:val="22"/>
              </w:rPr>
              <w:t>办公地址：上海市浦东新区陆家嘴环路</w:t>
            </w:r>
          </w:p>
          <w:p>
            <w:pPr>
              <w:pStyle w:val="TableParagraph"/>
              <w:spacing w:before="30"/>
              <w:ind w:left="102" w:right="95"/>
              <w:jc w:val="center"/>
              <w:rPr>
                <w:sz w:val="22"/>
              </w:rPr>
            </w:pPr>
            <w:r>
              <w:rPr>
                <w:rFonts w:ascii="Arial" w:eastAsia="Arial"/>
                <w:sz w:val="22"/>
              </w:rPr>
              <w:t>1333 </w:t>
            </w:r>
            <w:r>
              <w:rPr>
                <w:sz w:val="22"/>
              </w:rPr>
              <w:t>号</w:t>
            </w:r>
          </w:p>
          <w:p>
            <w:pPr>
              <w:pStyle w:val="TableParagraph"/>
              <w:spacing w:line="266" w:lineRule="auto" w:before="31"/>
              <w:ind w:left="932" w:right="920"/>
              <w:jc w:val="center"/>
              <w:rPr>
                <w:sz w:val="22"/>
              </w:rPr>
            </w:pPr>
            <w:r>
              <w:rPr>
                <w:sz w:val="22"/>
              </w:rPr>
              <w:t>法定代表人：王之光联系人：宁博宇</w:t>
            </w:r>
          </w:p>
          <w:p>
            <w:pPr>
              <w:pStyle w:val="TableParagraph"/>
              <w:spacing w:line="266" w:lineRule="auto"/>
              <w:ind w:left="882" w:right="872"/>
              <w:jc w:val="center"/>
              <w:rPr>
                <w:rFonts w:ascii="Arial" w:eastAsia="Arial"/>
                <w:sz w:val="22"/>
              </w:rPr>
            </w:pPr>
            <w:r>
              <w:rPr>
                <w:sz w:val="22"/>
              </w:rPr>
              <w:t>电话：</w:t>
            </w:r>
            <w:r>
              <w:rPr>
                <w:rFonts w:ascii="Arial" w:eastAsia="Arial"/>
                <w:sz w:val="22"/>
              </w:rPr>
              <w:t>021-20665952 </w:t>
            </w:r>
            <w:r>
              <w:rPr>
                <w:sz w:val="22"/>
              </w:rPr>
              <w:t>传真：</w:t>
            </w:r>
            <w:r>
              <w:rPr>
                <w:rFonts w:ascii="Arial" w:eastAsia="Arial"/>
                <w:sz w:val="22"/>
              </w:rPr>
              <w:t>021-22066653</w:t>
            </w:r>
          </w:p>
          <w:p>
            <w:pPr>
              <w:pStyle w:val="TableParagraph"/>
              <w:spacing w:line="280" w:lineRule="exact"/>
              <w:ind w:left="100" w:right="95"/>
              <w:jc w:val="center"/>
              <w:rPr>
                <w:rFonts w:ascii="Arial" w:eastAsia="Arial"/>
                <w:sz w:val="22"/>
              </w:rPr>
            </w:pPr>
            <w:r>
              <w:rPr>
                <w:sz w:val="22"/>
              </w:rPr>
              <w:t>客户服务电话：</w:t>
            </w:r>
            <w:r>
              <w:rPr>
                <w:rFonts w:ascii="Arial" w:eastAsia="Arial"/>
                <w:sz w:val="22"/>
              </w:rPr>
              <w:t>4008219031</w:t>
            </w:r>
          </w:p>
          <w:p>
            <w:pPr>
              <w:pStyle w:val="TableParagraph"/>
              <w:spacing w:line="277" w:lineRule="exact" w:before="28"/>
              <w:ind w:left="104" w:right="95"/>
              <w:jc w:val="center"/>
              <w:rPr>
                <w:rFonts w:ascii="Arial" w:eastAsia="Arial"/>
                <w:sz w:val="22"/>
              </w:rPr>
            </w:pPr>
            <w:r>
              <w:rPr>
                <w:sz w:val="22"/>
              </w:rPr>
              <w:t>网址：</w:t>
            </w:r>
            <w:hyperlink r:id="rId118">
              <w:r>
                <w:rPr>
                  <w:rFonts w:ascii="Arial" w:eastAsia="Arial"/>
                  <w:sz w:val="22"/>
                </w:rPr>
                <w:t>www.lufunds.com</w:t>
              </w:r>
            </w:hyperlink>
          </w:p>
        </w:tc>
      </w:tr>
      <w:tr>
        <w:trPr>
          <w:trHeight w:val="281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27"/>
              <w:jc w:val="right"/>
              <w:rPr>
                <w:rFonts w:ascii="Arial"/>
                <w:sz w:val="21"/>
              </w:rPr>
            </w:pPr>
            <w:r>
              <w:rPr>
                <w:rFonts w:ascii="Arial"/>
                <w:sz w:val="21"/>
              </w:rPr>
              <w:t>114</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77" w:right="77"/>
              <w:jc w:val="center"/>
              <w:rPr>
                <w:sz w:val="22"/>
              </w:rPr>
            </w:pPr>
            <w:r>
              <w:rPr>
                <w:sz w:val="22"/>
              </w:rPr>
              <w:t>深圳富济基金销售有限公司</w:t>
            </w:r>
          </w:p>
        </w:tc>
        <w:tc>
          <w:tcPr>
            <w:tcW w:w="3848" w:type="dxa"/>
          </w:tcPr>
          <w:p>
            <w:pPr>
              <w:pStyle w:val="TableParagraph"/>
              <w:spacing w:line="266" w:lineRule="auto" w:before="15"/>
              <w:ind w:left="107" w:right="94" w:firstLine="220"/>
              <w:rPr>
                <w:sz w:val="22"/>
              </w:rPr>
            </w:pPr>
            <w:r>
              <w:rPr>
                <w:sz w:val="22"/>
              </w:rPr>
              <w:t>注册（办公）地址： 深圳市福田区福田街道岗厦社区金田路</w:t>
            </w:r>
            <w:r>
              <w:rPr>
                <w:rFonts w:ascii="Arial" w:eastAsia="Arial"/>
                <w:sz w:val="22"/>
              </w:rPr>
              <w:t>3088 </w:t>
            </w:r>
            <w:r>
              <w:rPr>
                <w:sz w:val="22"/>
              </w:rPr>
              <w:t>号中洲</w:t>
            </w:r>
          </w:p>
          <w:p>
            <w:pPr>
              <w:pStyle w:val="TableParagraph"/>
              <w:spacing w:line="266" w:lineRule="auto"/>
              <w:ind w:left="1043" w:right="810" w:firstLine="64"/>
              <w:rPr>
                <w:sz w:val="22"/>
              </w:rPr>
            </w:pPr>
            <w:r>
              <w:rPr>
                <w:spacing w:val="-7"/>
                <w:sz w:val="22"/>
              </w:rPr>
              <w:t>大厦 </w:t>
            </w:r>
            <w:r>
              <w:rPr>
                <w:rFonts w:ascii="Arial" w:eastAsia="Arial"/>
                <w:sz w:val="22"/>
              </w:rPr>
              <w:t>3203A</w:t>
            </w:r>
            <w:r>
              <w:rPr>
                <w:rFonts w:ascii="Arial" w:eastAsia="Arial"/>
                <w:spacing w:val="31"/>
                <w:sz w:val="22"/>
              </w:rPr>
              <w:t> </w:t>
            </w:r>
            <w:r>
              <w:rPr>
                <w:sz w:val="22"/>
              </w:rPr>
              <w:t>单元法</w:t>
            </w:r>
            <w:r>
              <w:rPr>
                <w:spacing w:val="-5"/>
                <w:sz w:val="22"/>
              </w:rPr>
              <w:t>定代表人：祝中村</w:t>
            </w:r>
          </w:p>
          <w:p>
            <w:pPr>
              <w:pStyle w:val="TableParagraph"/>
              <w:spacing w:line="280" w:lineRule="exact"/>
              <w:ind w:left="1484"/>
              <w:rPr>
                <w:sz w:val="22"/>
              </w:rPr>
            </w:pPr>
            <w:r>
              <w:rPr>
                <w:spacing w:val="-3"/>
                <w:sz w:val="22"/>
              </w:rPr>
              <w:t>联系人：曾瑶敏</w:t>
            </w:r>
          </w:p>
          <w:p>
            <w:pPr>
              <w:pStyle w:val="TableParagraph"/>
              <w:spacing w:line="266" w:lineRule="auto" w:before="29"/>
              <w:ind w:left="932" w:right="262"/>
              <w:jc w:val="both"/>
              <w:rPr>
                <w:rFonts w:ascii="Arial" w:eastAsia="Arial"/>
                <w:sz w:val="22"/>
              </w:rPr>
            </w:pPr>
            <w:r>
              <w:rPr>
                <w:spacing w:val="-3"/>
                <w:sz w:val="22"/>
              </w:rPr>
              <w:t>电话号码：</w:t>
            </w:r>
            <w:r>
              <w:rPr>
                <w:rFonts w:ascii="Arial" w:eastAsia="Arial"/>
                <w:spacing w:val="-1"/>
                <w:sz w:val="22"/>
              </w:rPr>
              <w:t>0755-83999907 </w:t>
            </w:r>
            <w:r>
              <w:rPr>
                <w:spacing w:val="-3"/>
                <w:sz w:val="22"/>
              </w:rPr>
              <w:t>传真号码：</w:t>
            </w:r>
            <w:r>
              <w:rPr>
                <w:rFonts w:ascii="Arial" w:eastAsia="Arial"/>
                <w:spacing w:val="-1"/>
                <w:sz w:val="22"/>
              </w:rPr>
              <w:t>0755-83999926 </w:t>
            </w:r>
            <w:r>
              <w:rPr>
                <w:spacing w:val="-3"/>
                <w:sz w:val="22"/>
              </w:rPr>
              <w:t>客服电话：</w:t>
            </w:r>
            <w:r>
              <w:rPr>
                <w:rFonts w:ascii="Arial" w:eastAsia="Arial"/>
                <w:spacing w:val="-2"/>
                <w:sz w:val="22"/>
              </w:rPr>
              <w:t>0755-83999907</w:t>
            </w:r>
          </w:p>
          <w:p>
            <w:pPr>
              <w:pStyle w:val="TableParagraph"/>
              <w:spacing w:line="276" w:lineRule="exact"/>
              <w:ind w:left="935"/>
              <w:rPr>
                <w:rFonts w:ascii="Arial" w:eastAsia="Arial"/>
                <w:sz w:val="22"/>
              </w:rPr>
            </w:pPr>
            <w:r>
              <w:rPr>
                <w:spacing w:val="-3"/>
                <w:sz w:val="22"/>
              </w:rPr>
              <w:t>公司网址：</w:t>
            </w:r>
            <w:hyperlink r:id="rId119">
              <w:r>
                <w:rPr>
                  <w:rFonts w:ascii="Arial" w:eastAsia="Arial"/>
                  <w:spacing w:val="-1"/>
                  <w:sz w:val="22"/>
                </w:rPr>
                <w:t>www.fujifund.cn</w:t>
              </w:r>
            </w:hyperlink>
          </w:p>
        </w:tc>
      </w:tr>
    </w:tbl>
    <w:p>
      <w:pPr>
        <w:spacing w:after="0" w:line="276" w:lineRule="exact"/>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808"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27"/>
              <w:jc w:val="right"/>
              <w:rPr>
                <w:rFonts w:ascii="Arial"/>
                <w:sz w:val="21"/>
              </w:rPr>
            </w:pPr>
            <w:r>
              <w:rPr>
                <w:rFonts w:ascii="Arial"/>
                <w:sz w:val="21"/>
              </w:rPr>
              <w:t>115</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77" w:right="77"/>
              <w:jc w:val="center"/>
              <w:rPr>
                <w:sz w:val="22"/>
              </w:rPr>
            </w:pPr>
            <w:r>
              <w:rPr>
                <w:sz w:val="22"/>
              </w:rPr>
              <w:t>北京虹点基金销售有限公司</w:t>
            </w:r>
          </w:p>
        </w:tc>
        <w:tc>
          <w:tcPr>
            <w:tcW w:w="3848" w:type="dxa"/>
            <w:tcBorders>
              <w:top w:val="nil"/>
            </w:tcBorders>
          </w:tcPr>
          <w:p>
            <w:pPr>
              <w:pStyle w:val="TableParagraph"/>
              <w:spacing w:line="266" w:lineRule="auto" w:before="15"/>
              <w:ind w:left="106" w:right="96"/>
              <w:jc w:val="center"/>
              <w:rPr>
                <w:sz w:val="22"/>
              </w:rPr>
            </w:pPr>
            <w:r>
              <w:rPr>
                <w:spacing w:val="-4"/>
                <w:sz w:val="22"/>
              </w:rPr>
              <w:t>注册地址：北京市朝阳区东三环北路</w:t>
            </w:r>
            <w:r>
              <w:rPr>
                <w:sz w:val="22"/>
              </w:rPr>
              <w:t>17</w:t>
            </w:r>
            <w:r>
              <w:rPr>
                <w:spacing w:val="-37"/>
                <w:sz w:val="22"/>
              </w:rPr>
              <w:t> 号 </w:t>
            </w:r>
            <w:r>
              <w:rPr>
                <w:sz w:val="22"/>
              </w:rPr>
              <w:t>10</w:t>
            </w:r>
            <w:r>
              <w:rPr>
                <w:spacing w:val="-38"/>
                <w:sz w:val="22"/>
              </w:rPr>
              <w:t> 层 </w:t>
            </w:r>
            <w:r>
              <w:rPr>
                <w:sz w:val="22"/>
              </w:rPr>
              <w:t>1015</w:t>
            </w:r>
            <w:r>
              <w:rPr>
                <w:spacing w:val="-29"/>
                <w:sz w:val="22"/>
              </w:rPr>
              <w:t> 室</w:t>
            </w:r>
          </w:p>
          <w:p>
            <w:pPr>
              <w:pStyle w:val="TableParagraph"/>
              <w:spacing w:line="266" w:lineRule="auto"/>
              <w:ind w:left="106" w:right="96"/>
              <w:jc w:val="center"/>
              <w:rPr>
                <w:sz w:val="22"/>
              </w:rPr>
            </w:pPr>
            <w:r>
              <w:rPr>
                <w:spacing w:val="-4"/>
                <w:sz w:val="22"/>
              </w:rPr>
              <w:t>办公地址：北京市朝阳区东三环北路</w:t>
            </w:r>
            <w:r>
              <w:rPr>
                <w:sz w:val="22"/>
              </w:rPr>
              <w:t>17</w:t>
            </w:r>
            <w:r>
              <w:rPr>
                <w:spacing w:val="-37"/>
                <w:sz w:val="22"/>
              </w:rPr>
              <w:t> 号 </w:t>
            </w:r>
            <w:r>
              <w:rPr>
                <w:sz w:val="22"/>
              </w:rPr>
              <w:t>10</w:t>
            </w:r>
            <w:r>
              <w:rPr>
                <w:spacing w:val="-38"/>
                <w:sz w:val="22"/>
              </w:rPr>
              <w:t> 层 </w:t>
            </w:r>
            <w:r>
              <w:rPr>
                <w:sz w:val="22"/>
              </w:rPr>
              <w:t>1015</w:t>
            </w:r>
            <w:r>
              <w:rPr>
                <w:spacing w:val="-29"/>
                <w:sz w:val="22"/>
              </w:rPr>
              <w:t> 室</w:t>
            </w:r>
          </w:p>
          <w:p>
            <w:pPr>
              <w:pStyle w:val="TableParagraph"/>
              <w:spacing w:line="266" w:lineRule="auto"/>
              <w:ind w:left="1043" w:right="1031"/>
              <w:jc w:val="center"/>
              <w:rPr>
                <w:sz w:val="22"/>
              </w:rPr>
            </w:pPr>
            <w:r>
              <w:rPr>
                <w:sz w:val="22"/>
              </w:rPr>
              <w:t>法定代表人：何静联系人：王重阳</w:t>
            </w:r>
          </w:p>
          <w:p>
            <w:pPr>
              <w:pStyle w:val="TableParagraph"/>
              <w:spacing w:line="280" w:lineRule="exact"/>
              <w:ind w:left="105" w:right="95"/>
              <w:jc w:val="center"/>
              <w:rPr>
                <w:sz w:val="22"/>
              </w:rPr>
            </w:pPr>
            <w:r>
              <w:rPr>
                <w:sz w:val="22"/>
              </w:rPr>
              <w:t>电话：010-65951887</w:t>
            </w:r>
          </w:p>
          <w:p>
            <w:pPr>
              <w:pStyle w:val="TableParagraph"/>
              <w:spacing w:line="310" w:lineRule="atLeast"/>
              <w:ind w:left="493" w:right="480"/>
              <w:jc w:val="center"/>
              <w:rPr>
                <w:sz w:val="22"/>
              </w:rPr>
            </w:pPr>
            <w:r>
              <w:rPr>
                <w:sz w:val="22"/>
              </w:rPr>
              <w:t>客户服务电话：400-618-0707 </w:t>
            </w:r>
            <w:hyperlink r:id="rId120">
              <w:r>
                <w:rPr>
                  <w:sz w:val="22"/>
                </w:rPr>
                <w:t>网址：www.hongdianfund.com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27"/>
              <w:jc w:val="right"/>
              <w:rPr>
                <w:rFonts w:ascii="Arial"/>
                <w:sz w:val="21"/>
              </w:rPr>
            </w:pPr>
            <w:r>
              <w:rPr>
                <w:rFonts w:ascii="Arial"/>
                <w:sz w:val="21"/>
              </w:rPr>
              <w:t>116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76" w:right="77"/>
              <w:jc w:val="center"/>
              <w:rPr>
                <w:sz w:val="22"/>
              </w:rPr>
            </w:pPr>
            <w:r>
              <w:rPr>
                <w:sz w:val="22"/>
              </w:rPr>
              <w:t>珠海盈米基金销售有限公司</w:t>
            </w:r>
          </w:p>
        </w:tc>
        <w:tc>
          <w:tcPr>
            <w:tcW w:w="3848" w:type="dxa"/>
          </w:tcPr>
          <w:p>
            <w:pPr>
              <w:pStyle w:val="TableParagraph"/>
              <w:spacing w:before="15"/>
              <w:ind w:left="106" w:right="95"/>
              <w:jc w:val="center"/>
              <w:rPr>
                <w:rFonts w:ascii="Arial" w:eastAsia="Arial"/>
                <w:sz w:val="22"/>
              </w:rPr>
            </w:pPr>
            <w:r>
              <w:rPr>
                <w:sz w:val="22"/>
              </w:rPr>
              <w:t>注册地址：珠海市横琴新区宝华路 </w:t>
            </w:r>
            <w:r>
              <w:rPr>
                <w:rFonts w:ascii="Arial" w:eastAsia="Arial"/>
                <w:sz w:val="22"/>
              </w:rPr>
              <w:t>6</w:t>
            </w:r>
          </w:p>
          <w:p>
            <w:pPr>
              <w:pStyle w:val="TableParagraph"/>
              <w:spacing w:before="30"/>
              <w:ind w:left="105" w:right="95"/>
              <w:jc w:val="center"/>
              <w:rPr>
                <w:rFonts w:ascii="Arial" w:eastAsia="Arial"/>
                <w:sz w:val="22"/>
              </w:rPr>
            </w:pPr>
            <w:r>
              <w:rPr>
                <w:sz w:val="22"/>
              </w:rPr>
              <w:t>号 </w:t>
            </w:r>
            <w:r>
              <w:rPr>
                <w:rFonts w:ascii="Arial" w:eastAsia="Arial"/>
                <w:sz w:val="22"/>
              </w:rPr>
              <w:t>105 </w:t>
            </w:r>
            <w:r>
              <w:rPr>
                <w:sz w:val="22"/>
              </w:rPr>
              <w:t>室</w:t>
            </w:r>
            <w:r>
              <w:rPr>
                <w:rFonts w:ascii="Arial" w:eastAsia="Arial"/>
                <w:sz w:val="22"/>
              </w:rPr>
              <w:t>-3491</w:t>
            </w:r>
          </w:p>
          <w:p>
            <w:pPr>
              <w:pStyle w:val="TableParagraph"/>
              <w:spacing w:before="31"/>
              <w:ind w:left="11"/>
              <w:jc w:val="center"/>
              <w:rPr>
                <w:rFonts w:ascii="Arial" w:eastAsia="Arial"/>
                <w:sz w:val="22"/>
              </w:rPr>
            </w:pPr>
            <w:r>
              <w:rPr>
                <w:sz w:val="22"/>
              </w:rPr>
              <w:t>办公地址：广州市海珠区琶洲大道东 </w:t>
            </w:r>
            <w:r>
              <w:rPr>
                <w:rFonts w:ascii="Arial" w:eastAsia="Arial"/>
                <w:sz w:val="22"/>
              </w:rPr>
              <w:t>1</w:t>
            </w:r>
          </w:p>
          <w:p>
            <w:pPr>
              <w:pStyle w:val="TableParagraph"/>
              <w:spacing w:before="30"/>
              <w:ind w:left="103" w:right="95"/>
              <w:jc w:val="center"/>
              <w:rPr>
                <w:sz w:val="22"/>
              </w:rPr>
            </w:pPr>
            <w:r>
              <w:rPr>
                <w:sz w:val="22"/>
              </w:rPr>
              <w:t>号保利国际广场南塔 </w:t>
            </w:r>
            <w:r>
              <w:rPr>
                <w:rFonts w:ascii="Arial" w:eastAsia="Arial"/>
                <w:sz w:val="22"/>
              </w:rPr>
              <w:t>12 </w:t>
            </w:r>
            <w:r>
              <w:rPr>
                <w:sz w:val="22"/>
              </w:rPr>
              <w:t>楼</w:t>
            </w:r>
          </w:p>
          <w:p>
            <w:pPr>
              <w:pStyle w:val="TableParagraph"/>
              <w:spacing w:before="43"/>
              <w:ind w:left="100" w:right="95"/>
              <w:jc w:val="center"/>
              <w:rPr>
                <w:rFonts w:ascii="Arial"/>
                <w:sz w:val="22"/>
              </w:rPr>
            </w:pPr>
            <w:r>
              <w:rPr>
                <w:rFonts w:ascii="Arial"/>
                <w:sz w:val="22"/>
              </w:rPr>
              <w:t>B1201-1203</w:t>
            </w:r>
          </w:p>
          <w:p>
            <w:pPr>
              <w:pStyle w:val="TableParagraph"/>
              <w:spacing w:line="266" w:lineRule="auto" w:before="46"/>
              <w:ind w:left="1043" w:right="1031"/>
              <w:jc w:val="center"/>
              <w:rPr>
                <w:sz w:val="22"/>
              </w:rPr>
            </w:pPr>
            <w:r>
              <w:rPr>
                <w:sz w:val="22"/>
              </w:rPr>
              <w:t>法定代表人：肖雯联系人：黄敏嫦</w:t>
            </w:r>
          </w:p>
          <w:p>
            <w:pPr>
              <w:pStyle w:val="TableParagraph"/>
              <w:spacing w:line="266" w:lineRule="auto"/>
              <w:ind w:left="882" w:right="872"/>
              <w:jc w:val="center"/>
              <w:rPr>
                <w:rFonts w:ascii="Arial" w:eastAsia="Arial"/>
                <w:sz w:val="22"/>
              </w:rPr>
            </w:pPr>
            <w:r>
              <w:rPr>
                <w:sz w:val="22"/>
              </w:rPr>
              <w:t>电话：</w:t>
            </w:r>
            <w:r>
              <w:rPr>
                <w:rFonts w:ascii="Arial" w:eastAsia="Arial"/>
                <w:sz w:val="22"/>
              </w:rPr>
              <w:t>020-89629099 </w:t>
            </w:r>
            <w:r>
              <w:rPr>
                <w:sz w:val="22"/>
              </w:rPr>
              <w:t>传真：</w:t>
            </w:r>
            <w:r>
              <w:rPr>
                <w:rFonts w:ascii="Arial" w:eastAsia="Arial"/>
                <w:sz w:val="22"/>
              </w:rPr>
              <w:t>020-89629011</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020-89629066</w:t>
            </w:r>
          </w:p>
          <w:p>
            <w:pPr>
              <w:pStyle w:val="TableParagraph"/>
              <w:spacing w:line="277" w:lineRule="exact" w:before="28"/>
              <w:ind w:left="102" w:right="95"/>
              <w:jc w:val="center"/>
              <w:rPr>
                <w:rFonts w:ascii="Arial" w:eastAsia="Arial"/>
                <w:sz w:val="22"/>
              </w:rPr>
            </w:pPr>
            <w:r>
              <w:rPr>
                <w:sz w:val="22"/>
              </w:rPr>
              <w:t>网址：</w:t>
            </w:r>
            <w:hyperlink r:id="rId121">
              <w:r>
                <w:rPr>
                  <w:rFonts w:ascii="Arial" w:eastAsia="Arial"/>
                  <w:sz w:val="22"/>
                </w:rPr>
                <w:t>www.yingmi.cn</w:t>
              </w:r>
            </w:hyperlink>
          </w:p>
        </w:tc>
      </w:tr>
      <w:tr>
        <w:trPr>
          <w:trHeight w:val="3119"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117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9" w:right="77"/>
              <w:jc w:val="center"/>
              <w:rPr>
                <w:sz w:val="22"/>
              </w:rPr>
            </w:pPr>
            <w:r>
              <w:rPr>
                <w:sz w:val="22"/>
              </w:rPr>
              <w:t>中证金牛（北京）投资咨询有限公司</w:t>
            </w:r>
          </w:p>
        </w:tc>
        <w:tc>
          <w:tcPr>
            <w:tcW w:w="3848" w:type="dxa"/>
          </w:tcPr>
          <w:p>
            <w:pPr>
              <w:pStyle w:val="TableParagraph"/>
              <w:spacing w:before="15"/>
              <w:ind w:left="11"/>
              <w:jc w:val="center"/>
              <w:rPr>
                <w:rFonts w:ascii="Arial" w:eastAsia="Arial"/>
                <w:sz w:val="22"/>
              </w:rPr>
            </w:pPr>
            <w:r>
              <w:rPr>
                <w:sz w:val="22"/>
              </w:rPr>
              <w:t>注册地址：北京市丰台区东管头 </w:t>
            </w:r>
            <w:r>
              <w:rPr>
                <w:rFonts w:ascii="Arial" w:eastAsia="Arial"/>
                <w:sz w:val="22"/>
              </w:rPr>
              <w:t>1 </w:t>
            </w:r>
            <w:r>
              <w:rPr>
                <w:sz w:val="22"/>
              </w:rPr>
              <w:t>号 </w:t>
            </w:r>
            <w:r>
              <w:rPr>
                <w:rFonts w:ascii="Arial" w:eastAsia="Arial"/>
                <w:sz w:val="22"/>
              </w:rPr>
              <w:t>2</w:t>
            </w:r>
          </w:p>
          <w:p>
            <w:pPr>
              <w:pStyle w:val="TableParagraph"/>
              <w:spacing w:before="30"/>
              <w:ind w:left="102" w:right="95"/>
              <w:jc w:val="center"/>
              <w:rPr>
                <w:sz w:val="22"/>
              </w:rPr>
            </w:pPr>
            <w:r>
              <w:rPr>
                <w:sz w:val="22"/>
              </w:rPr>
              <w:t>号楼 </w:t>
            </w:r>
            <w:r>
              <w:rPr>
                <w:rFonts w:ascii="Arial" w:eastAsia="Arial"/>
                <w:sz w:val="22"/>
              </w:rPr>
              <w:t>2-45 </w:t>
            </w:r>
            <w:r>
              <w:rPr>
                <w:sz w:val="22"/>
              </w:rPr>
              <w:t>室</w:t>
            </w:r>
          </w:p>
          <w:p>
            <w:pPr>
              <w:pStyle w:val="TableParagraph"/>
              <w:spacing w:line="266" w:lineRule="auto" w:before="30"/>
              <w:ind w:left="107" w:right="95"/>
              <w:jc w:val="center"/>
              <w:rPr>
                <w:sz w:val="22"/>
              </w:rPr>
            </w:pPr>
            <w:r>
              <w:rPr>
                <w:spacing w:val="-13"/>
                <w:sz w:val="22"/>
              </w:rPr>
              <w:t>办公地址：北京市西城区宣武门外大街</w:t>
            </w:r>
            <w:r>
              <w:rPr>
                <w:spacing w:val="-28"/>
                <w:sz w:val="22"/>
              </w:rPr>
              <w:t>甲 </w:t>
            </w:r>
            <w:r>
              <w:rPr>
                <w:rFonts w:ascii="Arial" w:eastAsia="Arial"/>
                <w:sz w:val="22"/>
              </w:rPr>
              <w:t>1 </w:t>
            </w:r>
            <w:r>
              <w:rPr>
                <w:spacing w:val="-9"/>
                <w:sz w:val="22"/>
              </w:rPr>
              <w:t>号环球财讯中心 </w:t>
            </w:r>
            <w:r>
              <w:rPr>
                <w:rFonts w:ascii="Arial" w:eastAsia="Arial"/>
                <w:sz w:val="22"/>
              </w:rPr>
              <w:t>A </w:t>
            </w:r>
            <w:r>
              <w:rPr>
                <w:spacing w:val="-27"/>
                <w:sz w:val="22"/>
              </w:rPr>
              <w:t>座 </w:t>
            </w:r>
            <w:r>
              <w:rPr>
                <w:rFonts w:ascii="Arial" w:eastAsia="Arial"/>
                <w:sz w:val="22"/>
              </w:rPr>
              <w:t>5 </w:t>
            </w:r>
            <w:r>
              <w:rPr>
                <w:sz w:val="22"/>
              </w:rPr>
              <w:t>层</w:t>
            </w:r>
          </w:p>
          <w:p>
            <w:pPr>
              <w:pStyle w:val="TableParagraph"/>
              <w:spacing w:line="266" w:lineRule="auto"/>
              <w:ind w:left="932" w:right="920"/>
              <w:jc w:val="center"/>
              <w:rPr>
                <w:sz w:val="22"/>
              </w:rPr>
            </w:pPr>
            <w:r>
              <w:rPr>
                <w:sz w:val="22"/>
              </w:rPr>
              <w:t>法定代表人：钱昊旻联系人：孙雯</w:t>
            </w:r>
          </w:p>
          <w:p>
            <w:pPr>
              <w:pStyle w:val="TableParagraph"/>
              <w:spacing w:line="266" w:lineRule="auto"/>
              <w:ind w:left="882" w:right="872"/>
              <w:jc w:val="center"/>
              <w:rPr>
                <w:rFonts w:ascii="Arial" w:eastAsia="Arial"/>
                <w:sz w:val="22"/>
              </w:rPr>
            </w:pPr>
            <w:r>
              <w:rPr>
                <w:sz w:val="22"/>
              </w:rPr>
              <w:t>电话：</w:t>
            </w:r>
            <w:r>
              <w:rPr>
                <w:rFonts w:ascii="Arial" w:eastAsia="Arial"/>
                <w:sz w:val="22"/>
              </w:rPr>
              <w:t>010-59336519 </w:t>
            </w:r>
            <w:r>
              <w:rPr>
                <w:sz w:val="22"/>
              </w:rPr>
              <w:t>传真：</w:t>
            </w:r>
            <w:r>
              <w:rPr>
                <w:rFonts w:ascii="Arial" w:eastAsia="Arial"/>
                <w:sz w:val="22"/>
              </w:rPr>
              <w:t>010-59336500</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4008-909-998</w:t>
            </w:r>
          </w:p>
          <w:p>
            <w:pPr>
              <w:pStyle w:val="TableParagraph"/>
              <w:spacing w:line="277" w:lineRule="exact" w:before="27"/>
              <w:ind w:left="104" w:right="95"/>
              <w:jc w:val="center"/>
              <w:rPr>
                <w:rFonts w:ascii="Arial" w:eastAsia="Arial"/>
                <w:sz w:val="22"/>
              </w:rPr>
            </w:pPr>
            <w:r>
              <w:rPr>
                <w:sz w:val="22"/>
              </w:rPr>
              <w:t>网址：</w:t>
            </w:r>
            <w:hyperlink r:id="rId122">
              <w:r>
                <w:rPr>
                  <w:rFonts w:ascii="Arial" w:eastAsia="Arial"/>
                  <w:sz w:val="22"/>
                </w:rPr>
                <w:t>www.jnlc.com</w:t>
              </w:r>
            </w:hyperlink>
          </w:p>
        </w:tc>
      </w:tr>
      <w:tr>
        <w:trPr>
          <w:trHeight w:val="343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27"/>
              <w:jc w:val="right"/>
              <w:rPr>
                <w:rFonts w:ascii="Arial"/>
                <w:sz w:val="21"/>
              </w:rPr>
            </w:pPr>
            <w:r>
              <w:rPr>
                <w:rFonts w:ascii="Arial"/>
                <w:sz w:val="21"/>
              </w:rPr>
              <w:t>118</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2" w:right="77"/>
              <w:jc w:val="center"/>
              <w:rPr>
                <w:sz w:val="22"/>
              </w:rPr>
            </w:pPr>
            <w:r>
              <w:rPr>
                <w:sz w:val="22"/>
              </w:rPr>
              <w:t>奕丰基金销售有限公司</w:t>
            </w:r>
          </w:p>
        </w:tc>
        <w:tc>
          <w:tcPr>
            <w:tcW w:w="3848" w:type="dxa"/>
          </w:tcPr>
          <w:p>
            <w:pPr>
              <w:pStyle w:val="TableParagraph"/>
              <w:spacing w:line="266" w:lineRule="auto" w:before="15"/>
              <w:ind w:left="107" w:right="95"/>
              <w:jc w:val="center"/>
              <w:rPr>
                <w:sz w:val="22"/>
              </w:rPr>
            </w:pPr>
            <w:r>
              <w:rPr>
                <w:spacing w:val="-13"/>
                <w:sz w:val="22"/>
              </w:rPr>
              <w:t>注册地址：深圳市前海深港合作区前湾</w:t>
            </w:r>
            <w:r>
              <w:rPr>
                <w:spacing w:val="-18"/>
                <w:sz w:val="22"/>
              </w:rPr>
              <w:t>一路 </w:t>
            </w:r>
            <w:r>
              <w:rPr>
                <w:rFonts w:ascii="Arial" w:eastAsia="Arial"/>
                <w:sz w:val="22"/>
              </w:rPr>
              <w:t>1 </w:t>
            </w:r>
            <w:r>
              <w:rPr>
                <w:spacing w:val="-27"/>
                <w:sz w:val="22"/>
              </w:rPr>
              <w:t>号 </w:t>
            </w:r>
            <w:r>
              <w:rPr>
                <w:rFonts w:ascii="Arial" w:eastAsia="Arial"/>
                <w:sz w:val="22"/>
              </w:rPr>
              <w:t>A </w:t>
            </w:r>
            <w:r>
              <w:rPr>
                <w:spacing w:val="-27"/>
                <w:sz w:val="22"/>
              </w:rPr>
              <w:t>栋 </w:t>
            </w:r>
            <w:r>
              <w:rPr>
                <w:rFonts w:ascii="Arial" w:eastAsia="Arial"/>
                <w:sz w:val="22"/>
              </w:rPr>
              <w:t>201 </w:t>
            </w:r>
            <w:r>
              <w:rPr>
                <w:sz w:val="22"/>
              </w:rPr>
              <w:t>室</w:t>
            </w:r>
            <w:r>
              <w:rPr>
                <w:spacing w:val="-3"/>
                <w:sz w:val="22"/>
              </w:rPr>
              <w:t>（</w:t>
            </w:r>
            <w:r>
              <w:rPr>
                <w:spacing w:val="-1"/>
                <w:sz w:val="22"/>
              </w:rPr>
              <w:t>入住深圳市前</w:t>
            </w:r>
            <w:r>
              <w:rPr>
                <w:spacing w:val="-3"/>
                <w:sz w:val="22"/>
              </w:rPr>
              <w:t>海商务秘书有限公司</w:t>
            </w:r>
            <w:r>
              <w:rPr>
                <w:sz w:val="22"/>
              </w:rPr>
              <w:t>）</w:t>
            </w:r>
          </w:p>
          <w:p>
            <w:pPr>
              <w:pStyle w:val="TableParagraph"/>
              <w:spacing w:line="266" w:lineRule="auto"/>
              <w:ind w:left="107" w:right="95"/>
              <w:jc w:val="center"/>
              <w:rPr>
                <w:sz w:val="22"/>
              </w:rPr>
            </w:pPr>
            <w:r>
              <w:rPr>
                <w:spacing w:val="-13"/>
                <w:sz w:val="22"/>
              </w:rPr>
              <w:t>办公地址：深圳市南山区海德三道航天</w:t>
            </w:r>
            <w:r>
              <w:rPr>
                <w:spacing w:val="-11"/>
                <w:sz w:val="22"/>
              </w:rPr>
              <w:t>科技广场 </w:t>
            </w:r>
            <w:r>
              <w:rPr>
                <w:rFonts w:ascii="Arial" w:eastAsia="Arial"/>
                <w:sz w:val="22"/>
              </w:rPr>
              <w:t>A </w:t>
            </w:r>
            <w:r>
              <w:rPr>
                <w:spacing w:val="-28"/>
                <w:sz w:val="22"/>
              </w:rPr>
              <w:t>座 </w:t>
            </w:r>
            <w:r>
              <w:rPr>
                <w:rFonts w:ascii="Arial" w:eastAsia="Arial"/>
                <w:sz w:val="22"/>
              </w:rPr>
              <w:t>17 </w:t>
            </w:r>
            <w:r>
              <w:rPr>
                <w:spacing w:val="-28"/>
                <w:sz w:val="22"/>
              </w:rPr>
              <w:t>楼 </w:t>
            </w:r>
            <w:r>
              <w:rPr>
                <w:rFonts w:ascii="Arial" w:eastAsia="Arial"/>
                <w:sz w:val="22"/>
              </w:rPr>
              <w:t>1704 </w:t>
            </w:r>
            <w:r>
              <w:rPr>
                <w:sz w:val="22"/>
              </w:rPr>
              <w:t>室</w:t>
            </w:r>
          </w:p>
          <w:p>
            <w:pPr>
              <w:pStyle w:val="TableParagraph"/>
              <w:spacing w:line="280" w:lineRule="exact"/>
              <w:ind w:left="107" w:right="95"/>
              <w:jc w:val="center"/>
              <w:rPr>
                <w:rFonts w:ascii="Arial" w:eastAsia="Arial"/>
                <w:sz w:val="22"/>
              </w:rPr>
            </w:pPr>
            <w:r>
              <w:rPr>
                <w:sz w:val="22"/>
              </w:rPr>
              <w:t>法定代表人：</w:t>
            </w:r>
            <w:r>
              <w:rPr>
                <w:rFonts w:ascii="Arial" w:eastAsia="Arial"/>
                <w:sz w:val="22"/>
              </w:rPr>
              <w:t>TEO WEE HOWE</w:t>
            </w:r>
          </w:p>
          <w:p>
            <w:pPr>
              <w:pStyle w:val="TableParagraph"/>
              <w:spacing w:before="28"/>
              <w:ind w:left="102" w:right="95"/>
              <w:jc w:val="center"/>
              <w:rPr>
                <w:sz w:val="22"/>
              </w:rPr>
            </w:pPr>
            <w:r>
              <w:rPr>
                <w:sz w:val="22"/>
              </w:rPr>
              <w:t>联系人：叶健</w:t>
            </w:r>
          </w:p>
          <w:p>
            <w:pPr>
              <w:pStyle w:val="TableParagraph"/>
              <w:spacing w:line="266" w:lineRule="auto" w:before="30"/>
              <w:ind w:left="822" w:right="810"/>
              <w:jc w:val="center"/>
              <w:rPr>
                <w:rFonts w:ascii="Arial" w:eastAsia="Arial"/>
                <w:sz w:val="22"/>
              </w:rPr>
            </w:pPr>
            <w:r>
              <w:rPr>
                <w:sz w:val="22"/>
              </w:rPr>
              <w:t>电话：</w:t>
            </w:r>
            <w:r>
              <w:rPr>
                <w:rFonts w:ascii="Arial" w:eastAsia="Arial"/>
                <w:sz w:val="22"/>
              </w:rPr>
              <w:t>0755-89460500 </w:t>
            </w:r>
            <w:r>
              <w:rPr>
                <w:sz w:val="22"/>
              </w:rPr>
              <w:t>传真：</w:t>
            </w:r>
            <w:r>
              <w:rPr>
                <w:rFonts w:ascii="Arial" w:eastAsia="Arial"/>
                <w:sz w:val="22"/>
              </w:rPr>
              <w:t>0755-21674453</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400-684-0500</w:t>
            </w:r>
          </w:p>
          <w:p>
            <w:pPr>
              <w:pStyle w:val="TableParagraph"/>
              <w:spacing w:line="279" w:lineRule="exact" w:before="30"/>
              <w:ind w:left="103" w:right="95"/>
              <w:jc w:val="center"/>
              <w:rPr>
                <w:rFonts w:ascii="Arial" w:eastAsia="Arial"/>
                <w:sz w:val="22"/>
              </w:rPr>
            </w:pPr>
            <w:r>
              <w:rPr>
                <w:sz w:val="22"/>
              </w:rPr>
              <w:t>网址：</w:t>
            </w:r>
            <w:hyperlink r:id="rId123">
              <w:r>
                <w:rPr>
                  <w:rFonts w:ascii="Arial" w:eastAsia="Arial"/>
                  <w:sz w:val="22"/>
                </w:rPr>
                <w:t>www.ifastps.com.cn</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744"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right="127"/>
              <w:jc w:val="right"/>
              <w:rPr>
                <w:rFonts w:ascii="Arial"/>
                <w:sz w:val="21"/>
              </w:rPr>
            </w:pPr>
            <w:r>
              <w:rPr>
                <w:rFonts w:ascii="Arial"/>
                <w:sz w:val="21"/>
              </w:rPr>
              <w:t>119</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77" w:right="77"/>
              <w:jc w:val="center"/>
              <w:rPr>
                <w:sz w:val="22"/>
              </w:rPr>
            </w:pPr>
            <w:r>
              <w:rPr>
                <w:sz w:val="22"/>
              </w:rPr>
              <w:t>和耕传承基金销售有限公司</w:t>
            </w:r>
          </w:p>
        </w:tc>
        <w:tc>
          <w:tcPr>
            <w:tcW w:w="3848" w:type="dxa"/>
            <w:tcBorders>
              <w:top w:val="nil"/>
            </w:tcBorders>
          </w:tcPr>
          <w:p>
            <w:pPr>
              <w:pStyle w:val="TableParagraph"/>
              <w:spacing w:before="15"/>
              <w:ind w:left="107"/>
              <w:rPr>
                <w:sz w:val="22"/>
              </w:rPr>
            </w:pPr>
            <w:r>
              <w:rPr>
                <w:spacing w:val="-3"/>
                <w:sz w:val="22"/>
              </w:rPr>
              <w:t>注册地址： 河南自贸试验区郑州片区</w:t>
            </w:r>
          </w:p>
          <w:p>
            <w:pPr>
              <w:pStyle w:val="TableParagraph"/>
              <w:spacing w:before="30"/>
              <w:ind w:left="107"/>
              <w:rPr>
                <w:rFonts w:ascii="Arial" w:eastAsia="Arial"/>
                <w:sz w:val="22"/>
              </w:rPr>
            </w:pPr>
            <w:r>
              <w:rPr>
                <w:sz w:val="22"/>
              </w:rPr>
              <w:t>（郑东</w:t>
            </w:r>
            <w:r>
              <w:rPr>
                <w:spacing w:val="-80"/>
                <w:sz w:val="22"/>
              </w:rPr>
              <w:t>）</w:t>
            </w:r>
            <w:r>
              <w:rPr>
                <w:spacing w:val="-8"/>
                <w:sz w:val="22"/>
              </w:rPr>
              <w:t>东风南路东康宁街北 </w:t>
            </w:r>
            <w:r>
              <w:rPr>
                <w:rFonts w:ascii="Arial" w:eastAsia="Arial"/>
                <w:sz w:val="22"/>
              </w:rPr>
              <w:t>6</w:t>
            </w:r>
            <w:r>
              <w:rPr>
                <w:rFonts w:ascii="Arial" w:eastAsia="Arial"/>
                <w:spacing w:val="-3"/>
                <w:sz w:val="22"/>
              </w:rPr>
              <w:t> </w:t>
            </w:r>
            <w:r>
              <w:rPr>
                <w:spacing w:val="-19"/>
                <w:sz w:val="22"/>
              </w:rPr>
              <w:t>号楼 </w:t>
            </w:r>
            <w:r>
              <w:rPr>
                <w:rFonts w:ascii="Arial" w:eastAsia="Arial"/>
                <w:sz w:val="22"/>
              </w:rPr>
              <w:t>5</w:t>
            </w:r>
          </w:p>
          <w:p>
            <w:pPr>
              <w:pStyle w:val="TableParagraph"/>
              <w:spacing w:before="31"/>
              <w:ind w:left="1600"/>
              <w:rPr>
                <w:rFonts w:ascii="Arial" w:eastAsia="Arial"/>
                <w:sz w:val="22"/>
              </w:rPr>
            </w:pPr>
            <w:r>
              <w:rPr>
                <w:sz w:val="22"/>
              </w:rPr>
              <w:t>楼 </w:t>
            </w:r>
            <w:r>
              <w:rPr>
                <w:rFonts w:ascii="Arial" w:eastAsia="Arial"/>
                <w:sz w:val="22"/>
              </w:rPr>
              <w:t>503</w:t>
            </w:r>
          </w:p>
          <w:p>
            <w:pPr>
              <w:pStyle w:val="TableParagraph"/>
              <w:spacing w:before="30"/>
              <w:ind w:left="107"/>
              <w:rPr>
                <w:sz w:val="22"/>
              </w:rPr>
            </w:pPr>
            <w:r>
              <w:rPr>
                <w:spacing w:val="-3"/>
                <w:sz w:val="22"/>
              </w:rPr>
              <w:t>办公地址： 河南自贸试验区郑州片区</w:t>
            </w:r>
          </w:p>
          <w:p>
            <w:pPr>
              <w:pStyle w:val="TableParagraph"/>
              <w:spacing w:before="30"/>
              <w:ind w:left="107"/>
              <w:rPr>
                <w:rFonts w:ascii="Arial" w:eastAsia="Arial"/>
                <w:sz w:val="22"/>
              </w:rPr>
            </w:pPr>
            <w:r>
              <w:rPr>
                <w:sz w:val="22"/>
              </w:rPr>
              <w:t>（郑东</w:t>
            </w:r>
            <w:r>
              <w:rPr>
                <w:spacing w:val="-80"/>
                <w:sz w:val="22"/>
              </w:rPr>
              <w:t>）</w:t>
            </w:r>
            <w:r>
              <w:rPr>
                <w:spacing w:val="-8"/>
                <w:sz w:val="22"/>
              </w:rPr>
              <w:t>东风南路东康宁街北 </w:t>
            </w:r>
            <w:r>
              <w:rPr>
                <w:rFonts w:ascii="Arial" w:eastAsia="Arial"/>
                <w:sz w:val="22"/>
              </w:rPr>
              <w:t>6</w:t>
            </w:r>
            <w:r>
              <w:rPr>
                <w:rFonts w:ascii="Arial" w:eastAsia="Arial"/>
                <w:spacing w:val="-3"/>
                <w:sz w:val="22"/>
              </w:rPr>
              <w:t> </w:t>
            </w:r>
            <w:r>
              <w:rPr>
                <w:spacing w:val="-19"/>
                <w:sz w:val="22"/>
              </w:rPr>
              <w:t>号楼 </w:t>
            </w:r>
            <w:r>
              <w:rPr>
                <w:rFonts w:ascii="Arial" w:eastAsia="Arial"/>
                <w:sz w:val="22"/>
              </w:rPr>
              <w:t>5</w:t>
            </w:r>
          </w:p>
          <w:p>
            <w:pPr>
              <w:pStyle w:val="TableParagraph"/>
              <w:spacing w:before="30"/>
              <w:ind w:left="1600"/>
              <w:rPr>
                <w:rFonts w:ascii="Arial" w:eastAsia="Arial"/>
                <w:sz w:val="22"/>
              </w:rPr>
            </w:pPr>
            <w:r>
              <w:rPr>
                <w:sz w:val="22"/>
              </w:rPr>
              <w:t>楼 </w:t>
            </w:r>
            <w:r>
              <w:rPr>
                <w:rFonts w:ascii="Arial" w:eastAsia="Arial"/>
                <w:sz w:val="22"/>
              </w:rPr>
              <w:t>503</w:t>
            </w:r>
          </w:p>
          <w:p>
            <w:pPr>
              <w:pStyle w:val="TableParagraph"/>
              <w:spacing w:line="266" w:lineRule="auto" w:before="30"/>
              <w:ind w:left="767" w:right="755" w:firstLine="220"/>
              <w:rPr>
                <w:rFonts w:ascii="Arial" w:eastAsia="Arial"/>
                <w:sz w:val="22"/>
              </w:rPr>
            </w:pPr>
            <w:r>
              <w:rPr>
                <w:sz w:val="22"/>
              </w:rPr>
              <w:t>法定代表人： 王旋电话：</w:t>
            </w:r>
            <w:r>
              <w:rPr>
                <w:rFonts w:ascii="Arial" w:eastAsia="Arial"/>
                <w:sz w:val="22"/>
              </w:rPr>
              <w:t>0371-85518396 </w:t>
            </w:r>
            <w:r>
              <w:rPr>
                <w:sz w:val="22"/>
              </w:rPr>
              <w:t>传真： </w:t>
            </w:r>
            <w:r>
              <w:rPr>
                <w:rFonts w:ascii="Arial" w:eastAsia="Arial"/>
                <w:sz w:val="22"/>
              </w:rPr>
              <w:t>0371-85518397</w:t>
            </w:r>
          </w:p>
          <w:p>
            <w:pPr>
              <w:pStyle w:val="TableParagraph"/>
              <w:spacing w:line="279" w:lineRule="exact"/>
              <w:ind w:left="102" w:right="95"/>
              <w:jc w:val="center"/>
              <w:rPr>
                <w:sz w:val="22"/>
              </w:rPr>
            </w:pPr>
            <w:r>
              <w:rPr>
                <w:sz w:val="22"/>
              </w:rPr>
              <w:t>联系人：董亚芳</w:t>
            </w:r>
          </w:p>
          <w:p>
            <w:pPr>
              <w:pStyle w:val="TableParagraph"/>
              <w:spacing w:before="30"/>
              <w:ind w:left="103" w:right="95"/>
              <w:jc w:val="center"/>
              <w:rPr>
                <w:rFonts w:ascii="Arial" w:eastAsia="Arial"/>
                <w:sz w:val="22"/>
              </w:rPr>
            </w:pPr>
            <w:r>
              <w:rPr>
                <w:sz w:val="22"/>
              </w:rPr>
              <w:t>客服热线：</w:t>
            </w:r>
            <w:r>
              <w:rPr>
                <w:rFonts w:ascii="Arial" w:eastAsia="Arial"/>
                <w:sz w:val="22"/>
              </w:rPr>
              <w:t>400-0555-671</w:t>
            </w:r>
          </w:p>
          <w:p>
            <w:pPr>
              <w:pStyle w:val="TableParagraph"/>
              <w:spacing w:line="277" w:lineRule="exact" w:before="31"/>
              <w:ind w:left="99" w:right="95"/>
              <w:jc w:val="center"/>
              <w:rPr>
                <w:rFonts w:ascii="Arial" w:eastAsia="Arial"/>
                <w:sz w:val="22"/>
              </w:rPr>
            </w:pPr>
            <w:r>
              <w:rPr>
                <w:sz w:val="22"/>
              </w:rPr>
              <w:t>公司网站：</w:t>
            </w:r>
            <w:hyperlink r:id="rId124">
              <w:r>
                <w:rPr>
                  <w:rFonts w:ascii="Arial" w:eastAsia="Arial"/>
                  <w:sz w:val="22"/>
                </w:rPr>
                <w:t>www.hgccpb.com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27"/>
              <w:jc w:val="right"/>
              <w:rPr>
                <w:rFonts w:ascii="Arial"/>
                <w:sz w:val="21"/>
              </w:rPr>
            </w:pPr>
            <w:r>
              <w:rPr>
                <w:rFonts w:ascii="Arial"/>
                <w:sz w:val="21"/>
              </w:rPr>
              <w:t>120</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上海凯石财富基金销售有限公司</w:t>
            </w:r>
          </w:p>
        </w:tc>
        <w:tc>
          <w:tcPr>
            <w:tcW w:w="3848" w:type="dxa"/>
          </w:tcPr>
          <w:p>
            <w:pPr>
              <w:pStyle w:val="TableParagraph"/>
              <w:spacing w:before="15"/>
              <w:ind w:left="107"/>
              <w:rPr>
                <w:rFonts w:ascii="Arial" w:eastAsia="Arial"/>
                <w:sz w:val="22"/>
              </w:rPr>
            </w:pPr>
            <w:r>
              <w:rPr>
                <w:spacing w:val="-14"/>
                <w:sz w:val="22"/>
              </w:rPr>
              <w:t>注册地址：上海市黄浦区西藏南路 </w:t>
            </w:r>
            <w:r>
              <w:rPr>
                <w:rFonts w:ascii="Arial" w:eastAsia="Arial"/>
                <w:sz w:val="22"/>
              </w:rPr>
              <w:t>765</w:t>
            </w:r>
          </w:p>
          <w:p>
            <w:pPr>
              <w:pStyle w:val="TableParagraph"/>
              <w:spacing w:before="30"/>
              <w:ind w:left="1242"/>
              <w:rPr>
                <w:sz w:val="22"/>
              </w:rPr>
            </w:pPr>
            <w:r>
              <w:rPr>
                <w:sz w:val="22"/>
              </w:rPr>
              <w:t>号 </w:t>
            </w:r>
            <w:r>
              <w:rPr>
                <w:rFonts w:ascii="Arial" w:eastAsia="Arial"/>
                <w:sz w:val="22"/>
              </w:rPr>
              <w:t>602-115 </w:t>
            </w:r>
            <w:r>
              <w:rPr>
                <w:sz w:val="22"/>
              </w:rPr>
              <w:t>室</w:t>
            </w:r>
          </w:p>
          <w:p>
            <w:pPr>
              <w:pStyle w:val="TableParagraph"/>
              <w:spacing w:before="30"/>
              <w:ind w:left="184"/>
              <w:rPr>
                <w:rFonts w:ascii="Arial" w:eastAsia="Arial"/>
                <w:sz w:val="22"/>
              </w:rPr>
            </w:pPr>
            <w:r>
              <w:rPr>
                <w:sz w:val="22"/>
              </w:rPr>
              <w:t>办公地址：上海市黄浦区延安东路 </w:t>
            </w:r>
            <w:r>
              <w:rPr>
                <w:rFonts w:ascii="Arial" w:eastAsia="Arial"/>
                <w:sz w:val="22"/>
              </w:rPr>
              <w:t>1</w:t>
            </w:r>
          </w:p>
          <w:p>
            <w:pPr>
              <w:pStyle w:val="TableParagraph"/>
              <w:spacing w:line="266" w:lineRule="auto" w:before="30"/>
              <w:ind w:left="932" w:right="920" w:firstLine="213"/>
              <w:rPr>
                <w:sz w:val="22"/>
              </w:rPr>
            </w:pPr>
            <w:r>
              <w:rPr>
                <w:spacing w:val="-10"/>
                <w:sz w:val="22"/>
              </w:rPr>
              <w:t>号凯石大厦 </w:t>
            </w:r>
            <w:r>
              <w:rPr>
                <w:rFonts w:ascii="Arial" w:eastAsia="Arial"/>
                <w:sz w:val="22"/>
              </w:rPr>
              <w:t>4</w:t>
            </w:r>
            <w:r>
              <w:rPr>
                <w:rFonts w:ascii="Arial" w:eastAsia="Arial"/>
                <w:spacing w:val="-5"/>
                <w:sz w:val="22"/>
              </w:rPr>
              <w:t> </w:t>
            </w:r>
            <w:r>
              <w:rPr>
                <w:sz w:val="22"/>
              </w:rPr>
              <w:t>楼法</w:t>
            </w:r>
            <w:r>
              <w:rPr>
                <w:spacing w:val="-4"/>
                <w:sz w:val="22"/>
              </w:rPr>
              <w:t>定代表人：陈继武</w:t>
            </w:r>
          </w:p>
          <w:p>
            <w:pPr>
              <w:pStyle w:val="TableParagraph"/>
              <w:spacing w:line="266" w:lineRule="auto"/>
              <w:ind w:left="882" w:right="872" w:firstLine="268"/>
              <w:rPr>
                <w:rFonts w:ascii="Arial" w:eastAsia="Arial"/>
                <w:sz w:val="22"/>
              </w:rPr>
            </w:pPr>
            <w:r>
              <w:rPr>
                <w:spacing w:val="-1"/>
                <w:sz w:val="22"/>
              </w:rPr>
              <w:t>联系人：李晓明 电话：</w:t>
            </w:r>
            <w:r>
              <w:rPr>
                <w:rFonts w:ascii="Arial" w:eastAsia="Arial"/>
                <w:spacing w:val="-1"/>
                <w:sz w:val="22"/>
              </w:rPr>
              <w:t>021-63333319 </w:t>
            </w:r>
            <w:r>
              <w:rPr>
                <w:spacing w:val="-1"/>
                <w:sz w:val="22"/>
              </w:rPr>
              <w:t>传真：</w:t>
            </w:r>
            <w:r>
              <w:rPr>
                <w:rFonts w:ascii="Arial" w:eastAsia="Arial"/>
                <w:spacing w:val="-1"/>
                <w:sz w:val="22"/>
              </w:rPr>
              <w:t>021-63332523</w:t>
            </w:r>
          </w:p>
          <w:p>
            <w:pPr>
              <w:pStyle w:val="TableParagraph"/>
              <w:spacing w:line="279" w:lineRule="exact"/>
              <w:ind w:left="539"/>
              <w:rPr>
                <w:rFonts w:ascii="Arial" w:eastAsia="Arial"/>
                <w:sz w:val="22"/>
              </w:rPr>
            </w:pPr>
            <w:r>
              <w:rPr>
                <w:sz w:val="22"/>
              </w:rPr>
              <w:t>客户服务电话：</w:t>
            </w:r>
            <w:r>
              <w:rPr>
                <w:rFonts w:ascii="Arial" w:eastAsia="Arial"/>
                <w:sz w:val="22"/>
              </w:rPr>
              <w:t>4006433389</w:t>
            </w:r>
          </w:p>
          <w:p>
            <w:pPr>
              <w:pStyle w:val="TableParagraph"/>
              <w:spacing w:line="277" w:lineRule="exact" w:before="29"/>
              <w:ind w:left="443"/>
              <w:rPr>
                <w:rFonts w:ascii="Arial" w:eastAsia="Arial"/>
                <w:sz w:val="22"/>
              </w:rPr>
            </w:pPr>
            <w:r>
              <w:rPr>
                <w:sz w:val="22"/>
              </w:rPr>
              <w:t>网址：</w:t>
            </w:r>
            <w:hyperlink r:id="rId125">
              <w:r>
                <w:rPr>
                  <w:rFonts w:ascii="Arial" w:eastAsia="Arial"/>
                  <w:sz w:val="22"/>
                </w:rPr>
                <w:t>www.vstonewealth.com</w:t>
              </w:r>
            </w:hyperlink>
          </w:p>
        </w:tc>
      </w:tr>
      <w:tr>
        <w:trPr>
          <w:trHeight w:val="405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1"/>
              </w:rPr>
            </w:pPr>
          </w:p>
          <w:p>
            <w:pPr>
              <w:pStyle w:val="TableParagraph"/>
              <w:spacing w:before="1"/>
              <w:ind w:right="127"/>
              <w:jc w:val="right"/>
              <w:rPr>
                <w:rFonts w:ascii="Arial"/>
                <w:sz w:val="21"/>
              </w:rPr>
            </w:pPr>
            <w:r>
              <w:rPr>
                <w:rFonts w:ascii="Arial"/>
                <w:sz w:val="21"/>
              </w:rPr>
              <w:t>121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2" w:right="77"/>
              <w:jc w:val="center"/>
              <w:rPr>
                <w:sz w:val="22"/>
              </w:rPr>
            </w:pPr>
            <w:r>
              <w:rPr>
                <w:sz w:val="22"/>
              </w:rPr>
              <w:t>深圳市金斧子基金销售有限公司</w:t>
            </w:r>
          </w:p>
        </w:tc>
        <w:tc>
          <w:tcPr>
            <w:tcW w:w="3848" w:type="dxa"/>
          </w:tcPr>
          <w:p>
            <w:pPr>
              <w:pStyle w:val="TableParagraph"/>
              <w:spacing w:before="5"/>
              <w:rPr>
                <w:rFonts w:ascii="Times New Roman"/>
                <w:sz w:val="28"/>
              </w:rPr>
            </w:pPr>
          </w:p>
          <w:p>
            <w:pPr>
              <w:pStyle w:val="TableParagraph"/>
              <w:spacing w:line="266" w:lineRule="auto"/>
              <w:ind w:left="107" w:right="95"/>
              <w:jc w:val="center"/>
              <w:rPr>
                <w:rFonts w:ascii="Arial" w:eastAsia="Arial"/>
                <w:sz w:val="22"/>
              </w:rPr>
            </w:pPr>
            <w:r>
              <w:rPr>
                <w:spacing w:val="-13"/>
                <w:sz w:val="22"/>
              </w:rPr>
              <w:t>注册地址：深圳市南山区粤海街道科技</w:t>
            </w:r>
            <w:r>
              <w:rPr>
                <w:spacing w:val="-10"/>
                <w:sz w:val="22"/>
              </w:rPr>
              <w:t>园中区科苑路 </w:t>
            </w:r>
            <w:r>
              <w:rPr>
                <w:rFonts w:ascii="Arial" w:eastAsia="Arial"/>
                <w:sz w:val="22"/>
              </w:rPr>
              <w:t>15 </w:t>
            </w:r>
            <w:r>
              <w:rPr>
                <w:spacing w:val="7"/>
                <w:sz w:val="22"/>
              </w:rPr>
              <w:t>号科兴科学园</w:t>
            </w:r>
            <w:r>
              <w:rPr>
                <w:rFonts w:ascii="Arial" w:eastAsia="Arial"/>
                <w:sz w:val="22"/>
              </w:rPr>
              <w:t>B </w:t>
            </w:r>
            <w:r>
              <w:rPr>
                <w:spacing w:val="-29"/>
                <w:sz w:val="22"/>
              </w:rPr>
              <w:t>栋 </w:t>
            </w:r>
            <w:r>
              <w:rPr>
                <w:rFonts w:ascii="Arial" w:eastAsia="Arial"/>
                <w:spacing w:val="-13"/>
                <w:sz w:val="22"/>
              </w:rPr>
              <w:t>3</w:t>
            </w:r>
          </w:p>
          <w:p>
            <w:pPr>
              <w:pStyle w:val="TableParagraph"/>
              <w:spacing w:line="280" w:lineRule="exact"/>
              <w:ind w:left="103" w:right="95"/>
              <w:jc w:val="center"/>
              <w:rPr>
                <w:rFonts w:ascii="Arial" w:eastAsia="Arial"/>
                <w:sz w:val="22"/>
              </w:rPr>
            </w:pPr>
            <w:r>
              <w:rPr>
                <w:sz w:val="22"/>
              </w:rPr>
              <w:t>单元 </w:t>
            </w:r>
            <w:r>
              <w:rPr>
                <w:rFonts w:ascii="Arial" w:eastAsia="Arial"/>
                <w:sz w:val="22"/>
              </w:rPr>
              <w:t>11 </w:t>
            </w:r>
            <w:r>
              <w:rPr>
                <w:sz w:val="22"/>
              </w:rPr>
              <w:t>层 </w:t>
            </w:r>
            <w:r>
              <w:rPr>
                <w:rFonts w:ascii="Arial" w:eastAsia="Arial"/>
                <w:sz w:val="22"/>
              </w:rPr>
              <w:t>1108</w:t>
            </w:r>
          </w:p>
          <w:p>
            <w:pPr>
              <w:pStyle w:val="TableParagraph"/>
              <w:spacing w:line="266" w:lineRule="auto" w:before="30"/>
              <w:ind w:left="107" w:right="95"/>
              <w:jc w:val="center"/>
              <w:rPr>
                <w:rFonts w:ascii="Arial" w:eastAsia="Arial"/>
                <w:sz w:val="22"/>
              </w:rPr>
            </w:pPr>
            <w:r>
              <w:rPr>
                <w:spacing w:val="-13"/>
                <w:sz w:val="22"/>
              </w:rPr>
              <w:t>办公地址：深圳市南山区粤海街道科技</w:t>
            </w:r>
            <w:r>
              <w:rPr>
                <w:spacing w:val="-10"/>
                <w:sz w:val="22"/>
              </w:rPr>
              <w:t>园中区科苑路 </w:t>
            </w:r>
            <w:r>
              <w:rPr>
                <w:rFonts w:ascii="Arial" w:eastAsia="Arial"/>
                <w:sz w:val="22"/>
              </w:rPr>
              <w:t>15 </w:t>
            </w:r>
            <w:r>
              <w:rPr>
                <w:spacing w:val="7"/>
                <w:sz w:val="22"/>
              </w:rPr>
              <w:t>号科兴科学园</w:t>
            </w:r>
            <w:r>
              <w:rPr>
                <w:rFonts w:ascii="Arial" w:eastAsia="Arial"/>
                <w:sz w:val="22"/>
              </w:rPr>
              <w:t>B </w:t>
            </w:r>
            <w:r>
              <w:rPr>
                <w:spacing w:val="-29"/>
                <w:sz w:val="22"/>
              </w:rPr>
              <w:t>栋 </w:t>
            </w:r>
            <w:r>
              <w:rPr>
                <w:rFonts w:ascii="Arial" w:eastAsia="Arial"/>
                <w:spacing w:val="-13"/>
                <w:sz w:val="22"/>
              </w:rPr>
              <w:t>3</w:t>
            </w:r>
          </w:p>
          <w:p>
            <w:pPr>
              <w:pStyle w:val="TableParagraph"/>
              <w:spacing w:line="266" w:lineRule="auto"/>
              <w:ind w:left="1043" w:right="1031" w:hanging="2"/>
              <w:jc w:val="center"/>
              <w:rPr>
                <w:sz w:val="22"/>
              </w:rPr>
            </w:pPr>
            <w:r>
              <w:rPr>
                <w:sz w:val="22"/>
              </w:rPr>
              <w:t>单元 </w:t>
            </w:r>
            <w:r>
              <w:rPr>
                <w:rFonts w:ascii="Arial" w:eastAsia="Arial"/>
                <w:sz w:val="22"/>
              </w:rPr>
              <w:t>11 </w:t>
            </w:r>
            <w:r>
              <w:rPr>
                <w:sz w:val="22"/>
              </w:rPr>
              <w:t>层 </w:t>
            </w:r>
            <w:r>
              <w:rPr>
                <w:rFonts w:ascii="Arial" w:eastAsia="Arial"/>
                <w:sz w:val="22"/>
              </w:rPr>
              <w:t>1108 </w:t>
            </w:r>
            <w:r>
              <w:rPr>
                <w:sz w:val="22"/>
              </w:rPr>
              <w:t>法人代表：赖任军联系人：刘昕霞</w:t>
            </w:r>
          </w:p>
          <w:p>
            <w:pPr>
              <w:pStyle w:val="TableParagraph"/>
              <w:spacing w:line="266" w:lineRule="auto"/>
              <w:ind w:left="688" w:right="677" w:firstLine="132"/>
              <w:jc w:val="both"/>
              <w:rPr>
                <w:rFonts w:ascii="Arial" w:eastAsia="Arial"/>
                <w:sz w:val="22"/>
              </w:rPr>
            </w:pPr>
            <w:r>
              <w:rPr>
                <w:sz w:val="22"/>
              </w:rPr>
              <w:t>电话：</w:t>
            </w:r>
            <w:r>
              <w:rPr>
                <w:rFonts w:ascii="Arial" w:eastAsia="Arial"/>
                <w:sz w:val="22"/>
              </w:rPr>
              <w:t>0755-29330513 </w:t>
            </w:r>
            <w:r>
              <w:rPr>
                <w:sz w:val="22"/>
              </w:rPr>
              <w:t>传真：</w:t>
            </w:r>
            <w:r>
              <w:rPr>
                <w:rFonts w:ascii="Arial" w:eastAsia="Arial"/>
                <w:sz w:val="22"/>
              </w:rPr>
              <w:t>0755-26920530 </w:t>
            </w:r>
            <w:r>
              <w:rPr>
                <w:spacing w:val="-3"/>
                <w:sz w:val="22"/>
              </w:rPr>
              <w:t>客服电话：</w:t>
            </w:r>
            <w:r>
              <w:rPr>
                <w:rFonts w:ascii="Arial" w:eastAsia="Arial"/>
                <w:spacing w:val="-2"/>
                <w:sz w:val="22"/>
              </w:rPr>
              <w:t>400-930-0660</w:t>
            </w:r>
          </w:p>
          <w:p>
            <w:pPr>
              <w:pStyle w:val="TableParagraph"/>
              <w:spacing w:line="275" w:lineRule="exact"/>
              <w:ind w:left="100" w:right="95"/>
              <w:jc w:val="center"/>
              <w:rPr>
                <w:rFonts w:ascii="Arial" w:eastAsia="Arial"/>
                <w:sz w:val="22"/>
              </w:rPr>
            </w:pPr>
            <w:r>
              <w:rPr>
                <w:spacing w:val="-2"/>
                <w:sz w:val="22"/>
              </w:rPr>
              <w:t>公司网址：</w:t>
            </w:r>
            <w:hyperlink r:id="rId126">
              <w:r>
                <w:rPr>
                  <w:rFonts w:ascii="Arial" w:eastAsia="Arial"/>
                  <w:spacing w:val="-1"/>
                  <w:sz w:val="22"/>
                </w:rPr>
                <w:t>www.jfzinv.com</w:t>
              </w:r>
            </w:hyperlink>
          </w:p>
        </w:tc>
      </w:tr>
      <w:tr>
        <w:trPr>
          <w:trHeight w:val="218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27"/>
              <w:jc w:val="right"/>
              <w:rPr>
                <w:rFonts w:ascii="Arial"/>
                <w:sz w:val="21"/>
              </w:rPr>
            </w:pPr>
            <w:r>
              <w:rPr>
                <w:rFonts w:ascii="Arial"/>
                <w:sz w:val="21"/>
              </w:rPr>
              <w:t>122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2" w:right="77"/>
              <w:jc w:val="center"/>
              <w:rPr>
                <w:sz w:val="22"/>
              </w:rPr>
            </w:pPr>
            <w:r>
              <w:rPr>
                <w:sz w:val="22"/>
              </w:rPr>
              <w:t>武汉市伯嘉基金销售有限公司</w:t>
            </w:r>
          </w:p>
        </w:tc>
        <w:tc>
          <w:tcPr>
            <w:tcW w:w="3848" w:type="dxa"/>
          </w:tcPr>
          <w:p>
            <w:pPr>
              <w:pStyle w:val="TableParagraph"/>
              <w:spacing w:before="15"/>
              <w:ind w:left="10"/>
              <w:jc w:val="center"/>
              <w:rPr>
                <w:rFonts w:ascii="Arial" w:eastAsia="Arial"/>
                <w:sz w:val="22"/>
              </w:rPr>
            </w:pPr>
            <w:r>
              <w:rPr>
                <w:spacing w:val="-49"/>
                <w:sz w:val="22"/>
              </w:rPr>
              <w:t>注册</w:t>
            </w:r>
            <w:r>
              <w:rPr>
                <w:sz w:val="22"/>
              </w:rPr>
              <w:t>（</w:t>
            </w:r>
            <w:r>
              <w:rPr>
                <w:spacing w:val="-2"/>
                <w:sz w:val="22"/>
              </w:rPr>
              <w:t>办公</w:t>
            </w:r>
            <w:r>
              <w:rPr>
                <w:spacing w:val="-97"/>
                <w:sz w:val="22"/>
              </w:rPr>
              <w:t>）</w:t>
            </w:r>
            <w:r>
              <w:rPr>
                <w:spacing w:val="-17"/>
                <w:sz w:val="22"/>
              </w:rPr>
              <w:t>地址：武汉市江汉区 </w:t>
            </w:r>
            <w:r>
              <w:rPr>
                <w:rFonts w:ascii="Arial" w:eastAsia="Arial"/>
                <w:sz w:val="22"/>
              </w:rPr>
              <w:t>17-19</w:t>
            </w:r>
          </w:p>
          <w:p>
            <w:pPr>
              <w:pStyle w:val="TableParagraph"/>
              <w:spacing w:line="266" w:lineRule="auto" w:before="30"/>
              <w:ind w:left="786" w:right="773"/>
              <w:jc w:val="center"/>
              <w:rPr>
                <w:sz w:val="22"/>
              </w:rPr>
            </w:pPr>
            <w:r>
              <w:rPr>
                <w:spacing w:val="-10"/>
                <w:sz w:val="22"/>
              </w:rPr>
              <w:t>号环亚大厦 </w:t>
            </w:r>
            <w:r>
              <w:rPr>
                <w:rFonts w:ascii="Arial" w:eastAsia="Arial"/>
                <w:sz w:val="22"/>
              </w:rPr>
              <w:t>B </w:t>
            </w:r>
            <w:r>
              <w:rPr>
                <w:spacing w:val="-27"/>
                <w:sz w:val="22"/>
              </w:rPr>
              <w:t>座 </w:t>
            </w:r>
            <w:r>
              <w:rPr>
                <w:rFonts w:ascii="Arial" w:eastAsia="Arial"/>
                <w:sz w:val="22"/>
              </w:rPr>
              <w:t>601 </w:t>
            </w:r>
            <w:r>
              <w:rPr>
                <w:spacing w:val="-14"/>
                <w:sz w:val="22"/>
              </w:rPr>
              <w:t>室</w:t>
            </w:r>
            <w:r>
              <w:rPr>
                <w:spacing w:val="-2"/>
                <w:sz w:val="22"/>
              </w:rPr>
              <w:t>法定代表人：陶捷</w:t>
            </w:r>
          </w:p>
          <w:p>
            <w:pPr>
              <w:pStyle w:val="TableParagraph"/>
              <w:spacing w:line="280" w:lineRule="exact"/>
              <w:ind w:left="102" w:right="95"/>
              <w:jc w:val="center"/>
              <w:rPr>
                <w:sz w:val="22"/>
              </w:rPr>
            </w:pPr>
            <w:r>
              <w:rPr>
                <w:sz w:val="22"/>
              </w:rPr>
              <w:t>联系人：陆锋</w:t>
            </w:r>
          </w:p>
          <w:p>
            <w:pPr>
              <w:pStyle w:val="TableParagraph"/>
              <w:spacing w:before="30"/>
              <w:ind w:left="102" w:right="95"/>
              <w:jc w:val="center"/>
              <w:rPr>
                <w:rFonts w:ascii="Arial" w:eastAsia="Arial"/>
                <w:sz w:val="22"/>
              </w:rPr>
            </w:pPr>
            <w:r>
              <w:rPr>
                <w:sz w:val="22"/>
              </w:rPr>
              <w:t>电话：</w:t>
            </w:r>
            <w:r>
              <w:rPr>
                <w:rFonts w:ascii="Arial" w:eastAsia="Arial"/>
                <w:sz w:val="22"/>
              </w:rPr>
              <w:t>027-83863742</w:t>
            </w:r>
          </w:p>
          <w:p>
            <w:pPr>
              <w:pStyle w:val="TableParagraph"/>
              <w:spacing w:line="310" w:lineRule="atLeast" w:before="2"/>
              <w:ind w:left="539" w:right="531"/>
              <w:jc w:val="center"/>
              <w:rPr>
                <w:rFonts w:ascii="Arial" w:eastAsia="Arial"/>
                <w:sz w:val="22"/>
              </w:rPr>
            </w:pPr>
            <w:r>
              <w:rPr>
                <w:sz w:val="22"/>
              </w:rPr>
              <w:t>客户服务电话：</w:t>
            </w:r>
            <w:r>
              <w:rPr>
                <w:rFonts w:ascii="Arial" w:eastAsia="Arial"/>
                <w:sz w:val="22"/>
              </w:rPr>
              <w:t>4000279899 </w:t>
            </w:r>
            <w:r>
              <w:rPr>
                <w:sz w:val="22"/>
              </w:rPr>
              <w:t>网址：</w:t>
            </w:r>
            <w:hyperlink r:id="rId127">
              <w:r>
                <w:rPr>
                  <w:rFonts w:ascii="Arial" w:eastAsia="Arial"/>
                  <w:sz w:val="22"/>
                </w:rPr>
                <w:t>www.buyfunds.cn</w:t>
              </w:r>
            </w:hyperlink>
          </w:p>
        </w:tc>
      </w:tr>
    </w:tbl>
    <w:p>
      <w:pPr>
        <w:spacing w:after="0" w:line="310" w:lineRule="atLeas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496"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27"/>
              <w:jc w:val="right"/>
              <w:rPr>
                <w:rFonts w:ascii="Arial"/>
                <w:sz w:val="21"/>
              </w:rPr>
            </w:pPr>
            <w:r>
              <w:rPr>
                <w:rFonts w:ascii="Arial"/>
                <w:sz w:val="21"/>
              </w:rPr>
              <w:t>123</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7" w:right="77"/>
              <w:jc w:val="center"/>
              <w:rPr>
                <w:sz w:val="22"/>
              </w:rPr>
            </w:pPr>
            <w:r>
              <w:rPr>
                <w:sz w:val="22"/>
              </w:rPr>
              <w:t>北京汇成基金销售有限公司</w:t>
            </w:r>
          </w:p>
        </w:tc>
        <w:tc>
          <w:tcPr>
            <w:tcW w:w="3848" w:type="dxa"/>
            <w:tcBorders>
              <w:top w:val="nil"/>
            </w:tcBorders>
          </w:tcPr>
          <w:p>
            <w:pPr>
              <w:pStyle w:val="TableParagraph"/>
              <w:spacing w:line="266" w:lineRule="auto" w:before="15"/>
              <w:ind w:left="107" w:right="94" w:hanging="4"/>
              <w:jc w:val="center"/>
              <w:rPr>
                <w:sz w:val="22"/>
              </w:rPr>
            </w:pPr>
            <w:r>
              <w:rPr>
                <w:spacing w:val="-3"/>
                <w:sz w:val="22"/>
              </w:rPr>
              <w:t>注册地址：北京市海淀区中关村大街</w:t>
            </w:r>
            <w:r>
              <w:rPr>
                <w:rFonts w:ascii="Arial" w:eastAsia="Arial"/>
                <w:spacing w:val="-3"/>
                <w:sz w:val="22"/>
              </w:rPr>
              <w:t>11</w:t>
            </w:r>
            <w:r>
              <w:rPr>
                <w:rFonts w:ascii="Arial" w:eastAsia="Arial"/>
                <w:spacing w:val="-13"/>
                <w:sz w:val="22"/>
              </w:rPr>
              <w:t> </w:t>
            </w:r>
            <w:r>
              <w:rPr>
                <w:spacing w:val="48"/>
                <w:sz w:val="22"/>
              </w:rPr>
              <w:t>号</w:t>
            </w:r>
            <w:r>
              <w:rPr>
                <w:rFonts w:ascii="Arial" w:eastAsia="Arial"/>
                <w:sz w:val="22"/>
              </w:rPr>
              <w:t>E</w:t>
            </w:r>
            <w:r>
              <w:rPr>
                <w:rFonts w:ascii="Arial" w:eastAsia="Arial"/>
                <w:spacing w:val="-12"/>
                <w:sz w:val="22"/>
              </w:rPr>
              <w:t> </w:t>
            </w:r>
            <w:r>
              <w:rPr>
                <w:spacing w:val="5"/>
                <w:sz w:val="22"/>
              </w:rPr>
              <w:t>世界财富中心</w:t>
            </w:r>
            <w:r>
              <w:rPr>
                <w:rFonts w:ascii="Arial" w:eastAsia="Arial"/>
                <w:sz w:val="22"/>
              </w:rPr>
              <w:t>A</w:t>
            </w:r>
            <w:r>
              <w:rPr>
                <w:rFonts w:ascii="Arial" w:eastAsia="Arial"/>
                <w:spacing w:val="-15"/>
                <w:sz w:val="22"/>
              </w:rPr>
              <w:t> </w:t>
            </w:r>
            <w:r>
              <w:rPr>
                <w:spacing w:val="-30"/>
                <w:sz w:val="22"/>
              </w:rPr>
              <w:t>座 </w:t>
            </w:r>
            <w:r>
              <w:rPr>
                <w:rFonts w:ascii="Arial" w:eastAsia="Arial"/>
                <w:sz w:val="22"/>
              </w:rPr>
              <w:t>11</w:t>
            </w:r>
            <w:r>
              <w:rPr>
                <w:rFonts w:ascii="Arial" w:eastAsia="Arial"/>
                <w:spacing w:val="-15"/>
                <w:sz w:val="22"/>
              </w:rPr>
              <w:t> </w:t>
            </w:r>
            <w:r>
              <w:rPr>
                <w:spacing w:val="-30"/>
                <w:sz w:val="22"/>
              </w:rPr>
              <w:t>层 </w:t>
            </w:r>
            <w:r>
              <w:rPr>
                <w:rFonts w:ascii="Arial" w:eastAsia="Arial"/>
                <w:spacing w:val="-4"/>
                <w:sz w:val="22"/>
              </w:rPr>
              <w:t>1108 </w:t>
            </w:r>
            <w:r>
              <w:rPr>
                <w:sz w:val="22"/>
              </w:rPr>
              <w:t>号</w:t>
            </w:r>
          </w:p>
          <w:p>
            <w:pPr>
              <w:pStyle w:val="TableParagraph"/>
              <w:spacing w:line="266" w:lineRule="auto"/>
              <w:ind w:left="107" w:right="95"/>
              <w:jc w:val="center"/>
              <w:rPr>
                <w:sz w:val="22"/>
              </w:rPr>
            </w:pPr>
            <w:r>
              <w:rPr>
                <w:spacing w:val="-13"/>
                <w:sz w:val="22"/>
              </w:rPr>
              <w:t>办公地址：北京市西城区西直门外大街</w:t>
            </w:r>
            <w:r>
              <w:rPr>
                <w:rFonts w:ascii="Arial" w:eastAsia="Arial"/>
                <w:sz w:val="22"/>
              </w:rPr>
              <w:t>1 </w:t>
            </w:r>
            <w:r>
              <w:rPr>
                <w:spacing w:val="-18"/>
                <w:sz w:val="22"/>
              </w:rPr>
              <w:t>号院 </w:t>
            </w:r>
            <w:r>
              <w:rPr>
                <w:rFonts w:ascii="Arial" w:eastAsia="Arial"/>
                <w:sz w:val="22"/>
              </w:rPr>
              <w:t>2 </w:t>
            </w:r>
            <w:r>
              <w:rPr>
                <w:spacing w:val="-2"/>
                <w:sz w:val="22"/>
              </w:rPr>
              <w:t>号楼</w:t>
            </w:r>
            <w:r>
              <w:rPr>
                <w:sz w:val="22"/>
              </w:rPr>
              <w:t>（</w:t>
            </w:r>
            <w:r>
              <w:rPr>
                <w:spacing w:val="11"/>
                <w:sz w:val="22"/>
              </w:rPr>
              <w:t>西环广场</w:t>
            </w:r>
            <w:r>
              <w:rPr>
                <w:rFonts w:ascii="Arial" w:eastAsia="Arial"/>
                <w:sz w:val="22"/>
              </w:rPr>
              <w:t>B </w:t>
            </w:r>
            <w:r>
              <w:rPr>
                <w:sz w:val="22"/>
              </w:rPr>
              <w:t>座）</w:t>
            </w:r>
            <w:r>
              <w:rPr>
                <w:rFonts w:ascii="Arial" w:eastAsia="Arial"/>
                <w:sz w:val="22"/>
              </w:rPr>
              <w:t>19 </w:t>
            </w:r>
            <w:r>
              <w:rPr>
                <w:sz w:val="22"/>
              </w:rPr>
              <w:t>层</w:t>
            </w:r>
            <w:r>
              <w:rPr>
                <w:spacing w:val="-2"/>
                <w:sz w:val="22"/>
              </w:rPr>
              <w:t>法定代表人：王伟刚</w:t>
            </w:r>
          </w:p>
          <w:p>
            <w:pPr>
              <w:pStyle w:val="TableParagraph"/>
              <w:spacing w:line="279" w:lineRule="exact"/>
              <w:ind w:left="103" w:right="95"/>
              <w:jc w:val="center"/>
              <w:rPr>
                <w:rFonts w:ascii="Arial" w:eastAsia="Arial"/>
                <w:sz w:val="22"/>
              </w:rPr>
            </w:pPr>
            <w:r>
              <w:rPr>
                <w:sz w:val="22"/>
              </w:rPr>
              <w:t>客服电话：</w:t>
            </w:r>
            <w:r>
              <w:rPr>
                <w:rFonts w:ascii="Arial" w:eastAsia="Arial"/>
                <w:sz w:val="22"/>
              </w:rPr>
              <w:t>400-619-9059</w:t>
            </w:r>
          </w:p>
          <w:p>
            <w:pPr>
              <w:pStyle w:val="TableParagraph"/>
              <w:spacing w:line="277" w:lineRule="exact" w:before="28"/>
              <w:ind w:left="1098"/>
              <w:rPr>
                <w:rFonts w:ascii="Arial" w:eastAsia="Arial"/>
                <w:sz w:val="22"/>
              </w:rPr>
            </w:pPr>
            <w:r>
              <w:rPr>
                <w:sz w:val="22"/>
              </w:rPr>
              <w:t>公司网址：</w:t>
            </w:r>
            <w:hyperlink r:id="rId128">
              <w:r>
                <w:rPr>
                  <w:rFonts w:ascii="Arial" w:eastAsia="Arial"/>
                  <w:sz w:val="22"/>
                </w:rPr>
                <w:t>www.hcjijin.com</w:t>
              </w:r>
            </w:hyperlink>
          </w:p>
        </w:tc>
      </w:tr>
      <w:tr>
        <w:trPr>
          <w:trHeight w:val="2496"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27"/>
              <w:jc w:val="right"/>
              <w:rPr>
                <w:rFonts w:ascii="Arial"/>
                <w:sz w:val="21"/>
              </w:rPr>
            </w:pPr>
            <w:r>
              <w:rPr>
                <w:rFonts w:ascii="Arial"/>
                <w:sz w:val="21"/>
              </w:rPr>
              <w:t>124</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7" w:right="77"/>
              <w:jc w:val="center"/>
              <w:rPr>
                <w:sz w:val="22"/>
              </w:rPr>
            </w:pPr>
            <w:r>
              <w:rPr>
                <w:sz w:val="22"/>
              </w:rPr>
              <w:t>南京苏宁基金销售有限公司</w:t>
            </w:r>
          </w:p>
        </w:tc>
        <w:tc>
          <w:tcPr>
            <w:tcW w:w="3848" w:type="dxa"/>
          </w:tcPr>
          <w:p>
            <w:pPr>
              <w:pStyle w:val="TableParagraph"/>
              <w:spacing w:before="15"/>
              <w:ind w:left="11"/>
              <w:jc w:val="center"/>
              <w:rPr>
                <w:rFonts w:ascii="Arial" w:eastAsia="Arial"/>
                <w:sz w:val="22"/>
              </w:rPr>
            </w:pPr>
            <w:r>
              <w:rPr>
                <w:sz w:val="22"/>
              </w:rPr>
              <w:t>注册地址：南京市玄武区苏宁大道 </w:t>
            </w:r>
            <w:r>
              <w:rPr>
                <w:rFonts w:ascii="Arial" w:eastAsia="Arial"/>
                <w:sz w:val="22"/>
              </w:rPr>
              <w:t>1-5</w:t>
            </w:r>
          </w:p>
          <w:p>
            <w:pPr>
              <w:pStyle w:val="TableParagraph"/>
              <w:spacing w:before="30"/>
              <w:ind w:left="5"/>
              <w:jc w:val="center"/>
              <w:rPr>
                <w:sz w:val="22"/>
              </w:rPr>
            </w:pPr>
            <w:r>
              <w:rPr>
                <w:w w:val="100"/>
                <w:sz w:val="22"/>
              </w:rPr>
              <w:t>号</w:t>
            </w:r>
          </w:p>
          <w:p>
            <w:pPr>
              <w:pStyle w:val="TableParagraph"/>
              <w:spacing w:line="266" w:lineRule="auto" w:before="30"/>
              <w:ind w:left="932" w:right="920"/>
              <w:jc w:val="center"/>
              <w:rPr>
                <w:sz w:val="22"/>
              </w:rPr>
            </w:pPr>
            <w:r>
              <w:rPr>
                <w:sz w:val="22"/>
              </w:rPr>
              <w:t>法定代表人：钱燕飞联系人：王锋</w:t>
            </w:r>
          </w:p>
          <w:p>
            <w:pPr>
              <w:pStyle w:val="TableParagraph"/>
              <w:spacing w:line="266" w:lineRule="auto"/>
              <w:ind w:left="479" w:right="468"/>
              <w:jc w:val="center"/>
              <w:rPr>
                <w:rFonts w:ascii="Arial" w:eastAsia="Arial"/>
                <w:sz w:val="22"/>
              </w:rPr>
            </w:pPr>
            <w:r>
              <w:rPr>
                <w:spacing w:val="-1"/>
                <w:sz w:val="22"/>
              </w:rPr>
              <w:t>电话：</w:t>
            </w:r>
            <w:r>
              <w:rPr>
                <w:rFonts w:ascii="Arial" w:eastAsia="Arial"/>
                <w:spacing w:val="-1"/>
                <w:sz w:val="22"/>
              </w:rPr>
              <w:t>025-66996699-887226 </w:t>
            </w:r>
            <w:r>
              <w:rPr>
                <w:spacing w:val="-1"/>
                <w:sz w:val="22"/>
              </w:rPr>
              <w:t>传真： </w:t>
            </w:r>
            <w:r>
              <w:rPr>
                <w:rFonts w:ascii="Arial" w:eastAsia="Arial"/>
                <w:sz w:val="22"/>
              </w:rPr>
              <w:t>025-66996699</w:t>
            </w:r>
          </w:p>
          <w:p>
            <w:pPr>
              <w:pStyle w:val="TableParagraph"/>
              <w:spacing w:line="280" w:lineRule="exact"/>
              <w:ind w:left="105" w:right="95"/>
              <w:jc w:val="center"/>
              <w:rPr>
                <w:rFonts w:ascii="Arial" w:eastAsia="Arial"/>
                <w:sz w:val="22"/>
              </w:rPr>
            </w:pPr>
            <w:r>
              <w:rPr>
                <w:spacing w:val="-2"/>
                <w:sz w:val="22"/>
              </w:rPr>
              <w:t>客户服务电话：</w:t>
            </w:r>
            <w:r>
              <w:rPr>
                <w:rFonts w:ascii="Arial" w:eastAsia="Arial"/>
                <w:sz w:val="22"/>
              </w:rPr>
              <w:t>95177</w:t>
            </w:r>
          </w:p>
          <w:p>
            <w:pPr>
              <w:pStyle w:val="TableParagraph"/>
              <w:spacing w:line="277" w:lineRule="exact" w:before="29"/>
              <w:ind w:left="103" w:right="95"/>
              <w:jc w:val="center"/>
              <w:rPr>
                <w:rFonts w:ascii="Arial" w:eastAsia="Arial"/>
                <w:sz w:val="22"/>
              </w:rPr>
            </w:pPr>
            <w:r>
              <w:rPr>
                <w:sz w:val="22"/>
              </w:rPr>
              <w:t>网址： </w:t>
            </w:r>
            <w:hyperlink r:id="rId129">
              <w:r>
                <w:rPr>
                  <w:rFonts w:ascii="Arial" w:eastAsia="Arial"/>
                  <w:sz w:val="22"/>
                </w:rPr>
                <w:t>www.snjijin.com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27"/>
              <w:jc w:val="right"/>
              <w:rPr>
                <w:rFonts w:ascii="Arial"/>
                <w:sz w:val="21"/>
              </w:rPr>
            </w:pPr>
            <w:r>
              <w:rPr>
                <w:rFonts w:ascii="Arial"/>
                <w:sz w:val="21"/>
              </w:rPr>
              <w:t>125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2" w:right="77"/>
              <w:jc w:val="center"/>
              <w:rPr>
                <w:sz w:val="22"/>
              </w:rPr>
            </w:pPr>
            <w:r>
              <w:rPr>
                <w:sz w:val="22"/>
              </w:rPr>
              <w:t>上海大智慧基金销售有限公司</w:t>
            </w:r>
          </w:p>
        </w:tc>
        <w:tc>
          <w:tcPr>
            <w:tcW w:w="3848" w:type="dxa"/>
          </w:tcPr>
          <w:p>
            <w:pPr>
              <w:pStyle w:val="TableParagraph"/>
              <w:spacing w:line="266" w:lineRule="auto" w:before="15"/>
              <w:ind w:left="107" w:right="94" w:hanging="1"/>
              <w:jc w:val="center"/>
              <w:rPr>
                <w:sz w:val="22"/>
              </w:rPr>
            </w:pPr>
            <w:r>
              <w:rPr>
                <w:spacing w:val="-12"/>
                <w:sz w:val="22"/>
              </w:rPr>
              <w:t>注册地址：中国</w:t>
            </w:r>
            <w:r>
              <w:rPr>
                <w:sz w:val="22"/>
              </w:rPr>
              <w:t>（</w:t>
            </w:r>
            <w:r>
              <w:rPr>
                <w:spacing w:val="-2"/>
                <w:sz w:val="22"/>
              </w:rPr>
              <w:t>上海</w:t>
            </w:r>
            <w:r>
              <w:rPr>
                <w:spacing w:val="-39"/>
                <w:sz w:val="22"/>
              </w:rPr>
              <w:t>）</w:t>
            </w:r>
            <w:r>
              <w:rPr>
                <w:spacing w:val="-3"/>
                <w:sz w:val="22"/>
              </w:rPr>
              <w:t>自由贸易试验</w:t>
            </w:r>
            <w:r>
              <w:rPr>
                <w:spacing w:val="-10"/>
                <w:sz w:val="22"/>
              </w:rPr>
              <w:t>区杨高南路 </w:t>
            </w:r>
            <w:r>
              <w:rPr>
                <w:rFonts w:ascii="Arial" w:eastAsia="Arial"/>
                <w:sz w:val="22"/>
              </w:rPr>
              <w:t>428 </w:t>
            </w:r>
            <w:r>
              <w:rPr>
                <w:spacing w:val="-27"/>
                <w:sz w:val="22"/>
              </w:rPr>
              <w:t>号 </w:t>
            </w:r>
            <w:r>
              <w:rPr>
                <w:rFonts w:ascii="Arial" w:eastAsia="Arial"/>
                <w:sz w:val="22"/>
              </w:rPr>
              <w:t>1 </w:t>
            </w:r>
            <w:r>
              <w:rPr>
                <w:spacing w:val="-20"/>
                <w:sz w:val="22"/>
              </w:rPr>
              <w:t>号楼 </w:t>
            </w:r>
            <w:r>
              <w:rPr>
                <w:rFonts w:ascii="Arial" w:eastAsia="Arial"/>
                <w:sz w:val="22"/>
              </w:rPr>
              <w:t>1102</w:t>
            </w:r>
            <w:r>
              <w:rPr>
                <w:spacing w:val="-92"/>
                <w:sz w:val="22"/>
              </w:rPr>
              <w:t>、</w:t>
            </w:r>
            <w:r>
              <w:rPr>
                <w:rFonts w:ascii="Arial" w:eastAsia="Arial"/>
                <w:sz w:val="22"/>
              </w:rPr>
              <w:t>1103 </w:t>
            </w:r>
            <w:r>
              <w:rPr>
                <w:sz w:val="22"/>
              </w:rPr>
              <w:t>单元</w:t>
            </w:r>
          </w:p>
          <w:p>
            <w:pPr>
              <w:pStyle w:val="TableParagraph"/>
              <w:spacing w:line="266" w:lineRule="auto"/>
              <w:ind w:left="1043" w:right="1031"/>
              <w:jc w:val="center"/>
              <w:rPr>
                <w:sz w:val="22"/>
              </w:rPr>
            </w:pPr>
            <w:r>
              <w:rPr>
                <w:sz w:val="22"/>
              </w:rPr>
              <w:t>法定代表人：申健联系人：张蜓</w:t>
            </w:r>
          </w:p>
          <w:p>
            <w:pPr>
              <w:pStyle w:val="TableParagraph"/>
              <w:spacing w:line="266" w:lineRule="auto"/>
              <w:ind w:left="882" w:right="872"/>
              <w:jc w:val="center"/>
              <w:rPr>
                <w:rFonts w:ascii="Arial" w:eastAsia="Arial"/>
                <w:sz w:val="22"/>
              </w:rPr>
            </w:pPr>
            <w:r>
              <w:rPr>
                <w:sz w:val="22"/>
              </w:rPr>
              <w:t>电话：</w:t>
            </w:r>
            <w:r>
              <w:rPr>
                <w:rFonts w:ascii="Arial" w:eastAsia="Arial"/>
                <w:sz w:val="22"/>
              </w:rPr>
              <w:t>021-20219988 </w:t>
            </w:r>
            <w:r>
              <w:rPr>
                <w:sz w:val="22"/>
              </w:rPr>
              <w:t>传真：</w:t>
            </w:r>
            <w:r>
              <w:rPr>
                <w:rFonts w:ascii="Arial" w:eastAsia="Arial"/>
                <w:sz w:val="22"/>
              </w:rPr>
              <w:t>021-20219988</w:t>
            </w:r>
          </w:p>
          <w:p>
            <w:pPr>
              <w:pStyle w:val="TableParagraph"/>
              <w:spacing w:line="280" w:lineRule="exact"/>
              <w:ind w:left="103" w:right="95"/>
              <w:jc w:val="center"/>
              <w:rPr>
                <w:rFonts w:ascii="Arial" w:eastAsia="Arial"/>
                <w:sz w:val="22"/>
              </w:rPr>
            </w:pPr>
            <w:r>
              <w:rPr>
                <w:spacing w:val="-2"/>
                <w:sz w:val="22"/>
              </w:rPr>
              <w:t>客户服务电话：</w:t>
            </w:r>
            <w:r>
              <w:rPr>
                <w:rFonts w:ascii="Arial" w:eastAsia="Arial"/>
                <w:spacing w:val="-1"/>
                <w:sz w:val="22"/>
              </w:rPr>
              <w:t>021-20292031</w:t>
            </w:r>
          </w:p>
          <w:p>
            <w:pPr>
              <w:pStyle w:val="TableParagraph"/>
              <w:spacing w:line="277" w:lineRule="exact" w:before="26"/>
              <w:ind w:left="104" w:right="95"/>
              <w:jc w:val="center"/>
              <w:rPr>
                <w:rFonts w:ascii="Arial" w:eastAsia="Arial"/>
                <w:sz w:val="22"/>
              </w:rPr>
            </w:pPr>
            <w:r>
              <w:rPr>
                <w:spacing w:val="-1"/>
                <w:sz w:val="22"/>
              </w:rPr>
              <w:t>网址：</w:t>
            </w:r>
            <w:r>
              <w:rPr>
                <w:rFonts w:ascii="Arial" w:eastAsia="Arial"/>
                <w:spacing w:val="-1"/>
                <w:sz w:val="22"/>
              </w:rPr>
              <w:t>https.//</w:t>
            </w:r>
            <w:hyperlink r:id="rId130">
              <w:r>
                <w:rPr>
                  <w:rFonts w:ascii="Arial" w:eastAsia="Arial"/>
                  <w:spacing w:val="-1"/>
                  <w:sz w:val="22"/>
                </w:rPr>
                <w:t>www.wg.com.cn</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27"/>
              <w:jc w:val="right"/>
              <w:rPr>
                <w:rFonts w:ascii="Arial"/>
                <w:sz w:val="21"/>
              </w:rPr>
            </w:pPr>
            <w:r>
              <w:rPr>
                <w:rFonts w:ascii="Arial"/>
                <w:sz w:val="21"/>
              </w:rPr>
              <w:t>126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北京广源达信基金销售有限公司</w:t>
            </w:r>
          </w:p>
        </w:tc>
        <w:tc>
          <w:tcPr>
            <w:tcW w:w="3848" w:type="dxa"/>
          </w:tcPr>
          <w:p>
            <w:pPr>
              <w:pStyle w:val="TableParagraph"/>
              <w:spacing w:before="15"/>
              <w:ind w:left="10"/>
              <w:jc w:val="center"/>
              <w:rPr>
                <w:sz w:val="22"/>
              </w:rPr>
            </w:pPr>
            <w:r>
              <w:rPr>
                <w:sz w:val="22"/>
              </w:rPr>
              <w:t>注册地址：北京市西城区新街口外大街</w:t>
            </w:r>
          </w:p>
          <w:p>
            <w:pPr>
              <w:pStyle w:val="TableParagraph"/>
              <w:spacing w:before="30"/>
              <w:ind w:left="103" w:right="95"/>
              <w:jc w:val="center"/>
              <w:rPr>
                <w:sz w:val="22"/>
              </w:rPr>
            </w:pPr>
            <w:r>
              <w:rPr>
                <w:rFonts w:ascii="Arial" w:eastAsia="Arial"/>
                <w:sz w:val="22"/>
              </w:rPr>
              <w:t>28 </w:t>
            </w:r>
            <w:r>
              <w:rPr>
                <w:sz w:val="22"/>
              </w:rPr>
              <w:t>号 </w:t>
            </w:r>
            <w:r>
              <w:rPr>
                <w:rFonts w:ascii="Arial" w:eastAsia="Arial"/>
                <w:sz w:val="22"/>
              </w:rPr>
              <w:t>C </w:t>
            </w:r>
            <w:r>
              <w:rPr>
                <w:sz w:val="22"/>
              </w:rPr>
              <w:t>座六层 </w:t>
            </w:r>
            <w:r>
              <w:rPr>
                <w:rFonts w:ascii="Arial" w:eastAsia="Arial"/>
                <w:sz w:val="22"/>
              </w:rPr>
              <w:t>605 </w:t>
            </w:r>
            <w:r>
              <w:rPr>
                <w:sz w:val="22"/>
              </w:rPr>
              <w:t>室</w:t>
            </w:r>
          </w:p>
          <w:p>
            <w:pPr>
              <w:pStyle w:val="TableParagraph"/>
              <w:spacing w:before="30"/>
              <w:ind w:left="10"/>
              <w:jc w:val="center"/>
              <w:rPr>
                <w:sz w:val="22"/>
              </w:rPr>
            </w:pPr>
            <w:r>
              <w:rPr>
                <w:sz w:val="22"/>
              </w:rPr>
              <w:t>办公地址：北京市朝阳区望京东园四区</w:t>
            </w:r>
          </w:p>
          <w:p>
            <w:pPr>
              <w:pStyle w:val="TableParagraph"/>
              <w:spacing w:line="266" w:lineRule="auto" w:before="30"/>
              <w:ind w:left="587" w:right="576"/>
              <w:jc w:val="center"/>
              <w:rPr>
                <w:sz w:val="22"/>
              </w:rPr>
            </w:pPr>
            <w:r>
              <w:rPr>
                <w:rFonts w:ascii="Arial" w:eastAsia="Arial"/>
                <w:sz w:val="22"/>
              </w:rPr>
              <w:t>13 </w:t>
            </w:r>
            <w:r>
              <w:rPr>
                <w:spacing w:val="-9"/>
                <w:sz w:val="22"/>
              </w:rPr>
              <w:t>号楼浦项中心 </w:t>
            </w:r>
            <w:r>
              <w:rPr>
                <w:rFonts w:ascii="Arial" w:eastAsia="Arial"/>
                <w:sz w:val="22"/>
              </w:rPr>
              <w:t>B </w:t>
            </w:r>
            <w:r>
              <w:rPr>
                <w:spacing w:val="-28"/>
                <w:sz w:val="22"/>
              </w:rPr>
              <w:t>座 </w:t>
            </w:r>
            <w:r>
              <w:rPr>
                <w:rFonts w:ascii="Arial" w:eastAsia="Arial"/>
                <w:sz w:val="22"/>
              </w:rPr>
              <w:t>19 </w:t>
            </w:r>
            <w:r>
              <w:rPr>
                <w:spacing w:val="-14"/>
                <w:sz w:val="22"/>
              </w:rPr>
              <w:t>层</w:t>
            </w:r>
            <w:r>
              <w:rPr>
                <w:spacing w:val="-2"/>
                <w:sz w:val="22"/>
              </w:rPr>
              <w:t>法定代表人：齐剑辉</w:t>
            </w:r>
          </w:p>
          <w:p>
            <w:pPr>
              <w:pStyle w:val="TableParagraph"/>
              <w:spacing w:line="266" w:lineRule="auto"/>
              <w:ind w:left="882" w:right="872" w:firstLine="268"/>
              <w:rPr>
                <w:rFonts w:ascii="Arial" w:eastAsia="Arial"/>
                <w:sz w:val="22"/>
              </w:rPr>
            </w:pPr>
            <w:r>
              <w:rPr>
                <w:spacing w:val="-1"/>
                <w:sz w:val="22"/>
              </w:rPr>
              <w:t>联系人：王英俊 电话：</w:t>
            </w:r>
            <w:r>
              <w:rPr>
                <w:rFonts w:ascii="Arial" w:eastAsia="Arial"/>
                <w:spacing w:val="-1"/>
                <w:sz w:val="22"/>
              </w:rPr>
              <w:t>010-57298634</w:t>
            </w:r>
          </w:p>
          <w:p>
            <w:pPr>
              <w:pStyle w:val="TableParagraph"/>
              <w:spacing w:line="266" w:lineRule="auto"/>
              <w:ind w:left="760" w:right="750"/>
              <w:jc w:val="center"/>
              <w:rPr>
                <w:rFonts w:ascii="Arial" w:eastAsia="Arial"/>
                <w:sz w:val="22"/>
              </w:rPr>
            </w:pPr>
            <w:r>
              <w:rPr>
                <w:spacing w:val="-2"/>
                <w:sz w:val="22"/>
              </w:rPr>
              <w:t>客服电话：</w:t>
            </w:r>
            <w:r>
              <w:rPr>
                <w:rFonts w:ascii="Arial" w:eastAsia="Arial"/>
                <w:spacing w:val="-1"/>
                <w:sz w:val="22"/>
              </w:rPr>
              <w:t>4006236060 </w:t>
            </w:r>
            <w:r>
              <w:rPr>
                <w:sz w:val="22"/>
              </w:rPr>
              <w:t>传真：</w:t>
            </w:r>
            <w:r>
              <w:rPr>
                <w:rFonts w:ascii="Arial" w:eastAsia="Arial"/>
                <w:sz w:val="22"/>
              </w:rPr>
              <w:t>010-82055860</w:t>
            </w:r>
          </w:p>
          <w:p>
            <w:pPr>
              <w:pStyle w:val="TableParagraph"/>
              <w:spacing w:line="275" w:lineRule="exact"/>
              <w:ind w:left="105" w:right="95"/>
              <w:jc w:val="center"/>
              <w:rPr>
                <w:rFonts w:ascii="Arial" w:eastAsia="Arial"/>
                <w:sz w:val="22"/>
              </w:rPr>
            </w:pPr>
            <w:r>
              <w:rPr>
                <w:sz w:val="22"/>
              </w:rPr>
              <w:t>网址：</w:t>
            </w:r>
            <w:hyperlink r:id="rId131">
              <w:r>
                <w:rPr>
                  <w:rFonts w:ascii="Arial" w:eastAsia="Arial"/>
                  <w:sz w:val="22"/>
                </w:rPr>
                <w:t>www.niuniufund.com</w:t>
              </w:r>
            </w:hyperlink>
          </w:p>
        </w:tc>
      </w:tr>
      <w:tr>
        <w:trPr>
          <w:trHeight w:val="249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27"/>
              <w:jc w:val="right"/>
              <w:rPr>
                <w:rFonts w:ascii="Arial"/>
                <w:sz w:val="21"/>
              </w:rPr>
            </w:pPr>
            <w:r>
              <w:rPr>
                <w:rFonts w:ascii="Arial"/>
                <w:sz w:val="21"/>
              </w:rPr>
              <w:t>127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2" w:right="77"/>
              <w:jc w:val="center"/>
              <w:rPr>
                <w:sz w:val="22"/>
              </w:rPr>
            </w:pPr>
            <w:r>
              <w:rPr>
                <w:sz w:val="22"/>
              </w:rPr>
              <w:t>上海中正达广基金销售有限公司</w:t>
            </w:r>
          </w:p>
        </w:tc>
        <w:tc>
          <w:tcPr>
            <w:tcW w:w="3848" w:type="dxa"/>
          </w:tcPr>
          <w:p>
            <w:pPr>
              <w:pStyle w:val="TableParagraph"/>
              <w:spacing w:line="266" w:lineRule="auto" w:before="17"/>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地址：上海市徐汇区龙腾</w:t>
            </w:r>
            <w:r>
              <w:rPr>
                <w:spacing w:val="-19"/>
                <w:sz w:val="22"/>
              </w:rPr>
              <w:t>大道 </w:t>
            </w:r>
            <w:r>
              <w:rPr>
                <w:rFonts w:ascii="Arial" w:eastAsia="Arial"/>
                <w:sz w:val="22"/>
              </w:rPr>
              <w:t>2815 </w:t>
            </w:r>
            <w:r>
              <w:rPr>
                <w:spacing w:val="-28"/>
                <w:sz w:val="22"/>
              </w:rPr>
              <w:t>号 </w:t>
            </w:r>
            <w:r>
              <w:rPr>
                <w:rFonts w:ascii="Arial" w:eastAsia="Arial"/>
                <w:sz w:val="22"/>
              </w:rPr>
              <w:t>302 </w:t>
            </w:r>
            <w:r>
              <w:rPr>
                <w:sz w:val="22"/>
              </w:rPr>
              <w:t>室</w:t>
            </w:r>
          </w:p>
          <w:p>
            <w:pPr>
              <w:pStyle w:val="TableParagraph"/>
              <w:spacing w:line="266" w:lineRule="auto"/>
              <w:ind w:left="1040" w:right="1033"/>
              <w:jc w:val="center"/>
              <w:rPr>
                <w:sz w:val="22"/>
              </w:rPr>
            </w:pPr>
            <w:r>
              <w:rPr>
                <w:sz w:val="22"/>
              </w:rPr>
              <w:t>法定代表人：黄欣联系人：戴珉微</w:t>
            </w:r>
          </w:p>
          <w:p>
            <w:pPr>
              <w:pStyle w:val="TableParagraph"/>
              <w:spacing w:line="266" w:lineRule="auto"/>
              <w:ind w:left="661" w:right="653" w:firstLine="220"/>
              <w:rPr>
                <w:rFonts w:ascii="Arial" w:eastAsia="Arial"/>
                <w:sz w:val="22"/>
              </w:rPr>
            </w:pPr>
            <w:r>
              <w:rPr>
                <w:sz w:val="22"/>
              </w:rPr>
              <w:t>电话：</w:t>
            </w:r>
            <w:r>
              <w:rPr>
                <w:rFonts w:ascii="Arial" w:eastAsia="Arial"/>
                <w:sz w:val="22"/>
              </w:rPr>
              <w:t>021-33768132 </w:t>
            </w:r>
            <w:r>
              <w:rPr>
                <w:spacing w:val="-1"/>
                <w:sz w:val="22"/>
              </w:rPr>
              <w:t>传真：</w:t>
            </w:r>
            <w:r>
              <w:rPr>
                <w:rFonts w:ascii="Arial" w:eastAsia="Arial"/>
                <w:spacing w:val="-1"/>
                <w:sz w:val="22"/>
              </w:rPr>
              <w:t>021-33768132-802</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400-6767-523</w:t>
            </w:r>
          </w:p>
          <w:p>
            <w:pPr>
              <w:pStyle w:val="TableParagraph"/>
              <w:spacing w:line="277" w:lineRule="exact" w:before="27"/>
              <w:ind w:left="101" w:right="95"/>
              <w:jc w:val="center"/>
              <w:rPr>
                <w:rFonts w:ascii="Arial" w:eastAsia="Arial"/>
                <w:sz w:val="22"/>
              </w:rPr>
            </w:pPr>
            <w:r>
              <w:rPr>
                <w:sz w:val="22"/>
              </w:rPr>
              <w:t>网址：</w:t>
            </w:r>
            <w:hyperlink r:id="rId132">
              <w:r>
                <w:rPr>
                  <w:rFonts w:ascii="Arial" w:eastAsia="Arial"/>
                  <w:sz w:val="22"/>
                </w:rPr>
                <w:t>www.zhongzhengfund.com</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128</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海银基金销售有限公司</w:t>
            </w:r>
          </w:p>
        </w:tc>
        <w:tc>
          <w:tcPr>
            <w:tcW w:w="3848" w:type="dxa"/>
            <w:tcBorders>
              <w:top w:val="nil"/>
            </w:tcBorders>
          </w:tcPr>
          <w:p>
            <w:pPr>
              <w:pStyle w:val="TableParagraph"/>
              <w:spacing w:line="266" w:lineRule="auto" w:before="15"/>
              <w:ind w:left="107" w:right="95"/>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0"/>
                <w:sz w:val="22"/>
              </w:rPr>
              <w:t>区银城中路 </w:t>
            </w:r>
            <w:r>
              <w:rPr>
                <w:rFonts w:ascii="Arial" w:eastAsia="Arial"/>
                <w:sz w:val="22"/>
              </w:rPr>
              <w:t>8 </w:t>
            </w:r>
            <w:r>
              <w:rPr>
                <w:spacing w:val="-28"/>
                <w:sz w:val="22"/>
              </w:rPr>
              <w:t>号 </w:t>
            </w:r>
            <w:r>
              <w:rPr>
                <w:rFonts w:ascii="Arial" w:eastAsia="Arial"/>
                <w:sz w:val="22"/>
              </w:rPr>
              <w:t>402 </w:t>
            </w:r>
            <w:r>
              <w:rPr>
                <w:sz w:val="22"/>
              </w:rPr>
              <w:t>室</w:t>
            </w:r>
          </w:p>
          <w:p>
            <w:pPr>
              <w:pStyle w:val="TableParagraph"/>
              <w:spacing w:line="280" w:lineRule="exact"/>
              <w:ind w:left="11"/>
              <w:jc w:val="center"/>
              <w:rPr>
                <w:rFonts w:ascii="Arial" w:eastAsia="Arial"/>
                <w:sz w:val="22"/>
              </w:rPr>
            </w:pPr>
            <w:r>
              <w:rPr>
                <w:sz w:val="22"/>
              </w:rPr>
              <w:t>办公地址：上海市浦东新区银城中路 </w:t>
            </w:r>
            <w:r>
              <w:rPr>
                <w:rFonts w:ascii="Arial" w:eastAsia="Arial"/>
                <w:sz w:val="22"/>
              </w:rPr>
              <w:t>8</w:t>
            </w:r>
          </w:p>
          <w:p>
            <w:pPr>
              <w:pStyle w:val="TableParagraph"/>
              <w:spacing w:before="30"/>
              <w:ind w:left="102" w:right="95"/>
              <w:jc w:val="center"/>
              <w:rPr>
                <w:sz w:val="22"/>
              </w:rPr>
            </w:pPr>
            <w:r>
              <w:rPr>
                <w:sz w:val="22"/>
              </w:rPr>
              <w:t>号 </w:t>
            </w:r>
            <w:r>
              <w:rPr>
                <w:rFonts w:ascii="Arial" w:eastAsia="Arial"/>
                <w:sz w:val="22"/>
              </w:rPr>
              <w:t>4 </w:t>
            </w:r>
            <w:r>
              <w:rPr>
                <w:sz w:val="22"/>
              </w:rPr>
              <w:t>楼</w:t>
            </w:r>
          </w:p>
          <w:p>
            <w:pPr>
              <w:pStyle w:val="TableParagraph"/>
              <w:spacing w:line="266" w:lineRule="auto" w:before="31"/>
              <w:ind w:left="1040" w:right="1033"/>
              <w:jc w:val="center"/>
              <w:rPr>
                <w:sz w:val="22"/>
              </w:rPr>
            </w:pPr>
            <w:r>
              <w:rPr>
                <w:sz w:val="22"/>
              </w:rPr>
              <w:t>法定代表人：刘惠联系人：毛林</w:t>
            </w:r>
          </w:p>
          <w:p>
            <w:pPr>
              <w:pStyle w:val="TableParagraph"/>
              <w:spacing w:line="266" w:lineRule="auto"/>
              <w:ind w:left="882" w:right="872"/>
              <w:jc w:val="center"/>
              <w:rPr>
                <w:rFonts w:ascii="Arial" w:eastAsia="Arial"/>
                <w:sz w:val="22"/>
              </w:rPr>
            </w:pPr>
            <w:r>
              <w:rPr>
                <w:sz w:val="22"/>
              </w:rPr>
              <w:t>电话：</w:t>
            </w:r>
            <w:r>
              <w:rPr>
                <w:rFonts w:ascii="Arial" w:eastAsia="Arial"/>
                <w:sz w:val="22"/>
              </w:rPr>
              <w:t>021-80133597 </w:t>
            </w:r>
            <w:r>
              <w:rPr>
                <w:sz w:val="22"/>
              </w:rPr>
              <w:t>传真：</w:t>
            </w:r>
            <w:r>
              <w:rPr>
                <w:rFonts w:ascii="Arial" w:eastAsia="Arial"/>
                <w:sz w:val="22"/>
              </w:rPr>
              <w:t>021-80133413</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400-808-1016</w:t>
            </w:r>
          </w:p>
          <w:p>
            <w:pPr>
              <w:pStyle w:val="TableParagraph"/>
              <w:spacing w:line="277" w:lineRule="exact" w:before="28"/>
              <w:ind w:left="103" w:right="95"/>
              <w:jc w:val="center"/>
              <w:rPr>
                <w:rFonts w:ascii="Arial" w:eastAsia="Arial"/>
                <w:sz w:val="22"/>
              </w:rPr>
            </w:pPr>
            <w:r>
              <w:rPr>
                <w:sz w:val="22"/>
              </w:rPr>
              <w:t>网址：</w:t>
            </w:r>
            <w:hyperlink r:id="rId133">
              <w:r>
                <w:rPr>
                  <w:rFonts w:ascii="Arial" w:eastAsia="Arial"/>
                  <w:sz w:val="22"/>
                </w:rPr>
                <w:t>www.fundhaiyin.com</w:t>
              </w:r>
            </w:hyperlink>
          </w:p>
        </w:tc>
      </w:tr>
      <w:tr>
        <w:trPr>
          <w:trHeight w:val="374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right="127"/>
              <w:jc w:val="right"/>
              <w:rPr>
                <w:rFonts w:ascii="Arial"/>
                <w:sz w:val="21"/>
              </w:rPr>
            </w:pPr>
            <w:r>
              <w:rPr>
                <w:rFonts w:ascii="Arial"/>
                <w:sz w:val="21"/>
              </w:rPr>
              <w:t>129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2" w:right="77"/>
              <w:jc w:val="center"/>
              <w:rPr>
                <w:sz w:val="22"/>
              </w:rPr>
            </w:pPr>
            <w:r>
              <w:rPr>
                <w:sz w:val="22"/>
              </w:rPr>
              <w:t>深圳前海微众银行股份有限公司</w:t>
            </w:r>
          </w:p>
        </w:tc>
        <w:tc>
          <w:tcPr>
            <w:tcW w:w="3848" w:type="dxa"/>
          </w:tcPr>
          <w:p>
            <w:pPr>
              <w:pStyle w:val="TableParagraph"/>
              <w:spacing w:line="266" w:lineRule="auto" w:before="15"/>
              <w:ind w:left="107" w:right="95"/>
              <w:jc w:val="center"/>
              <w:rPr>
                <w:sz w:val="22"/>
              </w:rPr>
            </w:pPr>
            <w:r>
              <w:rPr>
                <w:spacing w:val="-13"/>
                <w:sz w:val="22"/>
              </w:rPr>
              <w:t>注册地址：深圳市前海深港合作区前湾</w:t>
            </w:r>
            <w:r>
              <w:rPr>
                <w:spacing w:val="-19"/>
                <w:sz w:val="22"/>
              </w:rPr>
              <w:t>一路 </w:t>
            </w:r>
            <w:r>
              <w:rPr>
                <w:rFonts w:ascii="Arial" w:eastAsia="Arial"/>
                <w:sz w:val="22"/>
              </w:rPr>
              <w:t>1 </w:t>
            </w:r>
            <w:r>
              <w:rPr>
                <w:sz w:val="22"/>
              </w:rPr>
              <w:t>号 </w:t>
            </w:r>
            <w:r>
              <w:rPr>
                <w:rFonts w:ascii="Arial" w:eastAsia="Arial"/>
                <w:sz w:val="22"/>
              </w:rPr>
              <w:t>A </w:t>
            </w:r>
            <w:r>
              <w:rPr>
                <w:sz w:val="22"/>
              </w:rPr>
              <w:t>栋 </w:t>
            </w:r>
            <w:r>
              <w:rPr>
                <w:rFonts w:ascii="Arial" w:eastAsia="Arial"/>
                <w:sz w:val="22"/>
              </w:rPr>
              <w:t>201</w:t>
            </w:r>
            <w:r>
              <w:rPr>
                <w:sz w:val="22"/>
              </w:rPr>
              <w:t>（</w:t>
            </w:r>
            <w:r>
              <w:rPr>
                <w:spacing w:val="-3"/>
                <w:sz w:val="22"/>
              </w:rPr>
              <w:t>入驻深圳市前海商务秘书有限公司</w:t>
            </w:r>
            <w:r>
              <w:rPr>
                <w:sz w:val="22"/>
              </w:rPr>
              <w:t>）</w:t>
            </w:r>
          </w:p>
          <w:p>
            <w:pPr>
              <w:pStyle w:val="TableParagraph"/>
              <w:spacing w:line="266" w:lineRule="auto"/>
              <w:ind w:left="164" w:right="95" w:firstLine="494"/>
              <w:rPr>
                <w:sz w:val="22"/>
              </w:rPr>
            </w:pPr>
            <w:r>
              <w:rPr>
                <w:spacing w:val="-4"/>
                <w:sz w:val="22"/>
              </w:rPr>
              <w:t>办公地址：广东省深圳市南山区</w:t>
            </w:r>
            <w:r>
              <w:rPr>
                <w:spacing w:val="-11"/>
                <w:sz w:val="22"/>
              </w:rPr>
              <w:t>沙河西路 </w:t>
            </w:r>
            <w:r>
              <w:rPr>
                <w:rFonts w:ascii="Arial" w:eastAsia="Arial"/>
                <w:sz w:val="22"/>
              </w:rPr>
              <w:t>1819 </w:t>
            </w:r>
            <w:r>
              <w:rPr>
                <w:spacing w:val="-3"/>
                <w:sz w:val="22"/>
              </w:rPr>
              <w:t>号深圳湾科技生态园</w:t>
            </w:r>
          </w:p>
          <w:p>
            <w:pPr>
              <w:pStyle w:val="TableParagraph"/>
              <w:spacing w:line="280" w:lineRule="exact"/>
              <w:ind w:left="105" w:right="95"/>
              <w:jc w:val="center"/>
              <w:rPr>
                <w:sz w:val="22"/>
              </w:rPr>
            </w:pPr>
            <w:r>
              <w:rPr>
                <w:rFonts w:ascii="Arial" w:eastAsia="Arial"/>
                <w:sz w:val="22"/>
              </w:rPr>
              <w:t>7  </w:t>
            </w:r>
            <w:r>
              <w:rPr>
                <w:sz w:val="22"/>
              </w:rPr>
              <w:t>栋 </w:t>
            </w:r>
            <w:r>
              <w:rPr>
                <w:rFonts w:ascii="Arial" w:eastAsia="Arial"/>
                <w:sz w:val="22"/>
              </w:rPr>
              <w:t>A </w:t>
            </w:r>
            <w:r>
              <w:rPr>
                <w:sz w:val="22"/>
              </w:rPr>
              <w:t>座</w:t>
            </w:r>
          </w:p>
          <w:p>
            <w:pPr>
              <w:pStyle w:val="TableParagraph"/>
              <w:spacing w:line="266" w:lineRule="auto" w:before="28"/>
              <w:ind w:left="1319" w:right="755"/>
              <w:jc w:val="center"/>
              <w:rPr>
                <w:sz w:val="22"/>
              </w:rPr>
            </w:pPr>
            <w:r>
              <w:rPr>
                <w:sz w:val="22"/>
              </w:rPr>
              <w:t>法定代表人：顾敏联系人：赵云</w:t>
            </w:r>
          </w:p>
          <w:p>
            <w:pPr>
              <w:pStyle w:val="TableParagraph"/>
              <w:spacing w:line="266" w:lineRule="auto"/>
              <w:ind w:left="1098" w:right="536"/>
              <w:jc w:val="center"/>
              <w:rPr>
                <w:rFonts w:ascii="Arial" w:eastAsia="Arial"/>
                <w:sz w:val="22"/>
              </w:rPr>
            </w:pPr>
            <w:r>
              <w:rPr>
                <w:spacing w:val="-3"/>
                <w:sz w:val="22"/>
              </w:rPr>
              <w:t>电话：</w:t>
            </w:r>
            <w:r>
              <w:rPr>
                <w:rFonts w:ascii="Arial" w:eastAsia="Arial"/>
                <w:spacing w:val="-1"/>
                <w:sz w:val="22"/>
              </w:rPr>
              <w:t>0755-84007736 </w:t>
            </w:r>
            <w:r>
              <w:rPr>
                <w:spacing w:val="-3"/>
                <w:sz w:val="22"/>
              </w:rPr>
              <w:t>传真：</w:t>
            </w:r>
            <w:r>
              <w:rPr>
                <w:rFonts w:ascii="Arial" w:eastAsia="Arial"/>
                <w:spacing w:val="-2"/>
                <w:sz w:val="22"/>
              </w:rPr>
              <w:t>0755-86700688</w:t>
            </w:r>
          </w:p>
          <w:p>
            <w:pPr>
              <w:pStyle w:val="TableParagraph"/>
              <w:spacing w:line="280" w:lineRule="exact"/>
              <w:ind w:left="653" w:right="95"/>
              <w:jc w:val="center"/>
              <w:rPr>
                <w:rFonts w:ascii="Arial" w:eastAsia="Arial"/>
                <w:sz w:val="22"/>
              </w:rPr>
            </w:pPr>
            <w:r>
              <w:rPr>
                <w:spacing w:val="-3"/>
                <w:sz w:val="22"/>
              </w:rPr>
              <w:t>客户服务电话：</w:t>
            </w:r>
            <w:r>
              <w:rPr>
                <w:rFonts w:ascii="Arial" w:eastAsia="Arial"/>
                <w:spacing w:val="-1"/>
                <w:sz w:val="22"/>
              </w:rPr>
              <w:t>95384</w:t>
            </w:r>
          </w:p>
          <w:p>
            <w:pPr>
              <w:pStyle w:val="TableParagraph"/>
              <w:spacing w:line="277" w:lineRule="exact" w:before="29"/>
              <w:ind w:left="638" w:right="81"/>
              <w:jc w:val="center"/>
              <w:rPr>
                <w:rFonts w:ascii="Arial" w:eastAsia="Arial"/>
                <w:sz w:val="22"/>
              </w:rPr>
            </w:pPr>
            <w:r>
              <w:rPr>
                <w:sz w:val="22"/>
              </w:rPr>
              <w:t>网址：</w:t>
            </w:r>
            <w:hyperlink r:id="rId134">
              <w:r>
                <w:rPr>
                  <w:rFonts w:ascii="Arial" w:eastAsia="Arial"/>
                  <w:sz w:val="22"/>
                </w:rPr>
                <w:t>http://www.webank.com/</w:t>
              </w:r>
            </w:hyperlink>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27"/>
              <w:jc w:val="right"/>
              <w:rPr>
                <w:rFonts w:ascii="Arial"/>
                <w:sz w:val="21"/>
              </w:rPr>
            </w:pPr>
            <w:r>
              <w:rPr>
                <w:rFonts w:ascii="Arial"/>
                <w:sz w:val="21"/>
              </w:rPr>
              <w:t>130</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77" w:right="77"/>
              <w:jc w:val="center"/>
              <w:rPr>
                <w:sz w:val="22"/>
              </w:rPr>
            </w:pPr>
            <w:r>
              <w:rPr>
                <w:sz w:val="22"/>
              </w:rPr>
              <w:t>上海万得基金销售有限公司</w:t>
            </w:r>
          </w:p>
        </w:tc>
        <w:tc>
          <w:tcPr>
            <w:tcW w:w="3848" w:type="dxa"/>
          </w:tcPr>
          <w:p>
            <w:pPr>
              <w:pStyle w:val="TableParagraph"/>
              <w:spacing w:line="266" w:lineRule="auto" w:before="15"/>
              <w:ind w:left="107" w:right="95"/>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1"/>
                <w:sz w:val="22"/>
              </w:rPr>
              <w:t>区福山路 </w:t>
            </w:r>
            <w:r>
              <w:rPr>
                <w:rFonts w:ascii="Arial" w:eastAsia="Arial"/>
                <w:sz w:val="22"/>
              </w:rPr>
              <w:t>33 </w:t>
            </w:r>
            <w:r>
              <w:rPr>
                <w:spacing w:val="-27"/>
                <w:sz w:val="22"/>
              </w:rPr>
              <w:t>号 </w:t>
            </w:r>
            <w:r>
              <w:rPr>
                <w:rFonts w:ascii="Arial" w:eastAsia="Arial"/>
                <w:sz w:val="22"/>
              </w:rPr>
              <w:t>11 </w:t>
            </w:r>
            <w:r>
              <w:rPr>
                <w:spacing w:val="-28"/>
                <w:sz w:val="22"/>
              </w:rPr>
              <w:t>楼 </w:t>
            </w:r>
            <w:r>
              <w:rPr>
                <w:rFonts w:ascii="Arial" w:eastAsia="Arial"/>
                <w:sz w:val="22"/>
              </w:rPr>
              <w:t>B </w:t>
            </w:r>
            <w:r>
              <w:rPr>
                <w:sz w:val="22"/>
              </w:rPr>
              <w:t>座</w:t>
            </w:r>
          </w:p>
          <w:p>
            <w:pPr>
              <w:pStyle w:val="TableParagraph"/>
              <w:spacing w:line="280" w:lineRule="exact"/>
              <w:ind w:left="8"/>
              <w:jc w:val="center"/>
              <w:rPr>
                <w:rFonts w:ascii="Arial" w:eastAsia="Arial"/>
                <w:sz w:val="22"/>
              </w:rPr>
            </w:pPr>
            <w:r>
              <w:rPr>
                <w:sz w:val="22"/>
              </w:rPr>
              <w:t>办公地址：上海市浦东新区福山路 </w:t>
            </w:r>
            <w:r>
              <w:rPr>
                <w:rFonts w:ascii="Arial" w:eastAsia="Arial"/>
                <w:sz w:val="22"/>
              </w:rPr>
              <w:t>33</w:t>
            </w:r>
          </w:p>
          <w:p>
            <w:pPr>
              <w:pStyle w:val="TableParagraph"/>
              <w:spacing w:before="30"/>
              <w:ind w:left="102" w:right="95"/>
              <w:jc w:val="center"/>
              <w:rPr>
                <w:sz w:val="22"/>
              </w:rPr>
            </w:pPr>
            <w:r>
              <w:rPr>
                <w:sz w:val="22"/>
              </w:rPr>
              <w:t>号 </w:t>
            </w:r>
            <w:r>
              <w:rPr>
                <w:rFonts w:ascii="Arial" w:eastAsia="Arial"/>
                <w:sz w:val="22"/>
              </w:rPr>
              <w:t>8 </w:t>
            </w:r>
            <w:r>
              <w:rPr>
                <w:sz w:val="22"/>
              </w:rPr>
              <w:t>楼</w:t>
            </w:r>
          </w:p>
          <w:p>
            <w:pPr>
              <w:pStyle w:val="TableParagraph"/>
              <w:spacing w:line="266" w:lineRule="auto" w:before="30"/>
              <w:ind w:left="932" w:right="920"/>
              <w:jc w:val="center"/>
              <w:rPr>
                <w:sz w:val="22"/>
              </w:rPr>
            </w:pPr>
            <w:r>
              <w:rPr>
                <w:sz w:val="22"/>
              </w:rPr>
              <w:t>法定代表人：王廷富联系人：姜吉灵</w:t>
            </w:r>
          </w:p>
          <w:p>
            <w:pPr>
              <w:pStyle w:val="TableParagraph"/>
              <w:spacing w:line="280" w:lineRule="exact"/>
              <w:ind w:left="103" w:right="95"/>
              <w:jc w:val="center"/>
              <w:rPr>
                <w:rFonts w:ascii="Arial" w:eastAsia="Arial"/>
                <w:sz w:val="22"/>
              </w:rPr>
            </w:pPr>
            <w:r>
              <w:rPr>
                <w:sz w:val="22"/>
              </w:rPr>
              <w:t>电话：</w:t>
            </w:r>
            <w:r>
              <w:rPr>
                <w:rFonts w:ascii="Arial" w:eastAsia="Arial"/>
                <w:sz w:val="22"/>
              </w:rPr>
              <w:t>021-5132 7185</w:t>
            </w:r>
          </w:p>
          <w:p>
            <w:pPr>
              <w:pStyle w:val="TableParagraph"/>
              <w:spacing w:before="30"/>
              <w:ind w:left="103" w:right="95"/>
              <w:jc w:val="center"/>
              <w:rPr>
                <w:rFonts w:ascii="Arial" w:eastAsia="Arial"/>
                <w:sz w:val="22"/>
              </w:rPr>
            </w:pPr>
            <w:r>
              <w:rPr>
                <w:sz w:val="22"/>
              </w:rPr>
              <w:t>传真：</w:t>
            </w:r>
            <w:r>
              <w:rPr>
                <w:rFonts w:ascii="Arial" w:eastAsia="Arial"/>
                <w:sz w:val="22"/>
              </w:rPr>
              <w:t>021-5071 0161</w:t>
            </w:r>
          </w:p>
          <w:p>
            <w:pPr>
              <w:pStyle w:val="TableParagraph"/>
              <w:spacing w:line="277" w:lineRule="exact" w:before="30"/>
              <w:ind w:left="103" w:right="95"/>
              <w:jc w:val="center"/>
              <w:rPr>
                <w:rFonts w:ascii="Arial" w:eastAsia="Arial"/>
                <w:sz w:val="22"/>
              </w:rPr>
            </w:pPr>
            <w:r>
              <w:rPr>
                <w:sz w:val="22"/>
              </w:rPr>
              <w:t>客户服务电话：</w:t>
            </w:r>
            <w:r>
              <w:rPr>
                <w:rFonts w:ascii="Arial" w:eastAsia="Arial"/>
                <w:sz w:val="22"/>
              </w:rPr>
              <w:t>400-821-0203</w:t>
            </w:r>
          </w:p>
        </w:tc>
      </w:tr>
      <w:tr>
        <w:trPr>
          <w:trHeight w:val="343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27"/>
              <w:jc w:val="right"/>
              <w:rPr>
                <w:rFonts w:ascii="Arial"/>
                <w:sz w:val="21"/>
              </w:rPr>
            </w:pPr>
            <w:r>
              <w:rPr>
                <w:rFonts w:ascii="Arial"/>
                <w:sz w:val="21"/>
              </w:rPr>
              <w:t>131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2" w:right="77"/>
              <w:jc w:val="center"/>
              <w:rPr>
                <w:sz w:val="22"/>
              </w:rPr>
            </w:pPr>
            <w:r>
              <w:rPr>
                <w:sz w:val="22"/>
              </w:rPr>
              <w:t>深圳前海凯恩斯基金销售有限公司</w:t>
            </w:r>
          </w:p>
        </w:tc>
        <w:tc>
          <w:tcPr>
            <w:tcW w:w="3848" w:type="dxa"/>
          </w:tcPr>
          <w:p>
            <w:pPr>
              <w:pStyle w:val="TableParagraph"/>
              <w:spacing w:line="266" w:lineRule="auto" w:before="15"/>
              <w:ind w:left="107" w:right="95"/>
              <w:jc w:val="center"/>
              <w:rPr>
                <w:sz w:val="22"/>
              </w:rPr>
            </w:pPr>
            <w:r>
              <w:rPr>
                <w:spacing w:val="-13"/>
                <w:sz w:val="22"/>
              </w:rPr>
              <w:t>注册地址：深圳市前海深港合作区前湾</w:t>
            </w:r>
            <w:r>
              <w:rPr>
                <w:spacing w:val="-18"/>
                <w:sz w:val="22"/>
              </w:rPr>
              <w:t>一路 </w:t>
            </w:r>
            <w:r>
              <w:rPr>
                <w:rFonts w:ascii="Arial" w:eastAsia="Arial"/>
                <w:sz w:val="22"/>
              </w:rPr>
              <w:t>1 </w:t>
            </w:r>
            <w:r>
              <w:rPr>
                <w:spacing w:val="-27"/>
                <w:sz w:val="22"/>
              </w:rPr>
              <w:t>号 </w:t>
            </w:r>
            <w:r>
              <w:rPr>
                <w:rFonts w:ascii="Arial" w:eastAsia="Arial"/>
                <w:sz w:val="22"/>
              </w:rPr>
              <w:t>A </w:t>
            </w:r>
            <w:r>
              <w:rPr>
                <w:spacing w:val="-27"/>
                <w:sz w:val="22"/>
              </w:rPr>
              <w:t>栋 </w:t>
            </w:r>
            <w:r>
              <w:rPr>
                <w:rFonts w:ascii="Arial" w:eastAsia="Arial"/>
                <w:sz w:val="22"/>
              </w:rPr>
              <w:t>201 </w:t>
            </w:r>
            <w:r>
              <w:rPr>
                <w:sz w:val="22"/>
              </w:rPr>
              <w:t>室</w:t>
            </w:r>
            <w:r>
              <w:rPr>
                <w:spacing w:val="-3"/>
                <w:sz w:val="22"/>
              </w:rPr>
              <w:t>（</w:t>
            </w:r>
            <w:r>
              <w:rPr>
                <w:spacing w:val="-1"/>
                <w:sz w:val="22"/>
              </w:rPr>
              <w:t>入驻深圳市前</w:t>
            </w:r>
            <w:r>
              <w:rPr>
                <w:spacing w:val="-3"/>
                <w:sz w:val="22"/>
              </w:rPr>
              <w:t>海商务秘书有限公司</w:t>
            </w:r>
            <w:r>
              <w:rPr>
                <w:sz w:val="22"/>
              </w:rPr>
              <w:t>）</w:t>
            </w:r>
          </w:p>
          <w:p>
            <w:pPr>
              <w:pStyle w:val="TableParagraph"/>
              <w:spacing w:line="280" w:lineRule="exact"/>
              <w:ind w:left="105" w:right="95"/>
              <w:jc w:val="center"/>
              <w:rPr>
                <w:sz w:val="22"/>
              </w:rPr>
            </w:pPr>
            <w:r>
              <w:rPr>
                <w:sz w:val="22"/>
              </w:rPr>
              <w:t>办公地址：深圳市福田区深南大道</w:t>
            </w:r>
          </w:p>
          <w:p>
            <w:pPr>
              <w:pStyle w:val="TableParagraph"/>
              <w:spacing w:line="266" w:lineRule="auto" w:before="30"/>
              <w:ind w:left="1043" w:right="864" w:hanging="166"/>
              <w:rPr>
                <w:sz w:val="22"/>
              </w:rPr>
            </w:pPr>
            <w:r>
              <w:rPr>
                <w:rFonts w:ascii="Arial" w:eastAsia="Arial"/>
                <w:sz w:val="22"/>
              </w:rPr>
              <w:t>6019 </w:t>
            </w:r>
            <w:r>
              <w:rPr>
                <w:spacing w:val="-10"/>
                <w:sz w:val="22"/>
              </w:rPr>
              <w:t>号金润大厦 </w:t>
            </w:r>
            <w:r>
              <w:rPr>
                <w:rFonts w:ascii="Arial" w:eastAsia="Arial"/>
                <w:spacing w:val="-5"/>
                <w:sz w:val="22"/>
              </w:rPr>
              <w:t>23A </w:t>
            </w:r>
            <w:r>
              <w:rPr>
                <w:spacing w:val="-2"/>
                <w:sz w:val="22"/>
              </w:rPr>
              <w:t>法定代表人：高锋</w:t>
            </w:r>
            <w:r>
              <w:rPr>
                <w:spacing w:val="-3"/>
                <w:sz w:val="22"/>
              </w:rPr>
              <w:t>联系人：廖苑兰</w:t>
            </w:r>
          </w:p>
          <w:p>
            <w:pPr>
              <w:pStyle w:val="TableParagraph"/>
              <w:spacing w:line="266" w:lineRule="auto"/>
              <w:ind w:left="822" w:right="810"/>
              <w:jc w:val="center"/>
              <w:rPr>
                <w:rFonts w:ascii="Arial" w:eastAsia="Arial"/>
                <w:sz w:val="22"/>
              </w:rPr>
            </w:pPr>
            <w:r>
              <w:rPr>
                <w:sz w:val="22"/>
              </w:rPr>
              <w:t>电话：</w:t>
            </w:r>
            <w:r>
              <w:rPr>
                <w:rFonts w:ascii="Arial" w:eastAsia="Arial"/>
                <w:sz w:val="22"/>
              </w:rPr>
              <w:t>0755-83655588 </w:t>
            </w:r>
            <w:r>
              <w:rPr>
                <w:sz w:val="22"/>
              </w:rPr>
              <w:t>传真：</w:t>
            </w:r>
            <w:r>
              <w:rPr>
                <w:rFonts w:ascii="Arial" w:eastAsia="Arial"/>
                <w:sz w:val="22"/>
              </w:rPr>
              <w:t>0755-83655518</w:t>
            </w:r>
          </w:p>
          <w:p>
            <w:pPr>
              <w:pStyle w:val="TableParagraph"/>
              <w:spacing w:line="280" w:lineRule="exact"/>
              <w:ind w:left="100" w:right="95"/>
              <w:jc w:val="center"/>
              <w:rPr>
                <w:rFonts w:ascii="Arial" w:eastAsia="Arial"/>
                <w:sz w:val="22"/>
              </w:rPr>
            </w:pPr>
            <w:r>
              <w:rPr>
                <w:sz w:val="22"/>
              </w:rPr>
              <w:t>客户服务电话：</w:t>
            </w:r>
            <w:r>
              <w:rPr>
                <w:rFonts w:ascii="Arial" w:eastAsia="Arial"/>
                <w:sz w:val="22"/>
              </w:rPr>
              <w:t>4008048688</w:t>
            </w:r>
          </w:p>
          <w:p>
            <w:pPr>
              <w:pStyle w:val="TableParagraph"/>
              <w:spacing w:line="279" w:lineRule="exact" w:before="27"/>
              <w:ind w:left="101" w:right="95"/>
              <w:jc w:val="center"/>
              <w:rPr>
                <w:rFonts w:ascii="Arial" w:eastAsia="Arial"/>
                <w:sz w:val="22"/>
              </w:rPr>
            </w:pPr>
            <w:r>
              <w:rPr>
                <w:sz w:val="22"/>
              </w:rPr>
              <w:t>网址：</w:t>
            </w:r>
            <w:hyperlink r:id="rId135">
              <w:r>
                <w:rPr>
                  <w:rFonts w:ascii="Arial" w:eastAsia="Arial"/>
                  <w:sz w:val="22"/>
                </w:rPr>
                <w:t>www.keynesasset.com</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432"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27"/>
              <w:jc w:val="right"/>
              <w:rPr>
                <w:rFonts w:ascii="Arial"/>
                <w:sz w:val="21"/>
              </w:rPr>
            </w:pPr>
            <w:r>
              <w:rPr>
                <w:rFonts w:ascii="Arial"/>
                <w:sz w:val="21"/>
              </w:rPr>
              <w:t>132</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79" w:right="77"/>
              <w:jc w:val="center"/>
              <w:rPr>
                <w:sz w:val="22"/>
              </w:rPr>
            </w:pPr>
            <w:r>
              <w:rPr>
                <w:sz w:val="22"/>
              </w:rPr>
              <w:t>中民财富基金销售（上海）有限公司</w:t>
            </w:r>
          </w:p>
        </w:tc>
        <w:tc>
          <w:tcPr>
            <w:tcW w:w="3848" w:type="dxa"/>
            <w:tcBorders>
              <w:top w:val="nil"/>
            </w:tcBorders>
          </w:tcPr>
          <w:p>
            <w:pPr>
              <w:pStyle w:val="TableParagraph"/>
              <w:spacing w:before="5"/>
              <w:rPr>
                <w:rFonts w:ascii="Times New Roman"/>
                <w:sz w:val="28"/>
              </w:rPr>
            </w:pPr>
          </w:p>
          <w:p>
            <w:pPr>
              <w:pStyle w:val="TableParagraph"/>
              <w:ind w:left="10"/>
              <w:jc w:val="center"/>
              <w:rPr>
                <w:rFonts w:ascii="Arial" w:eastAsia="Arial"/>
                <w:sz w:val="22"/>
              </w:rPr>
            </w:pPr>
            <w:r>
              <w:rPr>
                <w:sz w:val="22"/>
              </w:rPr>
              <w:t>注册地址：上海市黄浦区中山南路 </w:t>
            </w:r>
            <w:r>
              <w:rPr>
                <w:rFonts w:ascii="Arial" w:eastAsia="Arial"/>
                <w:sz w:val="22"/>
              </w:rPr>
              <w:t>100</w:t>
            </w:r>
          </w:p>
          <w:p>
            <w:pPr>
              <w:pStyle w:val="TableParagraph"/>
              <w:spacing w:before="30"/>
              <w:ind w:left="102" w:right="95"/>
              <w:jc w:val="center"/>
              <w:rPr>
                <w:sz w:val="22"/>
              </w:rPr>
            </w:pPr>
            <w:r>
              <w:rPr>
                <w:sz w:val="22"/>
              </w:rPr>
              <w:t>号 </w:t>
            </w:r>
            <w:r>
              <w:rPr>
                <w:rFonts w:ascii="Arial" w:eastAsia="Arial"/>
                <w:sz w:val="22"/>
              </w:rPr>
              <w:t>7 </w:t>
            </w:r>
            <w:r>
              <w:rPr>
                <w:sz w:val="22"/>
              </w:rPr>
              <w:t>层 </w:t>
            </w:r>
            <w:r>
              <w:rPr>
                <w:rFonts w:ascii="Arial" w:eastAsia="Arial"/>
                <w:sz w:val="22"/>
              </w:rPr>
              <w:t>05 </w:t>
            </w:r>
            <w:r>
              <w:rPr>
                <w:sz w:val="22"/>
              </w:rPr>
              <w:t>单元</w:t>
            </w:r>
          </w:p>
          <w:p>
            <w:pPr>
              <w:pStyle w:val="TableParagraph"/>
              <w:spacing w:line="266" w:lineRule="auto" w:before="31"/>
              <w:ind w:left="145" w:right="135" w:firstLine="1"/>
              <w:jc w:val="center"/>
              <w:rPr>
                <w:sz w:val="22"/>
              </w:rPr>
            </w:pPr>
            <w:r>
              <w:rPr>
                <w:spacing w:val="-3"/>
                <w:sz w:val="22"/>
              </w:rPr>
              <w:t>办公地址：上海市浦东新区民生路</w:t>
            </w:r>
            <w:r>
              <w:rPr>
                <w:rFonts w:ascii="Arial" w:eastAsia="Arial"/>
                <w:spacing w:val="-3"/>
                <w:sz w:val="22"/>
              </w:rPr>
              <w:t>1199 </w:t>
            </w:r>
            <w:r>
              <w:rPr>
                <w:spacing w:val="-8"/>
                <w:sz w:val="22"/>
              </w:rPr>
              <w:t>弄证大五道口广场 </w:t>
            </w:r>
            <w:r>
              <w:rPr>
                <w:rFonts w:ascii="Arial" w:eastAsia="Arial"/>
                <w:sz w:val="22"/>
              </w:rPr>
              <w:t>1 </w:t>
            </w:r>
            <w:r>
              <w:rPr>
                <w:spacing w:val="-18"/>
                <w:sz w:val="22"/>
              </w:rPr>
              <w:t>号楼 </w:t>
            </w:r>
            <w:r>
              <w:rPr>
                <w:rFonts w:ascii="Arial" w:eastAsia="Arial"/>
                <w:sz w:val="22"/>
              </w:rPr>
              <w:t>27 </w:t>
            </w:r>
            <w:r>
              <w:rPr>
                <w:spacing w:val="-11"/>
                <w:sz w:val="22"/>
              </w:rPr>
              <w:t>层</w:t>
            </w:r>
            <w:r>
              <w:rPr>
                <w:spacing w:val="-2"/>
                <w:sz w:val="22"/>
              </w:rPr>
              <w:t>法定代表人：弭洪军</w:t>
            </w:r>
          </w:p>
          <w:p>
            <w:pPr>
              <w:pStyle w:val="TableParagraph"/>
              <w:spacing w:line="266" w:lineRule="auto"/>
              <w:ind w:left="882" w:right="872" w:firstLine="268"/>
              <w:rPr>
                <w:rFonts w:ascii="Arial" w:eastAsia="Arial"/>
                <w:sz w:val="22"/>
              </w:rPr>
            </w:pPr>
            <w:r>
              <w:rPr>
                <w:spacing w:val="-1"/>
                <w:sz w:val="22"/>
              </w:rPr>
              <w:t>联系人：郭斯捷 电话：</w:t>
            </w:r>
            <w:r>
              <w:rPr>
                <w:rFonts w:ascii="Arial" w:eastAsia="Arial"/>
                <w:spacing w:val="-1"/>
                <w:sz w:val="22"/>
              </w:rPr>
              <w:t>021-33357030 </w:t>
            </w:r>
            <w:r>
              <w:rPr>
                <w:spacing w:val="-1"/>
                <w:sz w:val="22"/>
              </w:rPr>
              <w:t>传真：</w:t>
            </w:r>
            <w:r>
              <w:rPr>
                <w:rFonts w:ascii="Arial" w:eastAsia="Arial"/>
                <w:spacing w:val="-1"/>
                <w:sz w:val="22"/>
              </w:rPr>
              <w:t>021-63353736</w:t>
            </w:r>
          </w:p>
          <w:p>
            <w:pPr>
              <w:pStyle w:val="TableParagraph"/>
              <w:spacing w:line="279" w:lineRule="exact"/>
              <w:ind w:left="103" w:right="95"/>
              <w:jc w:val="center"/>
              <w:rPr>
                <w:rFonts w:ascii="Arial" w:eastAsia="Arial"/>
                <w:sz w:val="22"/>
              </w:rPr>
            </w:pPr>
            <w:r>
              <w:rPr>
                <w:sz w:val="22"/>
              </w:rPr>
              <w:t>客户服务电话：</w:t>
            </w:r>
            <w:r>
              <w:rPr>
                <w:rFonts w:ascii="Arial" w:eastAsia="Arial"/>
                <w:sz w:val="22"/>
              </w:rPr>
              <w:t>400-876-5716</w:t>
            </w:r>
          </w:p>
          <w:p>
            <w:pPr>
              <w:pStyle w:val="TableParagraph"/>
              <w:spacing w:line="277" w:lineRule="exact" w:before="27"/>
              <w:ind w:left="103" w:right="95"/>
              <w:jc w:val="center"/>
              <w:rPr>
                <w:rFonts w:ascii="Arial" w:eastAsia="Arial"/>
                <w:sz w:val="22"/>
              </w:rPr>
            </w:pPr>
            <w:r>
              <w:rPr>
                <w:sz w:val="22"/>
              </w:rPr>
              <w:t>网址：</w:t>
            </w:r>
            <w:hyperlink r:id="rId136">
              <w:r>
                <w:rPr>
                  <w:rFonts w:ascii="Arial" w:eastAsia="Arial"/>
                  <w:sz w:val="22"/>
                </w:rPr>
                <w:t>www.cmiwm.com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27"/>
              <w:jc w:val="right"/>
              <w:rPr>
                <w:rFonts w:ascii="Arial"/>
                <w:sz w:val="21"/>
              </w:rPr>
            </w:pPr>
            <w:r>
              <w:rPr>
                <w:rFonts w:ascii="Arial"/>
                <w:sz w:val="21"/>
              </w:rPr>
              <w:t>133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77" w:right="77"/>
              <w:jc w:val="center"/>
              <w:rPr>
                <w:sz w:val="22"/>
              </w:rPr>
            </w:pPr>
            <w:r>
              <w:rPr>
                <w:sz w:val="22"/>
              </w:rPr>
              <w:t>天津国美基金销售有限公司</w:t>
            </w:r>
          </w:p>
        </w:tc>
        <w:tc>
          <w:tcPr>
            <w:tcW w:w="3848" w:type="dxa"/>
          </w:tcPr>
          <w:p>
            <w:pPr>
              <w:pStyle w:val="TableParagraph"/>
              <w:spacing w:line="266" w:lineRule="auto" w:before="15"/>
              <w:ind w:left="107" w:right="95"/>
              <w:jc w:val="center"/>
              <w:rPr>
                <w:sz w:val="22"/>
              </w:rPr>
            </w:pPr>
            <w:r>
              <w:rPr>
                <w:spacing w:val="-13"/>
                <w:sz w:val="22"/>
              </w:rPr>
              <w:t>注册地址：天津经济技术开发区南港工</w:t>
            </w:r>
            <w:r>
              <w:rPr>
                <w:spacing w:val="3"/>
                <w:sz w:val="22"/>
              </w:rPr>
              <w:t>业区综合服务区办公楼</w:t>
            </w:r>
            <w:r>
              <w:rPr>
                <w:rFonts w:ascii="Arial" w:eastAsia="Arial"/>
                <w:sz w:val="22"/>
              </w:rPr>
              <w:t>D </w:t>
            </w:r>
            <w:r>
              <w:rPr>
                <w:sz w:val="22"/>
              </w:rPr>
              <w:t>座二层</w:t>
            </w:r>
          </w:p>
          <w:p>
            <w:pPr>
              <w:pStyle w:val="TableParagraph"/>
              <w:spacing w:line="280" w:lineRule="exact"/>
              <w:ind w:left="105" w:right="95"/>
              <w:jc w:val="center"/>
              <w:rPr>
                <w:sz w:val="22"/>
              </w:rPr>
            </w:pPr>
            <w:r>
              <w:rPr>
                <w:rFonts w:ascii="Arial" w:eastAsia="Arial"/>
                <w:sz w:val="22"/>
              </w:rPr>
              <w:t>202-124 </w:t>
            </w:r>
            <w:r>
              <w:rPr>
                <w:sz w:val="22"/>
              </w:rPr>
              <w:t>室</w:t>
            </w:r>
          </w:p>
          <w:p>
            <w:pPr>
              <w:pStyle w:val="TableParagraph"/>
              <w:spacing w:line="266" w:lineRule="auto" w:before="30"/>
              <w:ind w:left="67" w:right="52"/>
              <w:jc w:val="center"/>
              <w:rPr>
                <w:sz w:val="22"/>
              </w:rPr>
            </w:pPr>
            <w:r>
              <w:rPr>
                <w:sz w:val="22"/>
              </w:rPr>
              <w:t>办公地址：北京市朝阳区霄云路 </w:t>
            </w:r>
            <w:r>
              <w:rPr>
                <w:rFonts w:ascii="Arial" w:eastAsia="Arial"/>
                <w:sz w:val="22"/>
              </w:rPr>
              <w:t>26 </w:t>
            </w:r>
            <w:r>
              <w:rPr>
                <w:sz w:val="22"/>
              </w:rPr>
              <w:t>号鹏润大厦 </w:t>
            </w:r>
            <w:r>
              <w:rPr>
                <w:rFonts w:ascii="Arial" w:eastAsia="Arial"/>
                <w:sz w:val="22"/>
              </w:rPr>
              <w:t>B </w:t>
            </w:r>
            <w:r>
              <w:rPr>
                <w:sz w:val="22"/>
              </w:rPr>
              <w:t>座 </w:t>
            </w:r>
            <w:r>
              <w:rPr>
                <w:rFonts w:ascii="Arial" w:eastAsia="Arial"/>
                <w:sz w:val="22"/>
              </w:rPr>
              <w:t>19 </w:t>
            </w:r>
            <w:r>
              <w:rPr>
                <w:sz w:val="22"/>
              </w:rPr>
              <w:t>层</w:t>
            </w:r>
          </w:p>
          <w:p>
            <w:pPr>
              <w:pStyle w:val="TableParagraph"/>
              <w:spacing w:line="266" w:lineRule="auto"/>
              <w:ind w:left="932" w:right="920"/>
              <w:jc w:val="center"/>
              <w:rPr>
                <w:sz w:val="22"/>
              </w:rPr>
            </w:pPr>
            <w:r>
              <w:rPr>
                <w:sz w:val="22"/>
              </w:rPr>
              <w:t>法定代表人：丁东华联系人：郭宝亮</w:t>
            </w:r>
          </w:p>
          <w:p>
            <w:pPr>
              <w:pStyle w:val="TableParagraph"/>
              <w:spacing w:line="266" w:lineRule="auto"/>
              <w:ind w:left="882" w:right="872"/>
              <w:jc w:val="center"/>
              <w:rPr>
                <w:rFonts w:ascii="Arial" w:eastAsia="Arial"/>
                <w:sz w:val="22"/>
              </w:rPr>
            </w:pPr>
            <w:r>
              <w:rPr>
                <w:sz w:val="22"/>
              </w:rPr>
              <w:t>电话：</w:t>
            </w:r>
            <w:r>
              <w:rPr>
                <w:rFonts w:ascii="Arial" w:eastAsia="Arial"/>
                <w:sz w:val="22"/>
              </w:rPr>
              <w:t>010-59287984 </w:t>
            </w:r>
            <w:r>
              <w:rPr>
                <w:sz w:val="22"/>
              </w:rPr>
              <w:t>传真：</w:t>
            </w:r>
            <w:r>
              <w:rPr>
                <w:rFonts w:ascii="Arial" w:eastAsia="Arial"/>
                <w:sz w:val="22"/>
              </w:rPr>
              <w:t>010-59287825</w:t>
            </w:r>
          </w:p>
          <w:p>
            <w:pPr>
              <w:pStyle w:val="TableParagraph"/>
              <w:spacing w:line="280" w:lineRule="exact"/>
              <w:ind w:left="100" w:right="95"/>
              <w:jc w:val="center"/>
              <w:rPr>
                <w:rFonts w:ascii="Arial" w:eastAsia="Arial"/>
                <w:sz w:val="22"/>
              </w:rPr>
            </w:pPr>
            <w:r>
              <w:rPr>
                <w:sz w:val="22"/>
              </w:rPr>
              <w:t>客户服务电话：</w:t>
            </w:r>
            <w:r>
              <w:rPr>
                <w:rFonts w:ascii="Arial" w:eastAsia="Arial"/>
                <w:sz w:val="22"/>
              </w:rPr>
              <w:t>4001110889</w:t>
            </w:r>
          </w:p>
          <w:p>
            <w:pPr>
              <w:pStyle w:val="TableParagraph"/>
              <w:spacing w:line="277" w:lineRule="exact" w:before="27"/>
              <w:ind w:left="103" w:right="95"/>
              <w:jc w:val="center"/>
              <w:rPr>
                <w:rFonts w:ascii="Arial" w:eastAsia="Arial"/>
                <w:sz w:val="22"/>
              </w:rPr>
            </w:pPr>
            <w:r>
              <w:rPr>
                <w:sz w:val="22"/>
              </w:rPr>
              <w:t>网址：</w:t>
            </w:r>
            <w:hyperlink r:id="rId137">
              <w:r>
                <w:rPr>
                  <w:rFonts w:ascii="Arial" w:eastAsia="Arial"/>
                  <w:sz w:val="22"/>
                </w:rPr>
                <w:t>www.gomefund.com</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27"/>
              <w:jc w:val="right"/>
              <w:rPr>
                <w:rFonts w:ascii="Arial"/>
                <w:sz w:val="21"/>
              </w:rPr>
            </w:pPr>
            <w:r>
              <w:rPr>
                <w:rFonts w:ascii="Arial"/>
                <w:sz w:val="21"/>
              </w:rPr>
              <w:t>134</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7" w:right="77"/>
              <w:jc w:val="center"/>
              <w:rPr>
                <w:sz w:val="22"/>
              </w:rPr>
            </w:pPr>
            <w:r>
              <w:rPr>
                <w:sz w:val="22"/>
              </w:rPr>
              <w:t>北京蛋卷基金销售有限公司</w:t>
            </w:r>
          </w:p>
        </w:tc>
        <w:tc>
          <w:tcPr>
            <w:tcW w:w="3848" w:type="dxa"/>
          </w:tcPr>
          <w:p>
            <w:pPr>
              <w:pStyle w:val="TableParagraph"/>
              <w:spacing w:before="15"/>
              <w:ind w:left="11"/>
              <w:jc w:val="center"/>
              <w:rPr>
                <w:rFonts w:ascii="Arial" w:eastAsia="Arial"/>
                <w:sz w:val="22"/>
              </w:rPr>
            </w:pPr>
            <w:r>
              <w:rPr>
                <w:sz w:val="22"/>
              </w:rPr>
              <w:t>注册地址：北京市朝阳区阜通东大街 </w:t>
            </w:r>
            <w:r>
              <w:rPr>
                <w:rFonts w:ascii="Arial" w:eastAsia="Arial"/>
                <w:sz w:val="22"/>
              </w:rPr>
              <w:t>1</w:t>
            </w:r>
          </w:p>
          <w:p>
            <w:pPr>
              <w:pStyle w:val="TableParagraph"/>
              <w:spacing w:before="30"/>
              <w:ind w:left="101" w:right="95"/>
              <w:jc w:val="center"/>
              <w:rPr>
                <w:rFonts w:ascii="Arial" w:eastAsia="Arial"/>
                <w:sz w:val="22"/>
              </w:rPr>
            </w:pPr>
            <w:r>
              <w:rPr>
                <w:sz w:val="22"/>
              </w:rPr>
              <w:t>号院 </w:t>
            </w:r>
            <w:r>
              <w:rPr>
                <w:rFonts w:ascii="Arial" w:eastAsia="Arial"/>
                <w:sz w:val="22"/>
              </w:rPr>
              <w:t>6 </w:t>
            </w:r>
            <w:r>
              <w:rPr>
                <w:sz w:val="22"/>
              </w:rPr>
              <w:t>号楼 </w:t>
            </w:r>
            <w:r>
              <w:rPr>
                <w:rFonts w:ascii="Arial" w:eastAsia="Arial"/>
                <w:sz w:val="22"/>
              </w:rPr>
              <w:t>2 </w:t>
            </w:r>
            <w:r>
              <w:rPr>
                <w:sz w:val="22"/>
              </w:rPr>
              <w:t>单元 </w:t>
            </w:r>
            <w:r>
              <w:rPr>
                <w:rFonts w:ascii="Arial" w:eastAsia="Arial"/>
                <w:sz w:val="22"/>
              </w:rPr>
              <w:t>21 </w:t>
            </w:r>
            <w:r>
              <w:rPr>
                <w:sz w:val="22"/>
              </w:rPr>
              <w:t>层 </w:t>
            </w:r>
            <w:r>
              <w:rPr>
                <w:rFonts w:ascii="Arial" w:eastAsia="Arial"/>
                <w:sz w:val="22"/>
              </w:rPr>
              <w:t>222507</w:t>
            </w:r>
          </w:p>
          <w:p>
            <w:pPr>
              <w:pStyle w:val="TableParagraph"/>
              <w:spacing w:line="266" w:lineRule="auto" w:before="30"/>
              <w:ind w:left="932" w:right="920"/>
              <w:jc w:val="center"/>
              <w:rPr>
                <w:sz w:val="22"/>
              </w:rPr>
            </w:pPr>
            <w:r>
              <w:rPr>
                <w:sz w:val="22"/>
              </w:rPr>
              <w:t>法定代表人：钟斐斐联系人：侯芳芳</w:t>
            </w:r>
          </w:p>
          <w:p>
            <w:pPr>
              <w:pStyle w:val="TableParagraph"/>
              <w:spacing w:line="266" w:lineRule="auto"/>
              <w:ind w:left="882" w:right="872"/>
              <w:jc w:val="center"/>
              <w:rPr>
                <w:rFonts w:ascii="Arial" w:eastAsia="Arial"/>
                <w:sz w:val="22"/>
              </w:rPr>
            </w:pPr>
            <w:r>
              <w:rPr>
                <w:sz w:val="22"/>
              </w:rPr>
              <w:t>电话：</w:t>
            </w:r>
            <w:r>
              <w:rPr>
                <w:rFonts w:ascii="Arial" w:eastAsia="Arial"/>
                <w:sz w:val="22"/>
              </w:rPr>
              <w:t>010-61840688 </w:t>
            </w:r>
            <w:r>
              <w:rPr>
                <w:sz w:val="22"/>
              </w:rPr>
              <w:t>传真：</w:t>
            </w:r>
            <w:r>
              <w:rPr>
                <w:rFonts w:ascii="Arial" w:eastAsia="Arial"/>
                <w:sz w:val="22"/>
              </w:rPr>
              <w:t>010-84997571</w:t>
            </w:r>
          </w:p>
          <w:p>
            <w:pPr>
              <w:pStyle w:val="TableParagraph"/>
              <w:spacing w:line="280" w:lineRule="exact"/>
              <w:ind w:left="103" w:right="95"/>
              <w:jc w:val="center"/>
              <w:rPr>
                <w:rFonts w:ascii="Arial" w:eastAsia="Arial"/>
                <w:sz w:val="22"/>
              </w:rPr>
            </w:pPr>
            <w:r>
              <w:rPr>
                <w:sz w:val="22"/>
              </w:rPr>
              <w:t>客服电话：</w:t>
            </w:r>
            <w:r>
              <w:rPr>
                <w:rFonts w:ascii="Arial" w:eastAsia="Arial"/>
                <w:sz w:val="22"/>
              </w:rPr>
              <w:t>400-159-9288</w:t>
            </w:r>
          </w:p>
          <w:p>
            <w:pPr>
              <w:pStyle w:val="TableParagraph"/>
              <w:spacing w:line="277" w:lineRule="exact" w:before="28"/>
              <w:ind w:left="100" w:right="95"/>
              <w:jc w:val="center"/>
              <w:rPr>
                <w:rFonts w:ascii="Arial" w:eastAsia="Arial"/>
                <w:sz w:val="22"/>
              </w:rPr>
            </w:pPr>
            <w:r>
              <w:rPr>
                <w:sz w:val="22"/>
              </w:rPr>
              <w:t>官网：</w:t>
            </w:r>
            <w:r>
              <w:rPr>
                <w:rFonts w:ascii="Arial" w:eastAsia="Arial"/>
                <w:sz w:val="22"/>
              </w:rPr>
              <w:t>https://danjuanapp.com</w:t>
            </w:r>
          </w:p>
        </w:tc>
      </w:tr>
      <w:tr>
        <w:trPr>
          <w:trHeight w:val="343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27"/>
              <w:jc w:val="right"/>
              <w:rPr>
                <w:rFonts w:ascii="Arial"/>
                <w:sz w:val="21"/>
              </w:rPr>
            </w:pPr>
            <w:r>
              <w:rPr>
                <w:rFonts w:ascii="Arial"/>
                <w:sz w:val="21"/>
              </w:rPr>
              <w:t>135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77" w:right="77"/>
              <w:jc w:val="center"/>
              <w:rPr>
                <w:sz w:val="22"/>
              </w:rPr>
            </w:pPr>
            <w:r>
              <w:rPr>
                <w:sz w:val="22"/>
              </w:rPr>
              <w:t>上海基煜基金销售有限公司</w:t>
            </w:r>
          </w:p>
        </w:tc>
        <w:tc>
          <w:tcPr>
            <w:tcW w:w="3848" w:type="dxa"/>
          </w:tcPr>
          <w:p>
            <w:pPr>
              <w:pStyle w:val="TableParagraph"/>
              <w:spacing w:line="266" w:lineRule="auto" w:before="15"/>
              <w:ind w:left="107" w:right="94" w:hanging="1"/>
              <w:jc w:val="center"/>
              <w:rPr>
                <w:sz w:val="22"/>
              </w:rPr>
            </w:pPr>
            <w:r>
              <w:rPr>
                <w:spacing w:val="-13"/>
                <w:sz w:val="22"/>
              </w:rPr>
              <w:t>注册地址：上海市崇明县长兴镇路潘园</w:t>
            </w:r>
            <w:r>
              <w:rPr>
                <w:spacing w:val="-19"/>
                <w:sz w:val="22"/>
              </w:rPr>
              <w:t>公路 </w:t>
            </w:r>
            <w:r>
              <w:rPr>
                <w:rFonts w:ascii="Arial" w:eastAsia="Arial"/>
                <w:sz w:val="22"/>
              </w:rPr>
              <w:t>1800 </w:t>
            </w:r>
            <w:r>
              <w:rPr>
                <w:spacing w:val="-27"/>
                <w:sz w:val="22"/>
              </w:rPr>
              <w:t>号 </w:t>
            </w:r>
            <w:r>
              <w:rPr>
                <w:rFonts w:ascii="Arial" w:eastAsia="Arial"/>
                <w:sz w:val="22"/>
              </w:rPr>
              <w:t>2 </w:t>
            </w:r>
            <w:r>
              <w:rPr>
                <w:spacing w:val="-18"/>
                <w:sz w:val="22"/>
              </w:rPr>
              <w:t>号楼 </w:t>
            </w:r>
            <w:r>
              <w:rPr>
                <w:rFonts w:ascii="Arial" w:eastAsia="Arial"/>
                <w:sz w:val="22"/>
              </w:rPr>
              <w:t>6153 </w:t>
            </w:r>
            <w:r>
              <w:rPr>
                <w:sz w:val="22"/>
              </w:rPr>
              <w:t>室（</w:t>
            </w:r>
            <w:r>
              <w:rPr>
                <w:spacing w:val="-6"/>
                <w:sz w:val="22"/>
              </w:rPr>
              <w:t>上海泰</w:t>
            </w:r>
            <w:r>
              <w:rPr>
                <w:spacing w:val="-1"/>
                <w:sz w:val="22"/>
              </w:rPr>
              <w:t>和经济发展区</w:t>
            </w:r>
            <w:r>
              <w:rPr>
                <w:sz w:val="22"/>
              </w:rPr>
              <w:t>）</w:t>
            </w:r>
          </w:p>
          <w:p>
            <w:pPr>
              <w:pStyle w:val="TableParagraph"/>
              <w:spacing w:line="280" w:lineRule="exact"/>
              <w:ind w:left="105" w:right="95"/>
              <w:jc w:val="center"/>
              <w:rPr>
                <w:rFonts w:ascii="Arial" w:eastAsia="Arial"/>
                <w:sz w:val="22"/>
              </w:rPr>
            </w:pPr>
            <w:r>
              <w:rPr>
                <w:sz w:val="22"/>
              </w:rPr>
              <w:t>办公地址：上海市杨浦区昆明路 </w:t>
            </w:r>
            <w:r>
              <w:rPr>
                <w:rFonts w:ascii="Arial" w:eastAsia="Arial"/>
                <w:sz w:val="22"/>
              </w:rPr>
              <w:t>518</w:t>
            </w:r>
          </w:p>
          <w:p>
            <w:pPr>
              <w:pStyle w:val="TableParagraph"/>
              <w:spacing w:before="30"/>
              <w:ind w:left="102" w:right="95"/>
              <w:jc w:val="center"/>
              <w:rPr>
                <w:sz w:val="22"/>
              </w:rPr>
            </w:pPr>
            <w:r>
              <w:rPr>
                <w:sz w:val="22"/>
              </w:rPr>
              <w:t>号 </w:t>
            </w:r>
            <w:r>
              <w:rPr>
                <w:rFonts w:ascii="Arial" w:eastAsia="Arial"/>
                <w:sz w:val="22"/>
              </w:rPr>
              <w:t>A1002 </w:t>
            </w:r>
            <w:r>
              <w:rPr>
                <w:sz w:val="22"/>
              </w:rPr>
              <w:t>室</w:t>
            </w:r>
          </w:p>
          <w:p>
            <w:pPr>
              <w:pStyle w:val="TableParagraph"/>
              <w:spacing w:line="266" w:lineRule="auto" w:before="30"/>
              <w:ind w:left="1043" w:right="1031"/>
              <w:jc w:val="center"/>
              <w:rPr>
                <w:sz w:val="22"/>
              </w:rPr>
            </w:pPr>
            <w:r>
              <w:rPr>
                <w:sz w:val="22"/>
              </w:rPr>
              <w:t>法定代表人：王翔联系人：蓝杰</w:t>
            </w:r>
          </w:p>
          <w:p>
            <w:pPr>
              <w:pStyle w:val="TableParagraph"/>
              <w:spacing w:line="266" w:lineRule="auto"/>
              <w:ind w:left="882" w:right="872"/>
              <w:jc w:val="center"/>
              <w:rPr>
                <w:rFonts w:ascii="Arial" w:eastAsia="Arial"/>
                <w:sz w:val="22"/>
              </w:rPr>
            </w:pPr>
            <w:r>
              <w:rPr>
                <w:sz w:val="22"/>
              </w:rPr>
              <w:t>电话：</w:t>
            </w:r>
            <w:r>
              <w:rPr>
                <w:rFonts w:ascii="Arial" w:eastAsia="Arial"/>
                <w:sz w:val="22"/>
              </w:rPr>
              <w:t>021-65370077 </w:t>
            </w:r>
            <w:r>
              <w:rPr>
                <w:sz w:val="22"/>
              </w:rPr>
              <w:t>传真：</w:t>
            </w:r>
            <w:r>
              <w:rPr>
                <w:rFonts w:ascii="Arial" w:eastAsia="Arial"/>
                <w:sz w:val="22"/>
              </w:rPr>
              <w:t>021-55085991</w:t>
            </w:r>
          </w:p>
          <w:p>
            <w:pPr>
              <w:pStyle w:val="TableParagraph"/>
              <w:spacing w:line="280" w:lineRule="exact"/>
              <w:ind w:left="100" w:right="95"/>
              <w:jc w:val="center"/>
              <w:rPr>
                <w:rFonts w:ascii="Arial" w:eastAsia="Arial"/>
                <w:sz w:val="22"/>
              </w:rPr>
            </w:pPr>
            <w:r>
              <w:rPr>
                <w:spacing w:val="-2"/>
                <w:sz w:val="22"/>
              </w:rPr>
              <w:t>客户服务电话：</w:t>
            </w:r>
            <w:r>
              <w:rPr>
                <w:rFonts w:ascii="Arial" w:eastAsia="Arial"/>
                <w:spacing w:val="-1"/>
                <w:sz w:val="22"/>
              </w:rPr>
              <w:t>4008205369</w:t>
            </w:r>
          </w:p>
          <w:p>
            <w:pPr>
              <w:pStyle w:val="TableParagraph"/>
              <w:spacing w:line="279" w:lineRule="exact" w:before="28"/>
              <w:ind w:left="103" w:right="95"/>
              <w:jc w:val="center"/>
              <w:rPr>
                <w:rFonts w:ascii="Arial" w:eastAsia="Arial"/>
                <w:sz w:val="22"/>
              </w:rPr>
            </w:pPr>
            <w:r>
              <w:rPr>
                <w:spacing w:val="-1"/>
                <w:sz w:val="22"/>
              </w:rPr>
              <w:t>网址：</w:t>
            </w:r>
            <w:hyperlink r:id="rId138">
              <w:r>
                <w:rPr>
                  <w:rFonts w:ascii="Arial" w:eastAsia="Arial"/>
                  <w:spacing w:val="-1"/>
                  <w:sz w:val="22"/>
                </w:rPr>
                <w:t>www.jiyufund.com.cn</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136</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南京途牛基金销售有限公司</w:t>
            </w:r>
          </w:p>
        </w:tc>
        <w:tc>
          <w:tcPr>
            <w:tcW w:w="3848" w:type="dxa"/>
            <w:tcBorders>
              <w:top w:val="nil"/>
            </w:tcBorders>
          </w:tcPr>
          <w:p>
            <w:pPr>
              <w:pStyle w:val="TableParagraph"/>
              <w:spacing w:before="15"/>
              <w:ind w:left="105" w:right="95"/>
              <w:jc w:val="center"/>
              <w:rPr>
                <w:sz w:val="22"/>
              </w:rPr>
            </w:pPr>
            <w:r>
              <w:rPr>
                <w:sz w:val="22"/>
              </w:rPr>
              <w:t>注册地址：南京市玄武区玄武大道</w:t>
            </w:r>
          </w:p>
          <w:p>
            <w:pPr>
              <w:pStyle w:val="TableParagraph"/>
              <w:spacing w:before="30"/>
              <w:ind w:left="105" w:right="95"/>
              <w:jc w:val="center"/>
              <w:rPr>
                <w:sz w:val="22"/>
              </w:rPr>
            </w:pPr>
            <w:r>
              <w:rPr>
                <w:rFonts w:ascii="Arial" w:eastAsia="Arial"/>
                <w:sz w:val="22"/>
              </w:rPr>
              <w:t>699-1 </w:t>
            </w:r>
            <w:r>
              <w:rPr>
                <w:sz w:val="22"/>
              </w:rPr>
              <w:t>号</w:t>
            </w:r>
          </w:p>
          <w:p>
            <w:pPr>
              <w:pStyle w:val="TableParagraph"/>
              <w:spacing w:before="31"/>
              <w:ind w:left="105" w:right="95"/>
              <w:jc w:val="center"/>
              <w:rPr>
                <w:sz w:val="22"/>
              </w:rPr>
            </w:pPr>
            <w:r>
              <w:rPr>
                <w:sz w:val="22"/>
              </w:rPr>
              <w:t>办公地址：南京市玄武区玄武大道</w:t>
            </w:r>
          </w:p>
          <w:p>
            <w:pPr>
              <w:pStyle w:val="TableParagraph"/>
              <w:spacing w:before="30"/>
              <w:ind w:left="105" w:right="95"/>
              <w:jc w:val="center"/>
              <w:rPr>
                <w:sz w:val="22"/>
              </w:rPr>
            </w:pPr>
            <w:r>
              <w:rPr>
                <w:rFonts w:ascii="Arial" w:eastAsia="Arial"/>
                <w:sz w:val="22"/>
              </w:rPr>
              <w:t>699-1 </w:t>
            </w:r>
            <w:r>
              <w:rPr>
                <w:sz w:val="22"/>
              </w:rPr>
              <w:t>号</w:t>
            </w:r>
          </w:p>
          <w:p>
            <w:pPr>
              <w:pStyle w:val="TableParagraph"/>
              <w:spacing w:line="266" w:lineRule="auto" w:before="30"/>
              <w:ind w:left="932" w:right="920"/>
              <w:jc w:val="center"/>
              <w:rPr>
                <w:sz w:val="22"/>
              </w:rPr>
            </w:pPr>
            <w:r>
              <w:rPr>
                <w:sz w:val="22"/>
              </w:rPr>
              <w:t>法定代表人：宋时琳联系人：王旋</w:t>
            </w:r>
          </w:p>
          <w:p>
            <w:pPr>
              <w:pStyle w:val="TableParagraph"/>
              <w:spacing w:line="266" w:lineRule="auto"/>
              <w:ind w:left="688" w:right="677" w:firstLine="120"/>
              <w:jc w:val="both"/>
              <w:rPr>
                <w:rFonts w:ascii="Arial" w:hAnsi="Arial" w:eastAsia="Arial"/>
                <w:sz w:val="22"/>
              </w:rPr>
            </w:pPr>
            <w:r>
              <w:rPr>
                <w:sz w:val="22"/>
              </w:rPr>
              <w:t>电话：</w:t>
            </w:r>
            <w:r>
              <w:rPr>
                <w:rFonts w:ascii="Arial" w:hAnsi="Arial" w:eastAsia="Arial"/>
                <w:sz w:val="22"/>
              </w:rPr>
              <w:t>025—86853969 </w:t>
            </w:r>
            <w:r>
              <w:rPr>
                <w:sz w:val="22"/>
              </w:rPr>
              <w:t>传真：</w:t>
            </w:r>
            <w:r>
              <w:rPr>
                <w:rFonts w:ascii="Arial" w:hAnsi="Arial" w:eastAsia="Arial"/>
                <w:sz w:val="22"/>
              </w:rPr>
              <w:t>025—86853960 </w:t>
            </w:r>
            <w:r>
              <w:rPr>
                <w:spacing w:val="-2"/>
                <w:sz w:val="22"/>
              </w:rPr>
              <w:t>客服电话：</w:t>
            </w:r>
            <w:r>
              <w:rPr>
                <w:rFonts w:ascii="Arial" w:hAnsi="Arial" w:eastAsia="Arial"/>
                <w:spacing w:val="-1"/>
                <w:sz w:val="22"/>
              </w:rPr>
              <w:t>4007-999-999</w:t>
            </w:r>
          </w:p>
          <w:p>
            <w:pPr>
              <w:pStyle w:val="TableParagraph"/>
              <w:spacing w:line="274" w:lineRule="exact"/>
              <w:ind w:left="100" w:right="95"/>
              <w:jc w:val="center"/>
              <w:rPr>
                <w:rFonts w:ascii="Arial" w:eastAsia="Arial"/>
                <w:sz w:val="22"/>
              </w:rPr>
            </w:pPr>
            <w:r>
              <w:rPr>
                <w:sz w:val="22"/>
              </w:rPr>
              <w:t>网址：</w:t>
            </w:r>
            <w:hyperlink r:id="rId139">
              <w:r>
                <w:rPr>
                  <w:rFonts w:ascii="Arial" w:eastAsia="Arial"/>
                  <w:sz w:val="22"/>
                </w:rPr>
                <w:t>http://jr.tuniu.com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137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上海钜派钰茂基金销售有限公司</w:t>
            </w:r>
          </w:p>
        </w:tc>
        <w:tc>
          <w:tcPr>
            <w:tcW w:w="3848" w:type="dxa"/>
          </w:tcPr>
          <w:p>
            <w:pPr>
              <w:pStyle w:val="TableParagraph"/>
              <w:spacing w:line="266" w:lineRule="auto" w:before="15"/>
              <w:ind w:left="107" w:right="95"/>
              <w:jc w:val="center"/>
              <w:rPr>
                <w:sz w:val="22"/>
              </w:rPr>
            </w:pPr>
            <w:r>
              <w:rPr>
                <w:spacing w:val="-13"/>
                <w:sz w:val="22"/>
              </w:rPr>
              <w:t>注册地址：上海市浦东新区泥城镇新城</w:t>
            </w:r>
            <w:r>
              <w:rPr>
                <w:spacing w:val="-28"/>
                <w:sz w:val="22"/>
              </w:rPr>
              <w:t>路 </w:t>
            </w:r>
            <w:r>
              <w:rPr>
                <w:rFonts w:ascii="Arial" w:eastAsia="Arial"/>
                <w:sz w:val="22"/>
              </w:rPr>
              <w:t>2 </w:t>
            </w:r>
            <w:r>
              <w:rPr>
                <w:spacing w:val="-28"/>
                <w:sz w:val="22"/>
              </w:rPr>
              <w:t>号 </w:t>
            </w:r>
            <w:r>
              <w:rPr>
                <w:rFonts w:ascii="Arial" w:eastAsia="Arial"/>
                <w:sz w:val="22"/>
              </w:rPr>
              <w:t>24 </w:t>
            </w:r>
            <w:r>
              <w:rPr>
                <w:spacing w:val="-28"/>
                <w:sz w:val="22"/>
              </w:rPr>
              <w:t>幢 </w:t>
            </w:r>
            <w:r>
              <w:rPr>
                <w:rFonts w:ascii="Arial" w:eastAsia="Arial"/>
                <w:sz w:val="22"/>
              </w:rPr>
              <w:t>N3187 </w:t>
            </w:r>
            <w:r>
              <w:rPr>
                <w:sz w:val="22"/>
              </w:rPr>
              <w:t>室</w:t>
            </w:r>
          </w:p>
          <w:p>
            <w:pPr>
              <w:pStyle w:val="TableParagraph"/>
              <w:spacing w:line="281" w:lineRule="exact"/>
              <w:ind w:left="102" w:right="95"/>
              <w:jc w:val="center"/>
              <w:rPr>
                <w:sz w:val="22"/>
              </w:rPr>
            </w:pPr>
            <w:r>
              <w:rPr>
                <w:sz w:val="22"/>
              </w:rPr>
              <w:t>办公地址：上海市浦东新区浦东南路</w:t>
            </w:r>
          </w:p>
          <w:p>
            <w:pPr>
              <w:pStyle w:val="TableParagraph"/>
              <w:spacing w:line="266" w:lineRule="auto" w:before="30"/>
              <w:ind w:left="628" w:right="620"/>
              <w:jc w:val="center"/>
              <w:rPr>
                <w:sz w:val="22"/>
              </w:rPr>
            </w:pPr>
            <w:r>
              <w:rPr>
                <w:rFonts w:ascii="Arial" w:eastAsia="Arial"/>
                <w:sz w:val="22"/>
              </w:rPr>
              <w:t>379 </w:t>
            </w:r>
            <w:r>
              <w:rPr>
                <w:spacing w:val="-10"/>
                <w:sz w:val="22"/>
              </w:rPr>
              <w:t>号金穗大厦 </w:t>
            </w:r>
            <w:r>
              <w:rPr>
                <w:rFonts w:ascii="Arial" w:eastAsia="Arial"/>
                <w:sz w:val="22"/>
              </w:rPr>
              <w:t>14 </w:t>
            </w:r>
            <w:r>
              <w:rPr>
                <w:spacing w:val="-27"/>
                <w:sz w:val="22"/>
              </w:rPr>
              <w:t>楼 </w:t>
            </w:r>
            <w:r>
              <w:rPr>
                <w:rFonts w:ascii="Arial" w:eastAsia="Arial"/>
                <w:sz w:val="22"/>
              </w:rPr>
              <w:t>C </w:t>
            </w:r>
            <w:r>
              <w:rPr>
                <w:spacing w:val="-14"/>
                <w:sz w:val="22"/>
              </w:rPr>
              <w:t>座</w:t>
            </w:r>
            <w:r>
              <w:rPr>
                <w:spacing w:val="-2"/>
                <w:sz w:val="22"/>
              </w:rPr>
              <w:t>法定代表人：杨雅琴</w:t>
            </w:r>
          </w:p>
          <w:p>
            <w:pPr>
              <w:pStyle w:val="TableParagraph"/>
              <w:spacing w:line="280" w:lineRule="exact"/>
              <w:ind w:left="102" w:right="95"/>
              <w:jc w:val="center"/>
              <w:rPr>
                <w:sz w:val="22"/>
              </w:rPr>
            </w:pPr>
            <w:r>
              <w:rPr>
                <w:sz w:val="22"/>
              </w:rPr>
              <w:t>联系人：卢奕</w:t>
            </w:r>
          </w:p>
          <w:p>
            <w:pPr>
              <w:pStyle w:val="TableParagraph"/>
              <w:spacing w:line="266" w:lineRule="auto" w:before="30"/>
              <w:ind w:left="882" w:right="872"/>
              <w:jc w:val="center"/>
              <w:rPr>
                <w:rFonts w:ascii="Arial" w:eastAsia="Arial"/>
                <w:sz w:val="22"/>
              </w:rPr>
            </w:pPr>
            <w:r>
              <w:rPr>
                <w:sz w:val="22"/>
              </w:rPr>
              <w:t>电话：</w:t>
            </w:r>
            <w:r>
              <w:rPr>
                <w:rFonts w:ascii="Arial" w:eastAsia="Arial"/>
                <w:sz w:val="22"/>
              </w:rPr>
              <w:t>021-68670358 </w:t>
            </w:r>
            <w:r>
              <w:rPr>
                <w:sz w:val="22"/>
              </w:rPr>
              <w:t>传真：</w:t>
            </w:r>
            <w:r>
              <w:rPr>
                <w:rFonts w:ascii="Arial" w:eastAsia="Arial"/>
                <w:sz w:val="22"/>
              </w:rPr>
              <w:t>021-68413161</w:t>
            </w:r>
          </w:p>
          <w:p>
            <w:pPr>
              <w:pStyle w:val="TableParagraph"/>
              <w:spacing w:line="280" w:lineRule="exact"/>
              <w:ind w:left="100" w:right="95"/>
              <w:jc w:val="center"/>
              <w:rPr>
                <w:rFonts w:ascii="Arial" w:eastAsia="Arial"/>
                <w:sz w:val="22"/>
              </w:rPr>
            </w:pPr>
            <w:r>
              <w:rPr>
                <w:sz w:val="22"/>
              </w:rPr>
              <w:t>客户服务电话：</w:t>
            </w:r>
            <w:r>
              <w:rPr>
                <w:rFonts w:ascii="Arial" w:eastAsia="Arial"/>
                <w:sz w:val="22"/>
              </w:rPr>
              <w:t>4006889967</w:t>
            </w:r>
          </w:p>
          <w:p>
            <w:pPr>
              <w:pStyle w:val="TableParagraph"/>
              <w:spacing w:line="277" w:lineRule="exact" w:before="30"/>
              <w:ind w:left="103" w:right="95"/>
              <w:jc w:val="center"/>
              <w:rPr>
                <w:rFonts w:ascii="Arial" w:eastAsia="Arial"/>
                <w:sz w:val="22"/>
              </w:rPr>
            </w:pPr>
            <w:r>
              <w:rPr>
                <w:sz w:val="22"/>
              </w:rPr>
              <w:t>网址：</w:t>
            </w:r>
            <w:hyperlink r:id="rId140">
              <w:r>
                <w:rPr>
                  <w:rFonts w:ascii="Arial" w:eastAsia="Arial"/>
                  <w:sz w:val="22"/>
                </w:rPr>
                <w:t>http://www.jp-fund.com/</w:t>
              </w:r>
            </w:hyperlink>
          </w:p>
        </w:tc>
      </w:tr>
      <w:tr>
        <w:trPr>
          <w:trHeight w:val="374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ind w:right="127"/>
              <w:jc w:val="right"/>
              <w:rPr>
                <w:rFonts w:ascii="Arial"/>
                <w:sz w:val="21"/>
              </w:rPr>
            </w:pPr>
            <w:r>
              <w:rPr>
                <w:rFonts w:ascii="Arial"/>
                <w:sz w:val="21"/>
              </w:rPr>
              <w:t>138</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79" w:right="77"/>
              <w:jc w:val="center"/>
              <w:rPr>
                <w:sz w:val="22"/>
              </w:rPr>
            </w:pPr>
            <w:r>
              <w:rPr>
                <w:sz w:val="22"/>
              </w:rPr>
              <w:t>凤凰金信（银川）基金销售有限公司</w:t>
            </w:r>
          </w:p>
        </w:tc>
        <w:tc>
          <w:tcPr>
            <w:tcW w:w="3848" w:type="dxa"/>
          </w:tcPr>
          <w:p>
            <w:pPr>
              <w:pStyle w:val="TableParagraph"/>
              <w:spacing w:before="5"/>
              <w:rPr>
                <w:rFonts w:ascii="Times New Roman"/>
                <w:sz w:val="28"/>
              </w:rPr>
            </w:pPr>
          </w:p>
          <w:p>
            <w:pPr>
              <w:pStyle w:val="TableParagraph"/>
              <w:spacing w:line="266" w:lineRule="auto"/>
              <w:ind w:left="107" w:right="95"/>
              <w:jc w:val="center"/>
              <w:rPr>
                <w:rFonts w:ascii="Arial" w:eastAsia="Arial"/>
                <w:sz w:val="22"/>
              </w:rPr>
            </w:pPr>
            <w:r>
              <w:rPr>
                <w:spacing w:val="-13"/>
                <w:sz w:val="22"/>
              </w:rPr>
              <w:t>注册地址：宁夏回族自治区银川市金凤</w:t>
            </w:r>
            <w:r>
              <w:rPr>
                <w:spacing w:val="-7"/>
                <w:sz w:val="22"/>
              </w:rPr>
              <w:t>区阅海湾中央商务区万寿路 </w:t>
            </w:r>
            <w:r>
              <w:rPr>
                <w:rFonts w:ascii="Arial" w:eastAsia="Arial"/>
                <w:sz w:val="22"/>
              </w:rPr>
              <w:t>142 </w:t>
            </w:r>
            <w:r>
              <w:rPr>
                <w:spacing w:val="-28"/>
                <w:sz w:val="22"/>
              </w:rPr>
              <w:t>号 </w:t>
            </w:r>
            <w:r>
              <w:rPr>
                <w:rFonts w:ascii="Arial" w:eastAsia="Arial"/>
                <w:sz w:val="22"/>
              </w:rPr>
              <w:t>14</w:t>
            </w:r>
          </w:p>
          <w:p>
            <w:pPr>
              <w:pStyle w:val="TableParagraph"/>
              <w:spacing w:line="280" w:lineRule="exact"/>
              <w:ind w:left="102" w:right="95"/>
              <w:jc w:val="center"/>
              <w:rPr>
                <w:rFonts w:ascii="Arial" w:eastAsia="Arial"/>
                <w:sz w:val="22"/>
              </w:rPr>
            </w:pPr>
            <w:r>
              <w:rPr>
                <w:sz w:val="22"/>
              </w:rPr>
              <w:t>层 </w:t>
            </w:r>
            <w:r>
              <w:rPr>
                <w:rFonts w:ascii="Arial" w:eastAsia="Arial"/>
                <w:sz w:val="22"/>
              </w:rPr>
              <w:t>1402</w:t>
            </w:r>
          </w:p>
          <w:p>
            <w:pPr>
              <w:pStyle w:val="TableParagraph"/>
              <w:spacing w:line="266" w:lineRule="auto" w:before="30"/>
              <w:ind w:left="67" w:right="52"/>
              <w:jc w:val="center"/>
              <w:rPr>
                <w:sz w:val="22"/>
              </w:rPr>
            </w:pPr>
            <w:r>
              <w:rPr>
                <w:sz w:val="22"/>
              </w:rPr>
              <w:t>办公地址：北京市朝阳区紫月路 </w:t>
            </w:r>
            <w:r>
              <w:rPr>
                <w:rFonts w:ascii="Arial" w:eastAsia="Arial"/>
                <w:sz w:val="22"/>
              </w:rPr>
              <w:t>18 </w:t>
            </w:r>
            <w:r>
              <w:rPr>
                <w:sz w:val="22"/>
              </w:rPr>
              <w:t>号院 朝来高科技产业园 </w:t>
            </w:r>
            <w:r>
              <w:rPr>
                <w:rFonts w:ascii="Arial" w:eastAsia="Arial"/>
                <w:sz w:val="22"/>
              </w:rPr>
              <w:t>18 </w:t>
            </w:r>
            <w:r>
              <w:rPr>
                <w:sz w:val="22"/>
              </w:rPr>
              <w:t>号楼</w:t>
            </w:r>
          </w:p>
          <w:p>
            <w:pPr>
              <w:pStyle w:val="TableParagraph"/>
              <w:spacing w:line="266" w:lineRule="auto"/>
              <w:ind w:left="1043" w:right="1031"/>
              <w:jc w:val="center"/>
              <w:rPr>
                <w:sz w:val="22"/>
              </w:rPr>
            </w:pPr>
            <w:r>
              <w:rPr>
                <w:sz w:val="22"/>
              </w:rPr>
              <w:t>法定代表人：张旭联系人：陈旭</w:t>
            </w:r>
          </w:p>
          <w:p>
            <w:pPr>
              <w:pStyle w:val="TableParagraph"/>
              <w:spacing w:line="266" w:lineRule="auto"/>
              <w:ind w:left="882" w:right="872"/>
              <w:jc w:val="center"/>
              <w:rPr>
                <w:rFonts w:ascii="Arial" w:eastAsia="Arial"/>
                <w:sz w:val="22"/>
              </w:rPr>
            </w:pPr>
            <w:r>
              <w:rPr>
                <w:sz w:val="22"/>
              </w:rPr>
              <w:t>电话：</w:t>
            </w:r>
            <w:r>
              <w:rPr>
                <w:rFonts w:ascii="Arial" w:eastAsia="Arial"/>
                <w:sz w:val="22"/>
              </w:rPr>
              <w:t>010-58160168 </w:t>
            </w:r>
            <w:r>
              <w:rPr>
                <w:sz w:val="22"/>
              </w:rPr>
              <w:t>传真：</w:t>
            </w:r>
            <w:r>
              <w:rPr>
                <w:rFonts w:ascii="Arial" w:eastAsia="Arial"/>
                <w:sz w:val="22"/>
              </w:rPr>
              <w:t>010-58160173</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400-810-5919</w:t>
            </w:r>
          </w:p>
          <w:p>
            <w:pPr>
              <w:pStyle w:val="TableParagraph"/>
              <w:spacing w:line="277" w:lineRule="exact" w:before="27"/>
              <w:ind w:left="101" w:right="95"/>
              <w:jc w:val="center"/>
              <w:rPr>
                <w:rFonts w:ascii="Arial" w:eastAsia="Arial"/>
                <w:sz w:val="22"/>
              </w:rPr>
            </w:pPr>
            <w:r>
              <w:rPr>
                <w:sz w:val="22"/>
              </w:rPr>
              <w:t>网址： </w:t>
            </w:r>
            <w:hyperlink r:id="rId141">
              <w:r>
                <w:rPr>
                  <w:rFonts w:ascii="Arial" w:eastAsia="Arial"/>
                  <w:sz w:val="22"/>
                </w:rPr>
                <w:t>www.fengfd.com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27"/>
              <w:jc w:val="right"/>
              <w:rPr>
                <w:rFonts w:ascii="Arial"/>
                <w:sz w:val="21"/>
              </w:rPr>
            </w:pPr>
            <w:r>
              <w:rPr>
                <w:rFonts w:ascii="Arial"/>
                <w:sz w:val="21"/>
              </w:rPr>
              <w:t>139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北京微动利基金销售有限公司</w:t>
            </w:r>
          </w:p>
        </w:tc>
        <w:tc>
          <w:tcPr>
            <w:tcW w:w="3848" w:type="dxa"/>
          </w:tcPr>
          <w:p>
            <w:pPr>
              <w:pStyle w:val="TableParagraph"/>
              <w:spacing w:before="15"/>
              <w:ind w:left="102" w:right="95"/>
              <w:jc w:val="center"/>
              <w:rPr>
                <w:sz w:val="22"/>
              </w:rPr>
            </w:pPr>
            <w:r>
              <w:rPr>
                <w:sz w:val="22"/>
              </w:rPr>
              <w:t>注册地址：北京市石景山区古城西路</w:t>
            </w:r>
          </w:p>
          <w:p>
            <w:pPr>
              <w:pStyle w:val="TableParagraph"/>
              <w:spacing w:before="30"/>
              <w:ind w:left="101" w:right="95"/>
              <w:jc w:val="center"/>
              <w:rPr>
                <w:sz w:val="22"/>
              </w:rPr>
            </w:pPr>
            <w:r>
              <w:rPr>
                <w:rFonts w:ascii="Arial" w:eastAsia="Arial"/>
                <w:sz w:val="22"/>
              </w:rPr>
              <w:t>113 </w:t>
            </w:r>
            <w:r>
              <w:rPr>
                <w:sz w:val="22"/>
              </w:rPr>
              <w:t>号景山财富中心 </w:t>
            </w:r>
            <w:r>
              <w:rPr>
                <w:rFonts w:ascii="Arial" w:eastAsia="Arial"/>
                <w:sz w:val="22"/>
              </w:rPr>
              <w:t>342 </w:t>
            </w:r>
            <w:r>
              <w:rPr>
                <w:sz w:val="22"/>
              </w:rPr>
              <w:t>室</w:t>
            </w:r>
          </w:p>
          <w:p>
            <w:pPr>
              <w:pStyle w:val="TableParagraph"/>
              <w:spacing w:before="30"/>
              <w:ind w:left="102" w:right="95"/>
              <w:jc w:val="center"/>
              <w:rPr>
                <w:sz w:val="22"/>
              </w:rPr>
            </w:pPr>
            <w:r>
              <w:rPr>
                <w:sz w:val="22"/>
              </w:rPr>
              <w:t>办公地址：北京市石景山区古城西路</w:t>
            </w:r>
          </w:p>
          <w:p>
            <w:pPr>
              <w:pStyle w:val="TableParagraph"/>
              <w:spacing w:line="266" w:lineRule="auto" w:before="30"/>
              <w:ind w:left="555" w:right="547"/>
              <w:jc w:val="center"/>
              <w:rPr>
                <w:sz w:val="22"/>
              </w:rPr>
            </w:pPr>
            <w:r>
              <w:rPr>
                <w:rFonts w:ascii="Arial" w:eastAsia="Arial"/>
                <w:sz w:val="22"/>
              </w:rPr>
              <w:t>113 </w:t>
            </w:r>
            <w:r>
              <w:rPr>
                <w:sz w:val="22"/>
              </w:rPr>
              <w:t>号景山财富中心 </w:t>
            </w:r>
            <w:r>
              <w:rPr>
                <w:rFonts w:ascii="Arial" w:eastAsia="Arial"/>
                <w:sz w:val="22"/>
              </w:rPr>
              <w:t>342 </w:t>
            </w:r>
            <w:r>
              <w:rPr>
                <w:sz w:val="22"/>
              </w:rPr>
              <w:t>室法定代表人：季长军</w:t>
            </w:r>
          </w:p>
          <w:p>
            <w:pPr>
              <w:pStyle w:val="TableParagraph"/>
              <w:spacing w:line="280" w:lineRule="exact"/>
              <w:ind w:left="102" w:right="95"/>
              <w:jc w:val="center"/>
              <w:rPr>
                <w:sz w:val="22"/>
              </w:rPr>
            </w:pPr>
            <w:r>
              <w:rPr>
                <w:sz w:val="22"/>
              </w:rPr>
              <w:t>联系人：何鹏</w:t>
            </w:r>
          </w:p>
          <w:p>
            <w:pPr>
              <w:pStyle w:val="TableParagraph"/>
              <w:spacing w:line="266" w:lineRule="auto" w:before="30"/>
              <w:ind w:left="882" w:right="872"/>
              <w:jc w:val="center"/>
              <w:rPr>
                <w:rFonts w:ascii="Arial" w:eastAsia="Arial"/>
                <w:sz w:val="22"/>
              </w:rPr>
            </w:pPr>
            <w:r>
              <w:rPr>
                <w:sz w:val="22"/>
              </w:rPr>
              <w:t>电话：</w:t>
            </w:r>
            <w:r>
              <w:rPr>
                <w:rFonts w:ascii="Arial" w:eastAsia="Arial"/>
                <w:sz w:val="22"/>
              </w:rPr>
              <w:t>010-52609656 </w:t>
            </w:r>
            <w:r>
              <w:rPr>
                <w:sz w:val="22"/>
              </w:rPr>
              <w:t>传真：</w:t>
            </w:r>
            <w:r>
              <w:rPr>
                <w:rFonts w:ascii="Arial" w:eastAsia="Arial"/>
                <w:sz w:val="22"/>
              </w:rPr>
              <w:t>010-51957430</w:t>
            </w:r>
          </w:p>
          <w:p>
            <w:pPr>
              <w:pStyle w:val="TableParagraph"/>
              <w:spacing w:line="280" w:lineRule="exact"/>
              <w:ind w:left="103" w:right="95"/>
              <w:jc w:val="center"/>
              <w:rPr>
                <w:rFonts w:ascii="Arial" w:eastAsia="Arial"/>
                <w:sz w:val="22"/>
              </w:rPr>
            </w:pPr>
            <w:r>
              <w:rPr>
                <w:spacing w:val="-2"/>
                <w:sz w:val="22"/>
              </w:rPr>
              <w:t>客户服务电话：</w:t>
            </w:r>
            <w:r>
              <w:rPr>
                <w:rFonts w:ascii="Arial" w:eastAsia="Arial"/>
                <w:spacing w:val="-1"/>
                <w:sz w:val="22"/>
              </w:rPr>
              <w:t>400-188-5678</w:t>
            </w:r>
          </w:p>
          <w:p>
            <w:pPr>
              <w:pStyle w:val="TableParagraph"/>
              <w:spacing w:line="279" w:lineRule="exact" w:before="30"/>
              <w:ind w:left="104" w:right="95"/>
              <w:jc w:val="center"/>
              <w:rPr>
                <w:rFonts w:ascii="Arial" w:eastAsia="Arial"/>
                <w:sz w:val="22"/>
              </w:rPr>
            </w:pPr>
            <w:r>
              <w:rPr>
                <w:spacing w:val="-1"/>
                <w:sz w:val="22"/>
              </w:rPr>
              <w:t>网址：</w:t>
            </w:r>
            <w:hyperlink r:id="rId142">
              <w:r>
                <w:rPr>
                  <w:rFonts w:ascii="Arial" w:eastAsia="Arial"/>
                  <w:spacing w:val="-1"/>
                  <w:sz w:val="22"/>
                </w:rPr>
                <w:t>www.buyforyou.com.cn</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140</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北京格上富信基金销售有限公司</w:t>
            </w:r>
          </w:p>
        </w:tc>
        <w:tc>
          <w:tcPr>
            <w:tcW w:w="3848" w:type="dxa"/>
            <w:tcBorders>
              <w:top w:val="nil"/>
            </w:tcBorders>
          </w:tcPr>
          <w:p>
            <w:pPr>
              <w:pStyle w:val="TableParagraph"/>
              <w:spacing w:before="15"/>
              <w:ind w:left="102" w:right="95"/>
              <w:jc w:val="center"/>
              <w:rPr>
                <w:sz w:val="22"/>
              </w:rPr>
            </w:pPr>
            <w:r>
              <w:rPr>
                <w:sz w:val="22"/>
              </w:rPr>
              <w:t>注册地址：北京市朝阳区东三环北路</w:t>
            </w:r>
          </w:p>
          <w:p>
            <w:pPr>
              <w:pStyle w:val="TableParagraph"/>
              <w:spacing w:before="30"/>
              <w:ind w:left="103" w:right="95"/>
              <w:jc w:val="center"/>
              <w:rPr>
                <w:sz w:val="22"/>
              </w:rPr>
            </w:pPr>
            <w:r>
              <w:rPr>
                <w:rFonts w:ascii="Arial" w:eastAsia="Arial"/>
                <w:sz w:val="22"/>
              </w:rPr>
              <w:t>19 </w:t>
            </w:r>
            <w:r>
              <w:rPr>
                <w:sz w:val="22"/>
              </w:rPr>
              <w:t>号楼 </w:t>
            </w:r>
            <w:r>
              <w:rPr>
                <w:rFonts w:ascii="Arial" w:eastAsia="Arial"/>
                <w:sz w:val="22"/>
              </w:rPr>
              <w:t>701 </w:t>
            </w:r>
            <w:r>
              <w:rPr>
                <w:sz w:val="22"/>
              </w:rPr>
              <w:t>内 </w:t>
            </w:r>
            <w:r>
              <w:rPr>
                <w:rFonts w:ascii="Arial" w:eastAsia="Arial"/>
                <w:sz w:val="22"/>
              </w:rPr>
              <w:t>09 </w:t>
            </w:r>
            <w:r>
              <w:rPr>
                <w:sz w:val="22"/>
              </w:rPr>
              <w:t>室</w:t>
            </w:r>
          </w:p>
          <w:p>
            <w:pPr>
              <w:pStyle w:val="TableParagraph"/>
              <w:spacing w:before="31"/>
              <w:ind w:left="102" w:right="95"/>
              <w:jc w:val="center"/>
              <w:rPr>
                <w:sz w:val="22"/>
              </w:rPr>
            </w:pPr>
            <w:r>
              <w:rPr>
                <w:sz w:val="22"/>
              </w:rPr>
              <w:t>办公地址：北京市朝阳区东三环北路</w:t>
            </w:r>
          </w:p>
          <w:p>
            <w:pPr>
              <w:pStyle w:val="TableParagraph"/>
              <w:spacing w:line="266" w:lineRule="auto" w:before="30"/>
              <w:ind w:left="916" w:right="905"/>
              <w:jc w:val="center"/>
              <w:rPr>
                <w:sz w:val="22"/>
              </w:rPr>
            </w:pPr>
            <w:r>
              <w:rPr>
                <w:rFonts w:ascii="Arial" w:eastAsia="Arial"/>
                <w:sz w:val="22"/>
              </w:rPr>
              <w:t>19 </w:t>
            </w:r>
            <w:r>
              <w:rPr>
                <w:spacing w:val="-19"/>
                <w:sz w:val="22"/>
              </w:rPr>
              <w:t>号楼 </w:t>
            </w:r>
            <w:r>
              <w:rPr>
                <w:rFonts w:ascii="Arial" w:eastAsia="Arial"/>
                <w:sz w:val="22"/>
              </w:rPr>
              <w:t>701 </w:t>
            </w:r>
            <w:r>
              <w:rPr>
                <w:spacing w:val="-28"/>
                <w:sz w:val="22"/>
              </w:rPr>
              <w:t>内 </w:t>
            </w:r>
            <w:r>
              <w:rPr>
                <w:rFonts w:ascii="Arial" w:eastAsia="Arial"/>
                <w:sz w:val="22"/>
              </w:rPr>
              <w:t>09 </w:t>
            </w:r>
            <w:r>
              <w:rPr>
                <w:spacing w:val="-12"/>
                <w:sz w:val="22"/>
              </w:rPr>
              <w:t>室</w:t>
            </w:r>
            <w:r>
              <w:rPr>
                <w:spacing w:val="-2"/>
                <w:sz w:val="22"/>
              </w:rPr>
              <w:t>法定代表人：李悦章</w:t>
            </w:r>
            <w:r>
              <w:rPr>
                <w:spacing w:val="-3"/>
                <w:sz w:val="22"/>
              </w:rPr>
              <w:t>联系人：曹庆展</w:t>
            </w:r>
          </w:p>
          <w:p>
            <w:pPr>
              <w:pStyle w:val="TableParagraph"/>
              <w:spacing w:line="266" w:lineRule="auto"/>
              <w:ind w:left="882" w:right="872"/>
              <w:jc w:val="center"/>
              <w:rPr>
                <w:rFonts w:ascii="Arial" w:eastAsia="Arial"/>
                <w:sz w:val="22"/>
              </w:rPr>
            </w:pPr>
            <w:r>
              <w:rPr>
                <w:sz w:val="22"/>
              </w:rPr>
              <w:t>电话：</w:t>
            </w:r>
            <w:r>
              <w:rPr>
                <w:rFonts w:ascii="Arial" w:eastAsia="Arial"/>
                <w:sz w:val="22"/>
              </w:rPr>
              <w:t>010-65983311 </w:t>
            </w:r>
            <w:r>
              <w:rPr>
                <w:sz w:val="22"/>
              </w:rPr>
              <w:t>传真：</w:t>
            </w:r>
            <w:r>
              <w:rPr>
                <w:rFonts w:ascii="Arial" w:eastAsia="Arial"/>
                <w:sz w:val="22"/>
              </w:rPr>
              <w:t>010-65983333</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400-066-8586</w:t>
            </w:r>
          </w:p>
          <w:p>
            <w:pPr>
              <w:pStyle w:val="TableParagraph"/>
              <w:spacing w:line="277" w:lineRule="exact" w:before="27"/>
              <w:ind w:left="103" w:right="95"/>
              <w:jc w:val="center"/>
              <w:rPr>
                <w:rFonts w:ascii="Arial" w:eastAsia="Arial"/>
                <w:sz w:val="22"/>
              </w:rPr>
            </w:pPr>
            <w:r>
              <w:rPr>
                <w:sz w:val="22"/>
              </w:rPr>
              <w:t>网址：</w:t>
            </w:r>
            <w:hyperlink r:id="rId143">
              <w:r>
                <w:rPr>
                  <w:rFonts w:ascii="Arial" w:eastAsia="Arial"/>
                  <w:sz w:val="22"/>
                </w:rPr>
                <w:t>www.igesafe.com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141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北京肯特瑞基金销售有限公司</w:t>
            </w:r>
          </w:p>
        </w:tc>
        <w:tc>
          <w:tcPr>
            <w:tcW w:w="3848" w:type="dxa"/>
          </w:tcPr>
          <w:p>
            <w:pPr>
              <w:pStyle w:val="TableParagraph"/>
              <w:spacing w:line="266" w:lineRule="auto" w:before="15"/>
              <w:ind w:left="107" w:right="95"/>
              <w:jc w:val="center"/>
              <w:rPr>
                <w:rFonts w:ascii="Arial" w:eastAsia="Arial"/>
                <w:sz w:val="22"/>
              </w:rPr>
            </w:pPr>
            <w:r>
              <w:rPr>
                <w:sz w:val="22"/>
              </w:rPr>
              <w:t>注册地址： 北京市海淀区西三旗建材城中路 </w:t>
            </w:r>
            <w:r>
              <w:rPr>
                <w:rFonts w:ascii="Arial" w:eastAsia="Arial"/>
                <w:sz w:val="22"/>
              </w:rPr>
              <w:t>12 </w:t>
            </w:r>
            <w:r>
              <w:rPr>
                <w:sz w:val="22"/>
              </w:rPr>
              <w:t>号 </w:t>
            </w:r>
            <w:r>
              <w:rPr>
                <w:rFonts w:ascii="Arial" w:eastAsia="Arial"/>
                <w:sz w:val="22"/>
              </w:rPr>
              <w:t>17 </w:t>
            </w:r>
            <w:r>
              <w:rPr>
                <w:sz w:val="22"/>
              </w:rPr>
              <w:t>号平房 </w:t>
            </w:r>
            <w:r>
              <w:rPr>
                <w:rFonts w:ascii="Arial" w:eastAsia="Arial"/>
                <w:sz w:val="22"/>
              </w:rPr>
              <w:t>157</w:t>
            </w:r>
          </w:p>
          <w:p>
            <w:pPr>
              <w:pStyle w:val="TableParagraph"/>
              <w:spacing w:line="266" w:lineRule="auto"/>
              <w:ind w:left="107" w:right="95" w:hanging="1"/>
              <w:jc w:val="center"/>
              <w:rPr>
                <w:sz w:val="22"/>
              </w:rPr>
            </w:pPr>
            <w:r>
              <w:rPr>
                <w:spacing w:val="-4"/>
                <w:sz w:val="22"/>
              </w:rPr>
              <w:t>办公地址： 北京市通州区亦庄经济技</w:t>
            </w:r>
            <w:r>
              <w:rPr>
                <w:spacing w:val="-8"/>
                <w:sz w:val="22"/>
              </w:rPr>
              <w:t>术开发区科创十一街 </w:t>
            </w:r>
            <w:r>
              <w:rPr>
                <w:rFonts w:ascii="Arial" w:eastAsia="Arial"/>
                <w:sz w:val="22"/>
              </w:rPr>
              <w:t>18</w:t>
            </w:r>
            <w:r>
              <w:rPr>
                <w:rFonts w:ascii="Arial" w:eastAsia="Arial"/>
                <w:spacing w:val="-16"/>
                <w:sz w:val="22"/>
              </w:rPr>
              <w:t> </w:t>
            </w:r>
            <w:r>
              <w:rPr>
                <w:spacing w:val="-4"/>
                <w:sz w:val="22"/>
              </w:rPr>
              <w:t>号院京东集团</w:t>
            </w:r>
            <w:r>
              <w:rPr>
                <w:spacing w:val="-19"/>
                <w:sz w:val="22"/>
              </w:rPr>
              <w:t>总部 </w:t>
            </w:r>
            <w:r>
              <w:rPr>
                <w:rFonts w:ascii="Arial" w:eastAsia="Arial"/>
                <w:sz w:val="22"/>
              </w:rPr>
              <w:t>A</w:t>
            </w:r>
            <w:r>
              <w:rPr>
                <w:rFonts w:ascii="Arial" w:eastAsia="Arial"/>
                <w:spacing w:val="-7"/>
                <w:sz w:val="22"/>
              </w:rPr>
              <w:t> </w:t>
            </w:r>
            <w:r>
              <w:rPr>
                <w:spacing w:val="-28"/>
                <w:sz w:val="22"/>
              </w:rPr>
              <w:t>座 </w:t>
            </w:r>
            <w:r>
              <w:rPr>
                <w:rFonts w:ascii="Arial" w:eastAsia="Arial"/>
                <w:sz w:val="22"/>
              </w:rPr>
              <w:t>15</w:t>
            </w:r>
            <w:r>
              <w:rPr>
                <w:rFonts w:ascii="Arial" w:eastAsia="Arial"/>
                <w:spacing w:val="-9"/>
                <w:sz w:val="22"/>
              </w:rPr>
              <w:t> </w:t>
            </w:r>
            <w:r>
              <w:rPr>
                <w:sz w:val="22"/>
              </w:rPr>
              <w:t>层</w:t>
            </w:r>
          </w:p>
          <w:p>
            <w:pPr>
              <w:pStyle w:val="TableParagraph"/>
              <w:tabs>
                <w:tab w:pos="1760" w:val="left" w:leader="none"/>
              </w:tabs>
              <w:spacing w:line="266" w:lineRule="auto"/>
              <w:ind w:left="877" w:right="865"/>
              <w:jc w:val="center"/>
              <w:rPr>
                <w:rFonts w:ascii="Arial" w:eastAsia="Arial"/>
                <w:sz w:val="22"/>
              </w:rPr>
            </w:pPr>
            <w:r>
              <w:rPr>
                <w:sz w:val="22"/>
              </w:rPr>
              <w:t>法定代</w:t>
            </w:r>
            <w:r>
              <w:rPr>
                <w:spacing w:val="-3"/>
                <w:sz w:val="22"/>
              </w:rPr>
              <w:t>表</w:t>
            </w:r>
            <w:r>
              <w:rPr>
                <w:sz w:val="22"/>
              </w:rPr>
              <w:t>人：</w:t>
            </w:r>
            <w:r>
              <w:rPr>
                <w:spacing w:val="7"/>
                <w:sz w:val="22"/>
              </w:rPr>
              <w:t> </w:t>
            </w:r>
            <w:r>
              <w:rPr>
                <w:spacing w:val="-3"/>
                <w:sz w:val="22"/>
              </w:rPr>
              <w:t>王</w:t>
            </w:r>
            <w:r>
              <w:rPr>
                <w:sz w:val="22"/>
              </w:rPr>
              <w:t>苏</w:t>
            </w:r>
            <w:r>
              <w:rPr>
                <w:spacing w:val="-16"/>
                <w:sz w:val="22"/>
              </w:rPr>
              <w:t>宁</w:t>
            </w:r>
            <w:r>
              <w:rPr>
                <w:sz w:val="22"/>
              </w:rPr>
              <w:t>电话：</w:t>
              <w:tab/>
            </w:r>
            <w:r>
              <w:rPr>
                <w:rFonts w:ascii="Arial" w:eastAsia="Arial"/>
                <w:sz w:val="22"/>
              </w:rPr>
              <w:t>95118</w:t>
            </w:r>
          </w:p>
          <w:p>
            <w:pPr>
              <w:pStyle w:val="TableParagraph"/>
              <w:spacing w:line="280" w:lineRule="exact"/>
              <w:ind w:left="102" w:right="95"/>
              <w:jc w:val="center"/>
              <w:rPr>
                <w:rFonts w:ascii="Arial" w:eastAsia="Arial"/>
                <w:sz w:val="22"/>
              </w:rPr>
            </w:pPr>
            <w:r>
              <w:rPr>
                <w:sz w:val="22"/>
              </w:rPr>
              <w:t>传真：</w:t>
            </w:r>
            <w:r>
              <w:rPr>
                <w:rFonts w:ascii="Arial" w:eastAsia="Arial"/>
                <w:sz w:val="22"/>
              </w:rPr>
              <w:t>010-89189566</w:t>
            </w:r>
          </w:p>
          <w:p>
            <w:pPr>
              <w:pStyle w:val="TableParagraph"/>
              <w:spacing w:before="26"/>
              <w:ind w:left="105" w:right="95"/>
              <w:jc w:val="center"/>
              <w:rPr>
                <w:rFonts w:ascii="Arial" w:eastAsia="Arial"/>
                <w:sz w:val="22"/>
              </w:rPr>
            </w:pPr>
            <w:r>
              <w:rPr>
                <w:sz w:val="22"/>
              </w:rPr>
              <w:t>客服热线： </w:t>
            </w:r>
            <w:r>
              <w:rPr>
                <w:rFonts w:ascii="Arial" w:eastAsia="Arial"/>
                <w:sz w:val="22"/>
              </w:rPr>
              <w:t>95118</w:t>
            </w:r>
          </w:p>
          <w:p>
            <w:pPr>
              <w:pStyle w:val="TableParagraph"/>
              <w:spacing w:line="277" w:lineRule="exact" w:before="30"/>
              <w:ind w:left="104" w:right="95"/>
              <w:jc w:val="center"/>
              <w:rPr>
                <w:rFonts w:ascii="Arial" w:eastAsia="Arial"/>
                <w:sz w:val="22"/>
              </w:rPr>
            </w:pPr>
            <w:r>
              <w:rPr>
                <w:sz w:val="22"/>
              </w:rPr>
              <w:t>公司网站： </w:t>
            </w:r>
            <w:r>
              <w:rPr>
                <w:rFonts w:ascii="Arial" w:eastAsia="Arial"/>
                <w:sz w:val="22"/>
              </w:rPr>
              <w:t>kenterui.jd.com</w:t>
            </w:r>
          </w:p>
        </w:tc>
      </w:tr>
      <w:tr>
        <w:trPr>
          <w:trHeight w:val="2183"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27"/>
              <w:jc w:val="right"/>
              <w:rPr>
                <w:rFonts w:ascii="Arial"/>
                <w:sz w:val="21"/>
              </w:rPr>
            </w:pPr>
            <w:r>
              <w:rPr>
                <w:rFonts w:ascii="Arial"/>
                <w:sz w:val="21"/>
              </w:rPr>
              <w:t>142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2" w:right="77"/>
              <w:jc w:val="center"/>
              <w:rPr>
                <w:sz w:val="22"/>
              </w:rPr>
            </w:pPr>
            <w:r>
              <w:rPr>
                <w:sz w:val="22"/>
              </w:rPr>
              <w:t>上海朝阳永续基金销售有限公司</w:t>
            </w:r>
          </w:p>
        </w:tc>
        <w:tc>
          <w:tcPr>
            <w:tcW w:w="3848" w:type="dxa"/>
          </w:tcPr>
          <w:p>
            <w:pPr>
              <w:pStyle w:val="TableParagraph"/>
              <w:spacing w:before="15"/>
              <w:ind w:left="107"/>
              <w:jc w:val="both"/>
              <w:rPr>
                <w:rFonts w:ascii="Arial" w:eastAsia="Arial"/>
                <w:sz w:val="22"/>
              </w:rPr>
            </w:pPr>
            <w:r>
              <w:rPr>
                <w:spacing w:val="-14"/>
                <w:sz w:val="22"/>
              </w:rPr>
              <w:t>注册地址：上海市浦东新区上封路 </w:t>
            </w:r>
            <w:r>
              <w:rPr>
                <w:rFonts w:ascii="Arial" w:eastAsia="Arial"/>
                <w:sz w:val="22"/>
              </w:rPr>
              <w:t>977</w:t>
            </w:r>
          </w:p>
          <w:p>
            <w:pPr>
              <w:pStyle w:val="TableParagraph"/>
              <w:spacing w:line="266" w:lineRule="auto" w:before="30"/>
              <w:ind w:left="1040" w:right="989" w:hanging="44"/>
              <w:jc w:val="both"/>
              <w:rPr>
                <w:sz w:val="22"/>
              </w:rPr>
            </w:pPr>
            <w:r>
              <w:rPr>
                <w:spacing w:val="-28"/>
                <w:sz w:val="22"/>
              </w:rPr>
              <w:t>号 </w:t>
            </w:r>
            <w:r>
              <w:rPr>
                <w:rFonts w:ascii="Arial" w:eastAsia="Arial"/>
                <w:sz w:val="22"/>
              </w:rPr>
              <w:t>1 </w:t>
            </w:r>
            <w:r>
              <w:rPr>
                <w:spacing w:val="-28"/>
                <w:sz w:val="22"/>
              </w:rPr>
              <w:t>幢 </w:t>
            </w:r>
            <w:r>
              <w:rPr>
                <w:rFonts w:ascii="Arial" w:eastAsia="Arial"/>
                <w:sz w:val="22"/>
              </w:rPr>
              <w:t>B </w:t>
            </w:r>
            <w:r>
              <w:rPr>
                <w:spacing w:val="-28"/>
                <w:sz w:val="22"/>
              </w:rPr>
              <w:t>座 </w:t>
            </w:r>
            <w:r>
              <w:rPr>
                <w:rFonts w:ascii="Arial" w:eastAsia="Arial"/>
                <w:sz w:val="22"/>
              </w:rPr>
              <w:t>812 </w:t>
            </w:r>
            <w:r>
              <w:rPr>
                <w:spacing w:val="-12"/>
                <w:sz w:val="22"/>
              </w:rPr>
              <w:t>室</w:t>
            </w:r>
            <w:r>
              <w:rPr>
                <w:spacing w:val="-2"/>
                <w:sz w:val="22"/>
              </w:rPr>
              <w:t>法定代表人：廖冰</w:t>
            </w:r>
            <w:r>
              <w:rPr>
                <w:spacing w:val="-3"/>
                <w:sz w:val="22"/>
              </w:rPr>
              <w:t>联系人：陆纪青</w:t>
            </w:r>
          </w:p>
          <w:p>
            <w:pPr>
              <w:pStyle w:val="TableParagraph"/>
              <w:spacing w:line="279" w:lineRule="exact"/>
              <w:ind w:left="102" w:right="95"/>
              <w:jc w:val="center"/>
              <w:rPr>
                <w:rFonts w:ascii="Arial" w:eastAsia="Arial"/>
                <w:sz w:val="22"/>
              </w:rPr>
            </w:pPr>
            <w:r>
              <w:rPr>
                <w:sz w:val="22"/>
              </w:rPr>
              <w:t>电话：</w:t>
            </w:r>
            <w:r>
              <w:rPr>
                <w:rFonts w:ascii="Arial" w:eastAsia="Arial"/>
                <w:sz w:val="22"/>
              </w:rPr>
              <w:t>15902135304</w:t>
            </w:r>
          </w:p>
          <w:p>
            <w:pPr>
              <w:pStyle w:val="TableParagraph"/>
              <w:spacing w:line="310" w:lineRule="atLeast" w:before="2"/>
              <w:ind w:left="539" w:right="531"/>
              <w:jc w:val="center"/>
              <w:rPr>
                <w:rFonts w:ascii="Arial" w:eastAsia="Arial"/>
                <w:sz w:val="22"/>
              </w:rPr>
            </w:pPr>
            <w:r>
              <w:rPr>
                <w:sz w:val="22"/>
              </w:rPr>
              <w:t>客户服务电话：</w:t>
            </w:r>
            <w:r>
              <w:rPr>
                <w:rFonts w:ascii="Arial" w:eastAsia="Arial"/>
                <w:sz w:val="22"/>
              </w:rPr>
              <w:t>4009987172 </w:t>
            </w:r>
            <w:r>
              <w:rPr>
                <w:sz w:val="22"/>
              </w:rPr>
              <w:t>网址： </w:t>
            </w:r>
            <w:hyperlink r:id="rId144">
              <w:r>
                <w:rPr>
                  <w:rFonts w:ascii="Arial" w:eastAsia="Arial"/>
                  <w:sz w:val="22"/>
                </w:rPr>
                <w:t>www.998fund.com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143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泛华普益基金销售有限公司</w:t>
            </w:r>
          </w:p>
        </w:tc>
        <w:tc>
          <w:tcPr>
            <w:tcW w:w="3848" w:type="dxa"/>
          </w:tcPr>
          <w:p>
            <w:pPr>
              <w:pStyle w:val="TableParagraph"/>
              <w:spacing w:line="266" w:lineRule="auto" w:before="15"/>
              <w:ind w:left="70" w:right="57"/>
              <w:jc w:val="center"/>
              <w:rPr>
                <w:sz w:val="22"/>
              </w:rPr>
            </w:pPr>
            <w:r>
              <w:rPr>
                <w:sz w:val="22"/>
              </w:rPr>
              <w:t>注册地址： 成都市成华区建设路 </w:t>
            </w:r>
            <w:r>
              <w:rPr>
                <w:rFonts w:ascii="Arial" w:eastAsia="Arial"/>
                <w:sz w:val="22"/>
              </w:rPr>
              <w:t>9 </w:t>
            </w:r>
            <w:r>
              <w:rPr>
                <w:sz w:val="22"/>
              </w:rPr>
              <w:t>号高地中心 </w:t>
            </w:r>
            <w:r>
              <w:rPr>
                <w:rFonts w:ascii="Arial" w:eastAsia="Arial"/>
                <w:sz w:val="22"/>
              </w:rPr>
              <w:t>1101 </w:t>
            </w:r>
            <w:r>
              <w:rPr>
                <w:sz w:val="22"/>
              </w:rPr>
              <w:t>室</w:t>
            </w:r>
          </w:p>
          <w:p>
            <w:pPr>
              <w:pStyle w:val="TableParagraph"/>
              <w:spacing w:line="280" w:lineRule="exact"/>
              <w:ind w:left="10"/>
              <w:jc w:val="center"/>
              <w:rPr>
                <w:sz w:val="22"/>
              </w:rPr>
            </w:pPr>
            <w:r>
              <w:rPr>
                <w:sz w:val="22"/>
              </w:rPr>
              <w:t>办公地址：四川省成都市锦江区东大街</w:t>
            </w:r>
          </w:p>
          <w:p>
            <w:pPr>
              <w:pStyle w:val="TableParagraph"/>
              <w:spacing w:line="266" w:lineRule="auto" w:before="30"/>
              <w:ind w:left="484" w:right="471"/>
              <w:jc w:val="center"/>
              <w:rPr>
                <w:sz w:val="22"/>
              </w:rPr>
            </w:pPr>
            <w:r>
              <w:rPr>
                <w:rFonts w:ascii="Arial" w:eastAsia="Arial"/>
                <w:sz w:val="22"/>
              </w:rPr>
              <w:t>99</w:t>
            </w:r>
            <w:r>
              <w:rPr>
                <w:rFonts w:ascii="Arial" w:eastAsia="Arial"/>
                <w:spacing w:val="-6"/>
                <w:sz w:val="22"/>
              </w:rPr>
              <w:t> </w:t>
            </w:r>
            <w:r>
              <w:rPr>
                <w:spacing w:val="-8"/>
                <w:sz w:val="22"/>
              </w:rPr>
              <w:t>号平安金融中心 </w:t>
            </w:r>
            <w:r>
              <w:rPr>
                <w:rFonts w:ascii="Arial" w:eastAsia="Arial"/>
                <w:sz w:val="22"/>
              </w:rPr>
              <w:t>1501</w:t>
            </w:r>
            <w:r>
              <w:rPr>
                <w:rFonts w:ascii="Arial" w:eastAsia="Arial"/>
                <w:spacing w:val="-7"/>
                <w:sz w:val="22"/>
              </w:rPr>
              <w:t> </w:t>
            </w:r>
            <w:r>
              <w:rPr>
                <w:spacing w:val="-8"/>
                <w:sz w:val="22"/>
              </w:rPr>
              <w:t>单元</w:t>
            </w:r>
            <w:r>
              <w:rPr>
                <w:spacing w:val="-2"/>
                <w:sz w:val="22"/>
              </w:rPr>
              <w:t>法定代表人： 于海锋</w:t>
            </w:r>
          </w:p>
          <w:p>
            <w:pPr>
              <w:pStyle w:val="TableParagraph"/>
              <w:spacing w:line="266" w:lineRule="auto"/>
              <w:ind w:left="882" w:right="872" w:firstLine="324"/>
              <w:rPr>
                <w:rFonts w:ascii="Arial" w:eastAsia="Arial"/>
                <w:sz w:val="22"/>
              </w:rPr>
            </w:pPr>
            <w:r>
              <w:rPr>
                <w:spacing w:val="-1"/>
                <w:sz w:val="22"/>
              </w:rPr>
              <w:t>联系人：  王峰电话：</w:t>
            </w:r>
            <w:r>
              <w:rPr>
                <w:rFonts w:ascii="Arial" w:eastAsia="Arial"/>
                <w:spacing w:val="-1"/>
                <w:sz w:val="22"/>
              </w:rPr>
              <w:t>028-84252474 </w:t>
            </w:r>
            <w:r>
              <w:rPr>
                <w:spacing w:val="-1"/>
                <w:sz w:val="22"/>
              </w:rPr>
              <w:t>传真：</w:t>
            </w:r>
            <w:r>
              <w:rPr>
                <w:rFonts w:ascii="Arial" w:eastAsia="Arial"/>
                <w:spacing w:val="-1"/>
                <w:sz w:val="22"/>
              </w:rPr>
              <w:t>028-84252474</w:t>
            </w:r>
          </w:p>
          <w:p>
            <w:pPr>
              <w:pStyle w:val="TableParagraph"/>
              <w:spacing w:line="279" w:lineRule="exact"/>
              <w:ind w:left="103" w:right="95"/>
              <w:jc w:val="center"/>
              <w:rPr>
                <w:rFonts w:ascii="Arial" w:eastAsia="Arial"/>
                <w:sz w:val="22"/>
              </w:rPr>
            </w:pPr>
            <w:r>
              <w:rPr>
                <w:sz w:val="22"/>
              </w:rPr>
              <w:t>客户服务电话：</w:t>
            </w:r>
            <w:r>
              <w:rPr>
                <w:rFonts w:ascii="Arial" w:eastAsia="Arial"/>
                <w:sz w:val="22"/>
              </w:rPr>
              <w:t>4008-588-588</w:t>
            </w:r>
          </w:p>
          <w:p>
            <w:pPr>
              <w:pStyle w:val="TableParagraph"/>
              <w:spacing w:line="277" w:lineRule="exact" w:before="29"/>
              <w:ind w:left="102" w:right="95"/>
              <w:jc w:val="center"/>
              <w:rPr>
                <w:rFonts w:ascii="Arial" w:eastAsia="Arial"/>
                <w:sz w:val="22"/>
              </w:rPr>
            </w:pPr>
            <w:r>
              <w:rPr>
                <w:sz w:val="22"/>
              </w:rPr>
              <w:t>网址：</w:t>
            </w:r>
            <w:r>
              <w:rPr>
                <w:rFonts w:ascii="Arial" w:eastAsia="Arial"/>
                <w:sz w:val="22"/>
              </w:rPr>
              <w:t>https://</w:t>
            </w:r>
            <w:hyperlink r:id="rId145">
              <w:r>
                <w:rPr>
                  <w:rFonts w:ascii="Arial" w:eastAsia="Arial"/>
                  <w:sz w:val="22"/>
                </w:rPr>
                <w:t>www.puyifund.com/</w:t>
              </w:r>
            </w:hyperlink>
          </w:p>
        </w:tc>
      </w:tr>
      <w:tr>
        <w:trPr>
          <w:trHeight w:val="228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91"/>
              <w:ind w:right="127"/>
              <w:jc w:val="right"/>
              <w:rPr>
                <w:rFonts w:ascii="Arial"/>
                <w:sz w:val="21"/>
              </w:rPr>
            </w:pPr>
            <w:r>
              <w:rPr>
                <w:rFonts w:ascii="Arial"/>
                <w:sz w:val="21"/>
              </w:rPr>
              <w:t>144</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1"/>
              </w:rPr>
            </w:pPr>
          </w:p>
          <w:p>
            <w:pPr>
              <w:pStyle w:val="TableParagraph"/>
              <w:spacing w:before="1"/>
              <w:ind w:left="77" w:right="77"/>
              <w:jc w:val="center"/>
              <w:rPr>
                <w:sz w:val="22"/>
              </w:rPr>
            </w:pPr>
            <w:r>
              <w:rPr>
                <w:sz w:val="22"/>
              </w:rPr>
              <w:t>上海华夏财富投资管理有限公司</w:t>
            </w:r>
          </w:p>
        </w:tc>
        <w:tc>
          <w:tcPr>
            <w:tcW w:w="3848" w:type="dxa"/>
          </w:tcPr>
          <w:p>
            <w:pPr>
              <w:pStyle w:val="TableParagraph"/>
              <w:spacing w:before="65"/>
              <w:ind w:left="10"/>
              <w:jc w:val="center"/>
              <w:rPr>
                <w:rFonts w:ascii="Arial" w:eastAsia="Arial"/>
                <w:sz w:val="22"/>
              </w:rPr>
            </w:pPr>
            <w:r>
              <w:rPr>
                <w:sz w:val="22"/>
              </w:rPr>
              <w:t>注册地址：上海市虹口区东大名路 </w:t>
            </w:r>
            <w:r>
              <w:rPr>
                <w:rFonts w:ascii="Arial" w:eastAsia="Arial"/>
                <w:sz w:val="22"/>
              </w:rPr>
              <w:t>687</w:t>
            </w:r>
          </w:p>
          <w:p>
            <w:pPr>
              <w:pStyle w:val="TableParagraph"/>
              <w:spacing w:before="30"/>
              <w:ind w:left="101" w:right="95"/>
              <w:jc w:val="center"/>
              <w:rPr>
                <w:sz w:val="22"/>
              </w:rPr>
            </w:pPr>
            <w:r>
              <w:rPr>
                <w:sz w:val="22"/>
              </w:rPr>
              <w:t>号 </w:t>
            </w:r>
            <w:r>
              <w:rPr>
                <w:rFonts w:ascii="Arial" w:eastAsia="Arial"/>
                <w:sz w:val="22"/>
              </w:rPr>
              <w:t>1 </w:t>
            </w:r>
            <w:r>
              <w:rPr>
                <w:sz w:val="22"/>
              </w:rPr>
              <w:t>幢 </w:t>
            </w:r>
            <w:r>
              <w:rPr>
                <w:rFonts w:ascii="Arial" w:eastAsia="Arial"/>
                <w:sz w:val="22"/>
              </w:rPr>
              <w:t>2 </w:t>
            </w:r>
            <w:r>
              <w:rPr>
                <w:sz w:val="22"/>
              </w:rPr>
              <w:t>楼 </w:t>
            </w:r>
            <w:r>
              <w:rPr>
                <w:rFonts w:ascii="Arial" w:eastAsia="Arial"/>
                <w:sz w:val="22"/>
              </w:rPr>
              <w:t>268 </w:t>
            </w:r>
            <w:r>
              <w:rPr>
                <w:sz w:val="22"/>
              </w:rPr>
              <w:t>室</w:t>
            </w:r>
          </w:p>
          <w:p>
            <w:pPr>
              <w:pStyle w:val="TableParagraph"/>
              <w:spacing w:before="30"/>
              <w:ind w:left="8"/>
              <w:jc w:val="center"/>
              <w:rPr>
                <w:rFonts w:ascii="Arial" w:eastAsia="Arial"/>
                <w:sz w:val="22"/>
              </w:rPr>
            </w:pPr>
            <w:r>
              <w:rPr>
                <w:sz w:val="22"/>
              </w:rPr>
              <w:t>办公地址：北京市西城区金融大街 </w:t>
            </w:r>
            <w:r>
              <w:rPr>
                <w:rFonts w:ascii="Arial" w:eastAsia="Arial"/>
                <w:sz w:val="22"/>
              </w:rPr>
              <w:t>33</w:t>
            </w:r>
          </w:p>
          <w:p>
            <w:pPr>
              <w:pStyle w:val="TableParagraph"/>
              <w:spacing w:line="266" w:lineRule="auto" w:before="30"/>
              <w:ind w:left="906" w:right="896"/>
              <w:jc w:val="center"/>
              <w:rPr>
                <w:sz w:val="22"/>
              </w:rPr>
            </w:pPr>
            <w:r>
              <w:rPr>
                <w:spacing w:val="-10"/>
                <w:sz w:val="22"/>
              </w:rPr>
              <w:t>号通泰大厦 </w:t>
            </w:r>
            <w:r>
              <w:rPr>
                <w:rFonts w:ascii="Arial" w:eastAsia="Arial"/>
                <w:sz w:val="22"/>
              </w:rPr>
              <w:t>B </w:t>
            </w:r>
            <w:r>
              <w:rPr>
                <w:spacing w:val="-27"/>
                <w:sz w:val="22"/>
              </w:rPr>
              <w:t>座 </w:t>
            </w:r>
            <w:r>
              <w:rPr>
                <w:rFonts w:ascii="Arial" w:eastAsia="Arial"/>
                <w:sz w:val="22"/>
              </w:rPr>
              <w:t>8 </w:t>
            </w:r>
            <w:r>
              <w:rPr>
                <w:spacing w:val="-15"/>
                <w:sz w:val="22"/>
              </w:rPr>
              <w:t>层</w:t>
            </w:r>
            <w:r>
              <w:rPr>
                <w:spacing w:val="-2"/>
                <w:sz w:val="22"/>
              </w:rPr>
              <w:t>法定代表人：李一梅</w:t>
            </w:r>
            <w:r>
              <w:rPr>
                <w:spacing w:val="-3"/>
                <w:sz w:val="22"/>
              </w:rPr>
              <w:t>联系人：仲秋玥</w:t>
            </w:r>
          </w:p>
          <w:p>
            <w:pPr>
              <w:pStyle w:val="TableParagraph"/>
              <w:spacing w:line="280" w:lineRule="exact"/>
              <w:ind w:left="102" w:right="95"/>
              <w:jc w:val="center"/>
              <w:rPr>
                <w:rFonts w:ascii="Arial" w:eastAsia="Arial"/>
                <w:sz w:val="22"/>
              </w:rPr>
            </w:pPr>
            <w:r>
              <w:rPr>
                <w:sz w:val="22"/>
              </w:rPr>
              <w:t>电话：</w:t>
            </w:r>
            <w:r>
              <w:rPr>
                <w:rFonts w:ascii="Arial" w:eastAsia="Arial"/>
                <w:sz w:val="22"/>
              </w:rPr>
              <w:t>010-88066632</w:t>
            </w:r>
          </w:p>
        </w:tc>
      </w:tr>
    </w:tbl>
    <w:p>
      <w:pPr>
        <w:spacing w:after="0" w:line="280"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2280" w:hRule="atLeast"/>
        </w:trPr>
        <w:tc>
          <w:tcPr>
            <w:tcW w:w="634" w:type="dxa"/>
            <w:tcBorders>
              <w:top w:val="nil"/>
            </w:tcBorders>
          </w:tcPr>
          <w:p>
            <w:pPr>
              <w:pStyle w:val="TableParagraph"/>
              <w:rPr>
                <w:rFonts w:ascii="Times New Roman"/>
                <w:sz w:val="20"/>
              </w:rPr>
            </w:pPr>
          </w:p>
        </w:tc>
        <w:tc>
          <w:tcPr>
            <w:tcW w:w="3949" w:type="dxa"/>
            <w:tcBorders>
              <w:top w:val="nil"/>
            </w:tcBorders>
          </w:tcPr>
          <w:p>
            <w:pPr>
              <w:pStyle w:val="TableParagraph"/>
              <w:rPr>
                <w:rFonts w:ascii="Times New Roman"/>
                <w:sz w:val="20"/>
              </w:rPr>
            </w:pPr>
          </w:p>
        </w:tc>
        <w:tc>
          <w:tcPr>
            <w:tcW w:w="3848" w:type="dxa"/>
            <w:tcBorders>
              <w:top w:val="nil"/>
            </w:tcBorders>
          </w:tcPr>
          <w:p>
            <w:pPr>
              <w:pStyle w:val="TableParagraph"/>
              <w:spacing w:before="15"/>
              <w:ind w:left="102" w:right="95"/>
              <w:jc w:val="center"/>
              <w:rPr>
                <w:rFonts w:ascii="Arial" w:eastAsia="Arial"/>
                <w:sz w:val="22"/>
              </w:rPr>
            </w:pPr>
            <w:r>
              <w:rPr>
                <w:sz w:val="22"/>
              </w:rPr>
              <w:t>传真：</w:t>
            </w:r>
            <w:r>
              <w:rPr>
                <w:rFonts w:ascii="Arial" w:eastAsia="Arial"/>
                <w:sz w:val="22"/>
              </w:rPr>
              <w:t>010-88066214</w:t>
            </w:r>
          </w:p>
          <w:p>
            <w:pPr>
              <w:pStyle w:val="TableParagraph"/>
              <w:spacing w:line="266" w:lineRule="auto" w:before="30"/>
              <w:ind w:left="467" w:right="456"/>
              <w:jc w:val="center"/>
              <w:rPr>
                <w:rFonts w:ascii="Arial" w:eastAsia="Arial"/>
                <w:sz w:val="22"/>
              </w:rPr>
            </w:pPr>
            <w:r>
              <w:rPr>
                <w:sz w:val="22"/>
              </w:rPr>
              <w:t>客户服务电话：</w:t>
            </w:r>
            <w:r>
              <w:rPr>
                <w:rFonts w:ascii="Arial" w:eastAsia="Arial"/>
                <w:sz w:val="22"/>
              </w:rPr>
              <w:t>400-817-5666 </w:t>
            </w:r>
            <w:r>
              <w:rPr>
                <w:sz w:val="22"/>
              </w:rPr>
              <w:t>网址：</w:t>
            </w:r>
            <w:hyperlink r:id="rId146">
              <w:r>
                <w:rPr>
                  <w:rFonts w:ascii="Arial" w:eastAsia="Arial"/>
                  <w:sz w:val="22"/>
                </w:rPr>
                <w:t>www.amcfortune.com</w:t>
              </w:r>
            </w:hyperlink>
          </w:p>
        </w:tc>
      </w:tr>
      <w:tr>
        <w:trPr>
          <w:trHeight w:val="343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27"/>
              <w:jc w:val="right"/>
              <w:rPr>
                <w:rFonts w:ascii="Arial"/>
                <w:sz w:val="21"/>
              </w:rPr>
            </w:pPr>
            <w:r>
              <w:rPr>
                <w:rFonts w:ascii="Arial"/>
                <w:sz w:val="21"/>
              </w:rPr>
              <w:t>145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77" w:right="77"/>
              <w:jc w:val="center"/>
              <w:rPr>
                <w:sz w:val="22"/>
              </w:rPr>
            </w:pPr>
            <w:r>
              <w:rPr>
                <w:sz w:val="22"/>
              </w:rPr>
              <w:t>上海云湾基金销售有限公司</w:t>
            </w:r>
          </w:p>
        </w:tc>
        <w:tc>
          <w:tcPr>
            <w:tcW w:w="3848" w:type="dxa"/>
          </w:tcPr>
          <w:p>
            <w:pPr>
              <w:pStyle w:val="TableParagraph"/>
              <w:spacing w:line="266" w:lineRule="auto" w:before="15"/>
              <w:ind w:left="107" w:right="95"/>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10"/>
                <w:sz w:val="22"/>
              </w:rPr>
              <w:t>区新金桥路 </w:t>
            </w:r>
            <w:r>
              <w:rPr>
                <w:rFonts w:ascii="Arial" w:eastAsia="Arial"/>
                <w:sz w:val="22"/>
              </w:rPr>
              <w:t>27 </w:t>
            </w:r>
            <w:r>
              <w:rPr>
                <w:spacing w:val="-27"/>
                <w:sz w:val="22"/>
              </w:rPr>
              <w:t>号 </w:t>
            </w:r>
            <w:r>
              <w:rPr>
                <w:rFonts w:ascii="Arial" w:eastAsia="Arial"/>
                <w:sz w:val="22"/>
              </w:rPr>
              <w:t>13 </w:t>
            </w:r>
            <w:r>
              <w:rPr>
                <w:spacing w:val="-18"/>
                <w:sz w:val="22"/>
              </w:rPr>
              <w:t>号楼 </w:t>
            </w:r>
            <w:r>
              <w:rPr>
                <w:rFonts w:ascii="Arial" w:eastAsia="Arial"/>
                <w:sz w:val="22"/>
              </w:rPr>
              <w:t>2 </w:t>
            </w:r>
            <w:r>
              <w:rPr>
                <w:sz w:val="22"/>
              </w:rPr>
              <w:t>层</w:t>
            </w:r>
          </w:p>
          <w:p>
            <w:pPr>
              <w:pStyle w:val="TableParagraph"/>
              <w:spacing w:line="266" w:lineRule="auto"/>
              <w:ind w:left="186" w:right="173" w:hanging="2"/>
              <w:jc w:val="center"/>
              <w:rPr>
                <w:sz w:val="22"/>
              </w:rPr>
            </w:pPr>
            <w:r>
              <w:rPr>
                <w:spacing w:val="-3"/>
                <w:sz w:val="22"/>
              </w:rPr>
              <w:t>办公地址： 上海市浦东新区锦康路</w:t>
            </w:r>
            <w:r>
              <w:rPr>
                <w:rFonts w:ascii="Arial" w:eastAsia="Arial"/>
                <w:spacing w:val="-3"/>
                <w:sz w:val="22"/>
              </w:rPr>
              <w:t>308 </w:t>
            </w:r>
            <w:r>
              <w:rPr>
                <w:spacing w:val="-8"/>
                <w:sz w:val="22"/>
              </w:rPr>
              <w:t>号陆家嘴世纪金融广场 </w:t>
            </w:r>
            <w:r>
              <w:rPr>
                <w:rFonts w:ascii="Arial" w:eastAsia="Arial"/>
                <w:sz w:val="22"/>
              </w:rPr>
              <w:t>6 </w:t>
            </w:r>
            <w:r>
              <w:rPr>
                <w:spacing w:val="-18"/>
                <w:sz w:val="22"/>
              </w:rPr>
              <w:t>号楼 </w:t>
            </w:r>
            <w:r>
              <w:rPr>
                <w:rFonts w:ascii="Arial" w:eastAsia="Arial"/>
                <w:spacing w:val="-12"/>
                <w:sz w:val="22"/>
              </w:rPr>
              <w:t>6 </w:t>
            </w:r>
            <w:r>
              <w:rPr>
                <w:sz w:val="22"/>
              </w:rPr>
              <w:t>层</w:t>
            </w:r>
          </w:p>
          <w:p>
            <w:pPr>
              <w:pStyle w:val="TableParagraph"/>
              <w:spacing w:line="266" w:lineRule="auto"/>
              <w:ind w:left="877" w:right="865"/>
              <w:jc w:val="center"/>
              <w:rPr>
                <w:sz w:val="22"/>
              </w:rPr>
            </w:pPr>
            <w:r>
              <w:rPr>
                <w:sz w:val="22"/>
              </w:rPr>
              <w:t>法定代表人： 戴新装联系人： 朱学勇</w:t>
            </w:r>
          </w:p>
          <w:p>
            <w:pPr>
              <w:pStyle w:val="TableParagraph"/>
              <w:spacing w:line="266" w:lineRule="auto"/>
              <w:ind w:left="882" w:right="872"/>
              <w:jc w:val="center"/>
              <w:rPr>
                <w:rFonts w:ascii="Arial" w:eastAsia="Arial"/>
                <w:sz w:val="22"/>
              </w:rPr>
            </w:pPr>
            <w:r>
              <w:rPr>
                <w:sz w:val="22"/>
              </w:rPr>
              <w:t>电话：</w:t>
            </w:r>
            <w:r>
              <w:rPr>
                <w:rFonts w:ascii="Arial" w:eastAsia="Arial"/>
                <w:sz w:val="22"/>
              </w:rPr>
              <w:t>021-20538888 </w:t>
            </w:r>
            <w:r>
              <w:rPr>
                <w:sz w:val="22"/>
              </w:rPr>
              <w:t>传真：</w:t>
            </w:r>
            <w:r>
              <w:rPr>
                <w:rFonts w:ascii="Arial" w:eastAsia="Arial"/>
                <w:sz w:val="22"/>
              </w:rPr>
              <w:t>021-20538999</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400-820-1515</w:t>
            </w:r>
          </w:p>
          <w:p>
            <w:pPr>
              <w:pStyle w:val="TableParagraph"/>
              <w:spacing w:line="277" w:lineRule="exact" w:before="24"/>
              <w:ind w:left="101" w:right="95"/>
              <w:jc w:val="center"/>
              <w:rPr>
                <w:rFonts w:ascii="Arial" w:eastAsia="Arial"/>
                <w:sz w:val="22"/>
              </w:rPr>
            </w:pPr>
            <w:r>
              <w:rPr>
                <w:sz w:val="22"/>
              </w:rPr>
              <w:t>网址：</w:t>
            </w:r>
            <w:hyperlink r:id="rId147">
              <w:r>
                <w:rPr>
                  <w:rFonts w:ascii="Arial" w:eastAsia="Arial"/>
                  <w:sz w:val="22"/>
                </w:rPr>
                <w:t>www.zhengtongfunds.com</w:t>
              </w:r>
            </w:hyperlink>
          </w:p>
        </w:tc>
      </w:tr>
      <w:tr>
        <w:trPr>
          <w:trHeight w:val="374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ind w:right="127"/>
              <w:jc w:val="right"/>
              <w:rPr>
                <w:rFonts w:ascii="Arial"/>
                <w:sz w:val="21"/>
              </w:rPr>
            </w:pPr>
            <w:r>
              <w:rPr>
                <w:rFonts w:ascii="Arial"/>
                <w:sz w:val="21"/>
              </w:rPr>
              <w:t>146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77" w:right="77"/>
              <w:jc w:val="center"/>
              <w:rPr>
                <w:sz w:val="22"/>
              </w:rPr>
            </w:pPr>
            <w:r>
              <w:rPr>
                <w:sz w:val="22"/>
              </w:rPr>
              <w:t>上海挖财基金销售有限公司</w:t>
            </w:r>
          </w:p>
        </w:tc>
        <w:tc>
          <w:tcPr>
            <w:tcW w:w="3848" w:type="dxa"/>
          </w:tcPr>
          <w:p>
            <w:pPr>
              <w:pStyle w:val="TableParagraph"/>
              <w:spacing w:line="266" w:lineRule="auto" w:before="15"/>
              <w:ind w:left="107" w:right="94" w:hanging="1"/>
              <w:jc w:val="center"/>
              <w:rPr>
                <w:sz w:val="22"/>
              </w:rPr>
            </w:pPr>
            <w:r>
              <w:rPr>
                <w:spacing w:val="-1"/>
                <w:sz w:val="22"/>
              </w:rPr>
              <w:t>注册地址： 中国</w:t>
            </w:r>
            <w:r>
              <w:rPr>
                <w:sz w:val="22"/>
              </w:rPr>
              <w:t>（</w:t>
            </w:r>
            <w:r>
              <w:rPr>
                <w:spacing w:val="-2"/>
                <w:sz w:val="22"/>
              </w:rPr>
              <w:t>上海</w:t>
            </w:r>
            <w:r>
              <w:rPr>
                <w:sz w:val="22"/>
              </w:rPr>
              <w:t>）</w:t>
            </w:r>
            <w:r>
              <w:rPr>
                <w:spacing w:val="-4"/>
                <w:sz w:val="22"/>
              </w:rPr>
              <w:t>自由贸易试</w:t>
            </w:r>
            <w:r>
              <w:rPr>
                <w:spacing w:val="-9"/>
                <w:sz w:val="22"/>
              </w:rPr>
              <w:t>验区杨高南路 </w:t>
            </w:r>
            <w:r>
              <w:rPr>
                <w:rFonts w:ascii="Arial" w:eastAsia="Arial"/>
                <w:sz w:val="22"/>
              </w:rPr>
              <w:t>799</w:t>
            </w:r>
            <w:r>
              <w:rPr>
                <w:rFonts w:ascii="Arial" w:eastAsia="Arial"/>
                <w:spacing w:val="-8"/>
                <w:sz w:val="22"/>
              </w:rPr>
              <w:t> </w:t>
            </w:r>
            <w:r>
              <w:rPr>
                <w:spacing w:val="-27"/>
                <w:sz w:val="22"/>
              </w:rPr>
              <w:t>号 </w:t>
            </w:r>
            <w:r>
              <w:rPr>
                <w:rFonts w:ascii="Arial" w:eastAsia="Arial"/>
                <w:sz w:val="22"/>
              </w:rPr>
              <w:t>5</w:t>
            </w:r>
            <w:r>
              <w:rPr>
                <w:rFonts w:ascii="Arial" w:eastAsia="Arial"/>
                <w:spacing w:val="-8"/>
                <w:sz w:val="22"/>
              </w:rPr>
              <w:t> </w:t>
            </w:r>
            <w:r>
              <w:rPr>
                <w:spacing w:val="-27"/>
                <w:sz w:val="22"/>
              </w:rPr>
              <w:t>楼 </w:t>
            </w:r>
            <w:r>
              <w:rPr>
                <w:rFonts w:ascii="Arial" w:eastAsia="Arial"/>
                <w:sz w:val="22"/>
              </w:rPr>
              <w:t>01</w:t>
            </w:r>
            <w:r>
              <w:rPr>
                <w:spacing w:val="-34"/>
                <w:sz w:val="22"/>
              </w:rPr>
              <w:t>、</w:t>
            </w:r>
            <w:r>
              <w:rPr>
                <w:rFonts w:ascii="Arial" w:eastAsia="Arial"/>
                <w:sz w:val="22"/>
              </w:rPr>
              <w:t>02</w:t>
            </w:r>
            <w:r>
              <w:rPr>
                <w:spacing w:val="-34"/>
                <w:sz w:val="22"/>
              </w:rPr>
              <w:t>、</w:t>
            </w:r>
            <w:r>
              <w:rPr>
                <w:rFonts w:ascii="Arial" w:eastAsia="Arial"/>
                <w:sz w:val="22"/>
              </w:rPr>
              <w:t>03 </w:t>
            </w:r>
            <w:r>
              <w:rPr>
                <w:sz w:val="22"/>
              </w:rPr>
              <w:t>室</w:t>
            </w:r>
          </w:p>
          <w:p>
            <w:pPr>
              <w:pStyle w:val="TableParagraph"/>
              <w:spacing w:line="266" w:lineRule="auto"/>
              <w:ind w:left="107" w:right="95"/>
              <w:jc w:val="center"/>
              <w:rPr>
                <w:sz w:val="22"/>
              </w:rPr>
            </w:pPr>
            <w:r>
              <w:rPr>
                <w:spacing w:val="-12"/>
                <w:sz w:val="22"/>
              </w:rPr>
              <w:t>办公地址：中国</w:t>
            </w:r>
            <w:r>
              <w:rPr>
                <w:sz w:val="22"/>
              </w:rPr>
              <w:t>（</w:t>
            </w:r>
            <w:r>
              <w:rPr>
                <w:spacing w:val="-2"/>
                <w:sz w:val="22"/>
              </w:rPr>
              <w:t>上海</w:t>
            </w:r>
            <w:r>
              <w:rPr>
                <w:spacing w:val="-39"/>
                <w:sz w:val="22"/>
              </w:rPr>
              <w:t>）</w:t>
            </w:r>
            <w:r>
              <w:rPr>
                <w:spacing w:val="-4"/>
                <w:sz w:val="22"/>
              </w:rPr>
              <w:t>自由贸易试验</w:t>
            </w:r>
            <w:r>
              <w:rPr>
                <w:spacing w:val="-10"/>
                <w:sz w:val="22"/>
              </w:rPr>
              <w:t>区杨高南路 </w:t>
            </w:r>
            <w:r>
              <w:rPr>
                <w:rFonts w:ascii="Arial" w:eastAsia="Arial"/>
                <w:sz w:val="22"/>
              </w:rPr>
              <w:t>799</w:t>
            </w:r>
            <w:r>
              <w:rPr>
                <w:rFonts w:ascii="Arial" w:eastAsia="Arial"/>
                <w:spacing w:val="-7"/>
                <w:sz w:val="22"/>
              </w:rPr>
              <w:t> </w:t>
            </w:r>
            <w:r>
              <w:rPr>
                <w:spacing w:val="-27"/>
                <w:sz w:val="22"/>
              </w:rPr>
              <w:t>号 </w:t>
            </w:r>
            <w:r>
              <w:rPr>
                <w:rFonts w:ascii="Arial" w:eastAsia="Arial"/>
                <w:sz w:val="22"/>
              </w:rPr>
              <w:t>5</w:t>
            </w:r>
            <w:r>
              <w:rPr>
                <w:rFonts w:ascii="Arial" w:eastAsia="Arial"/>
                <w:spacing w:val="-9"/>
                <w:sz w:val="22"/>
              </w:rPr>
              <w:t> </w:t>
            </w:r>
            <w:r>
              <w:rPr>
                <w:spacing w:val="-28"/>
                <w:sz w:val="22"/>
              </w:rPr>
              <w:t>楼 </w:t>
            </w:r>
            <w:r>
              <w:rPr>
                <w:rFonts w:ascii="Arial" w:eastAsia="Arial"/>
                <w:sz w:val="22"/>
              </w:rPr>
              <w:t>01</w:t>
            </w:r>
            <w:r>
              <w:rPr>
                <w:sz w:val="22"/>
              </w:rPr>
              <w:t>、</w:t>
            </w:r>
            <w:r>
              <w:rPr>
                <w:rFonts w:ascii="Arial" w:eastAsia="Arial"/>
                <w:sz w:val="22"/>
              </w:rPr>
              <w:t>02</w:t>
            </w:r>
            <w:r>
              <w:rPr>
                <w:sz w:val="22"/>
              </w:rPr>
              <w:t>、</w:t>
            </w:r>
            <w:r>
              <w:rPr>
                <w:rFonts w:ascii="Arial" w:eastAsia="Arial"/>
                <w:sz w:val="22"/>
              </w:rPr>
              <w:t>03 </w:t>
            </w:r>
            <w:r>
              <w:rPr>
                <w:sz w:val="22"/>
              </w:rPr>
              <w:t>室</w:t>
            </w:r>
          </w:p>
          <w:p>
            <w:pPr>
              <w:pStyle w:val="TableParagraph"/>
              <w:spacing w:line="266" w:lineRule="auto"/>
              <w:ind w:left="877" w:right="865"/>
              <w:jc w:val="center"/>
              <w:rPr>
                <w:sz w:val="22"/>
              </w:rPr>
            </w:pPr>
            <w:r>
              <w:rPr>
                <w:sz w:val="22"/>
              </w:rPr>
              <w:t>法定代表人： 胡燕亮联系人： 义雪辉</w:t>
            </w:r>
          </w:p>
          <w:p>
            <w:pPr>
              <w:pStyle w:val="TableParagraph"/>
              <w:spacing w:line="280" w:lineRule="exact"/>
              <w:ind w:left="105" w:right="95"/>
              <w:jc w:val="center"/>
              <w:rPr>
                <w:rFonts w:ascii="Arial" w:eastAsia="Arial"/>
                <w:sz w:val="22"/>
              </w:rPr>
            </w:pPr>
            <w:r>
              <w:rPr>
                <w:sz w:val="22"/>
              </w:rPr>
              <w:t>电话：</w:t>
            </w:r>
            <w:r>
              <w:rPr>
                <w:rFonts w:ascii="Arial" w:eastAsia="Arial"/>
                <w:sz w:val="22"/>
              </w:rPr>
              <w:t>021 - 50810687</w:t>
            </w:r>
          </w:p>
          <w:p>
            <w:pPr>
              <w:pStyle w:val="TableParagraph"/>
              <w:spacing w:before="25"/>
              <w:ind w:left="102" w:right="95"/>
              <w:jc w:val="center"/>
              <w:rPr>
                <w:rFonts w:ascii="Arial" w:eastAsia="Arial"/>
                <w:sz w:val="22"/>
              </w:rPr>
            </w:pPr>
            <w:r>
              <w:rPr>
                <w:sz w:val="22"/>
              </w:rPr>
              <w:t>传真：</w:t>
            </w:r>
            <w:r>
              <w:rPr>
                <w:rFonts w:ascii="Arial" w:eastAsia="Arial"/>
                <w:sz w:val="22"/>
              </w:rPr>
              <w:t>021-58300279</w:t>
            </w:r>
          </w:p>
          <w:p>
            <w:pPr>
              <w:pStyle w:val="TableParagraph"/>
              <w:spacing w:line="310" w:lineRule="atLeast" w:before="2"/>
              <w:ind w:left="443" w:right="433"/>
              <w:jc w:val="center"/>
              <w:rPr>
                <w:rFonts w:ascii="Arial" w:eastAsia="Arial"/>
                <w:sz w:val="22"/>
              </w:rPr>
            </w:pPr>
            <w:r>
              <w:rPr>
                <w:sz w:val="22"/>
              </w:rPr>
              <w:t>客户服务电话：</w:t>
            </w:r>
            <w:r>
              <w:rPr>
                <w:rFonts w:ascii="Arial" w:eastAsia="Arial"/>
                <w:sz w:val="22"/>
              </w:rPr>
              <w:t>021-50810673 </w:t>
            </w:r>
            <w:r>
              <w:rPr>
                <w:sz w:val="22"/>
              </w:rPr>
              <w:t>网址：</w:t>
            </w:r>
            <w:hyperlink r:id="rId148">
              <w:r>
                <w:rPr>
                  <w:rFonts w:ascii="Arial" w:eastAsia="Arial"/>
                  <w:sz w:val="22"/>
                </w:rPr>
                <w:t>www.wacaijijin.com/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147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深圳秋实惠智基金销售有限公司</w:t>
            </w:r>
          </w:p>
        </w:tc>
        <w:tc>
          <w:tcPr>
            <w:tcW w:w="3848" w:type="dxa"/>
          </w:tcPr>
          <w:p>
            <w:pPr>
              <w:pStyle w:val="TableParagraph"/>
              <w:spacing w:line="266" w:lineRule="auto" w:before="15"/>
              <w:ind w:left="107" w:right="95"/>
              <w:jc w:val="center"/>
              <w:rPr>
                <w:sz w:val="22"/>
              </w:rPr>
            </w:pPr>
            <w:r>
              <w:rPr>
                <w:sz w:val="22"/>
              </w:rPr>
              <w:t>注册地址： 深圳市前海深港合作区前湾一路 </w:t>
            </w:r>
            <w:r>
              <w:rPr>
                <w:rFonts w:ascii="Arial" w:eastAsia="Arial"/>
                <w:sz w:val="22"/>
              </w:rPr>
              <w:t>1 </w:t>
            </w:r>
            <w:r>
              <w:rPr>
                <w:sz w:val="22"/>
              </w:rPr>
              <w:t>号 </w:t>
            </w:r>
            <w:r>
              <w:rPr>
                <w:rFonts w:ascii="Arial" w:eastAsia="Arial"/>
                <w:sz w:val="22"/>
              </w:rPr>
              <w:t>A </w:t>
            </w:r>
            <w:r>
              <w:rPr>
                <w:sz w:val="22"/>
              </w:rPr>
              <w:t>栋 </w:t>
            </w:r>
            <w:r>
              <w:rPr>
                <w:rFonts w:ascii="Arial" w:eastAsia="Arial"/>
                <w:sz w:val="22"/>
              </w:rPr>
              <w:t>201 </w:t>
            </w:r>
            <w:r>
              <w:rPr>
                <w:sz w:val="22"/>
              </w:rPr>
              <w:t>室</w:t>
            </w:r>
          </w:p>
          <w:p>
            <w:pPr>
              <w:pStyle w:val="TableParagraph"/>
              <w:spacing w:line="281" w:lineRule="exact"/>
              <w:ind w:left="10"/>
              <w:jc w:val="center"/>
              <w:rPr>
                <w:sz w:val="22"/>
              </w:rPr>
            </w:pPr>
            <w:r>
              <w:rPr>
                <w:sz w:val="22"/>
              </w:rPr>
              <w:t>办公地址： 北京市朝阳区东三环北路</w:t>
            </w:r>
          </w:p>
          <w:p>
            <w:pPr>
              <w:pStyle w:val="TableParagraph"/>
              <w:spacing w:line="266" w:lineRule="auto" w:before="30"/>
              <w:ind w:left="839" w:right="827"/>
              <w:jc w:val="center"/>
              <w:rPr>
                <w:sz w:val="22"/>
              </w:rPr>
            </w:pPr>
            <w:r>
              <w:rPr>
                <w:rFonts w:ascii="Arial" w:eastAsia="Arial"/>
                <w:sz w:val="22"/>
              </w:rPr>
              <w:t>2 </w:t>
            </w:r>
            <w:r>
              <w:rPr>
                <w:sz w:val="22"/>
              </w:rPr>
              <w:t>号南银大厦 </w:t>
            </w:r>
            <w:r>
              <w:rPr>
                <w:rFonts w:ascii="Arial" w:eastAsia="Arial"/>
                <w:sz w:val="22"/>
              </w:rPr>
              <w:t>2309 </w:t>
            </w:r>
            <w:r>
              <w:rPr>
                <w:sz w:val="22"/>
              </w:rPr>
              <w:t>法定代表人： 张秋林联系人： 张秋林</w:t>
            </w:r>
          </w:p>
          <w:p>
            <w:pPr>
              <w:pStyle w:val="TableParagraph"/>
              <w:spacing w:line="266" w:lineRule="auto"/>
              <w:ind w:left="882" w:right="872"/>
              <w:jc w:val="center"/>
              <w:rPr>
                <w:rFonts w:ascii="Arial" w:eastAsia="Arial"/>
                <w:sz w:val="22"/>
              </w:rPr>
            </w:pPr>
            <w:r>
              <w:rPr>
                <w:sz w:val="22"/>
              </w:rPr>
              <w:t>电话：</w:t>
            </w:r>
            <w:r>
              <w:rPr>
                <w:rFonts w:ascii="Arial" w:eastAsia="Arial"/>
                <w:sz w:val="22"/>
              </w:rPr>
              <w:t>010-64108876 </w:t>
            </w:r>
            <w:r>
              <w:rPr>
                <w:sz w:val="22"/>
              </w:rPr>
              <w:t>传真：</w:t>
            </w:r>
            <w:r>
              <w:rPr>
                <w:rFonts w:ascii="Arial" w:eastAsia="Arial"/>
                <w:sz w:val="22"/>
              </w:rPr>
              <w:t>010-64108875</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010-64108876</w:t>
            </w:r>
          </w:p>
          <w:p>
            <w:pPr>
              <w:pStyle w:val="TableParagraph"/>
              <w:spacing w:line="279" w:lineRule="exact" w:before="27"/>
              <w:ind w:left="100" w:right="95"/>
              <w:jc w:val="center"/>
              <w:rPr>
                <w:rFonts w:ascii="Arial" w:eastAsia="Arial"/>
                <w:sz w:val="22"/>
              </w:rPr>
            </w:pPr>
            <w:r>
              <w:rPr>
                <w:sz w:val="22"/>
              </w:rPr>
              <w:t>网址：</w:t>
            </w:r>
            <w:hyperlink r:id="rId149">
              <w:r>
                <w:rPr>
                  <w:rFonts w:ascii="Arial" w:eastAsia="Arial"/>
                  <w:sz w:val="22"/>
                </w:rPr>
                <w:t>http://fund.qiushicaifu.com</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744"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right="128"/>
              <w:jc w:val="right"/>
              <w:rPr>
                <w:rFonts w:ascii="Arial"/>
                <w:sz w:val="21"/>
              </w:rPr>
            </w:pPr>
            <w:r>
              <w:rPr>
                <w:rFonts w:ascii="Arial"/>
                <w:sz w:val="21"/>
              </w:rPr>
              <w:t>148</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77" w:right="77"/>
              <w:jc w:val="center"/>
              <w:rPr>
                <w:sz w:val="22"/>
              </w:rPr>
            </w:pPr>
            <w:r>
              <w:rPr>
                <w:sz w:val="22"/>
              </w:rPr>
              <w:t>大河财富基金销售有限公司</w:t>
            </w:r>
          </w:p>
        </w:tc>
        <w:tc>
          <w:tcPr>
            <w:tcW w:w="3848" w:type="dxa"/>
            <w:tcBorders>
              <w:top w:val="nil"/>
            </w:tcBorders>
          </w:tcPr>
          <w:p>
            <w:pPr>
              <w:pStyle w:val="TableParagraph"/>
              <w:spacing w:line="266" w:lineRule="auto" w:before="15"/>
              <w:ind w:left="107" w:right="94" w:hanging="1"/>
              <w:jc w:val="center"/>
              <w:rPr>
                <w:sz w:val="22"/>
              </w:rPr>
            </w:pPr>
            <w:r>
              <w:rPr>
                <w:spacing w:val="-13"/>
                <w:sz w:val="22"/>
              </w:rPr>
              <w:t>注册地址：贵州省贵阳市南明区新华路</w:t>
            </w:r>
            <w:r>
              <w:rPr>
                <w:rFonts w:ascii="Arial" w:eastAsia="Arial"/>
                <w:sz w:val="22"/>
              </w:rPr>
              <w:t>110-134</w:t>
            </w:r>
            <w:r>
              <w:rPr>
                <w:rFonts w:ascii="Arial" w:eastAsia="Arial"/>
                <w:spacing w:val="-32"/>
                <w:sz w:val="22"/>
              </w:rPr>
              <w:t> </w:t>
            </w:r>
            <w:r>
              <w:rPr>
                <w:spacing w:val="1"/>
                <w:sz w:val="22"/>
              </w:rPr>
              <w:t>号富中国际广场</w:t>
            </w:r>
            <w:r>
              <w:rPr>
                <w:rFonts w:ascii="Arial" w:eastAsia="Arial"/>
                <w:sz w:val="22"/>
              </w:rPr>
              <w:t>1</w:t>
            </w:r>
            <w:r>
              <w:rPr>
                <w:rFonts w:ascii="Arial" w:eastAsia="Arial"/>
                <w:spacing w:val="-32"/>
                <w:sz w:val="22"/>
              </w:rPr>
              <w:t> </w:t>
            </w:r>
            <w:r>
              <w:rPr>
                <w:spacing w:val="28"/>
                <w:sz w:val="22"/>
              </w:rPr>
              <w:t>栋</w:t>
            </w:r>
            <w:r>
              <w:rPr>
                <w:rFonts w:ascii="Arial" w:eastAsia="Arial"/>
                <w:sz w:val="22"/>
              </w:rPr>
              <w:t>20</w:t>
            </w:r>
            <w:r>
              <w:rPr>
                <w:rFonts w:ascii="Arial" w:eastAsia="Arial"/>
                <w:spacing w:val="-32"/>
                <w:sz w:val="22"/>
              </w:rPr>
              <w:t> </w:t>
            </w:r>
            <w:r>
              <w:rPr>
                <w:spacing w:val="28"/>
                <w:sz w:val="22"/>
              </w:rPr>
              <w:t>层</w:t>
            </w:r>
            <w:r>
              <w:rPr>
                <w:rFonts w:ascii="Arial" w:eastAsia="Arial"/>
                <w:sz w:val="22"/>
              </w:rPr>
              <w:t>1.2 </w:t>
            </w:r>
            <w:r>
              <w:rPr>
                <w:sz w:val="22"/>
              </w:rPr>
              <w:t>号</w:t>
            </w:r>
          </w:p>
          <w:p>
            <w:pPr>
              <w:pStyle w:val="TableParagraph"/>
              <w:spacing w:line="266" w:lineRule="auto"/>
              <w:ind w:left="107" w:right="94" w:hanging="1"/>
              <w:jc w:val="center"/>
              <w:rPr>
                <w:sz w:val="22"/>
              </w:rPr>
            </w:pPr>
            <w:r>
              <w:rPr>
                <w:spacing w:val="-13"/>
                <w:sz w:val="22"/>
              </w:rPr>
              <w:t>办公地址：贵州省贵阳市南明区新华路</w:t>
            </w:r>
            <w:r>
              <w:rPr>
                <w:rFonts w:ascii="Arial" w:eastAsia="Arial"/>
                <w:sz w:val="22"/>
              </w:rPr>
              <w:t>110-134</w:t>
            </w:r>
            <w:r>
              <w:rPr>
                <w:rFonts w:ascii="Arial" w:eastAsia="Arial"/>
                <w:spacing w:val="-32"/>
                <w:sz w:val="22"/>
              </w:rPr>
              <w:t> </w:t>
            </w:r>
            <w:r>
              <w:rPr>
                <w:spacing w:val="1"/>
                <w:sz w:val="22"/>
              </w:rPr>
              <w:t>号富中国际广场</w:t>
            </w:r>
            <w:r>
              <w:rPr>
                <w:rFonts w:ascii="Arial" w:eastAsia="Arial"/>
                <w:sz w:val="22"/>
              </w:rPr>
              <w:t>1</w:t>
            </w:r>
            <w:r>
              <w:rPr>
                <w:rFonts w:ascii="Arial" w:eastAsia="Arial"/>
                <w:spacing w:val="-32"/>
                <w:sz w:val="22"/>
              </w:rPr>
              <w:t> </w:t>
            </w:r>
            <w:r>
              <w:rPr>
                <w:spacing w:val="28"/>
                <w:sz w:val="22"/>
              </w:rPr>
              <w:t>栋</w:t>
            </w:r>
            <w:r>
              <w:rPr>
                <w:rFonts w:ascii="Arial" w:eastAsia="Arial"/>
                <w:sz w:val="22"/>
              </w:rPr>
              <w:t>20</w:t>
            </w:r>
            <w:r>
              <w:rPr>
                <w:rFonts w:ascii="Arial" w:eastAsia="Arial"/>
                <w:spacing w:val="-32"/>
                <w:sz w:val="22"/>
              </w:rPr>
              <w:t> </w:t>
            </w:r>
            <w:r>
              <w:rPr>
                <w:spacing w:val="28"/>
                <w:sz w:val="22"/>
              </w:rPr>
              <w:t>层</w:t>
            </w:r>
            <w:r>
              <w:rPr>
                <w:rFonts w:ascii="Arial" w:eastAsia="Arial"/>
                <w:sz w:val="22"/>
              </w:rPr>
              <w:t>1.2 </w:t>
            </w:r>
            <w:r>
              <w:rPr>
                <w:sz w:val="22"/>
              </w:rPr>
              <w:t>号</w:t>
            </w:r>
          </w:p>
          <w:p>
            <w:pPr>
              <w:pStyle w:val="TableParagraph"/>
              <w:spacing w:line="266" w:lineRule="auto"/>
              <w:ind w:left="988" w:right="978"/>
              <w:jc w:val="center"/>
              <w:rPr>
                <w:sz w:val="22"/>
              </w:rPr>
            </w:pPr>
            <w:r>
              <w:rPr>
                <w:sz w:val="22"/>
              </w:rPr>
              <w:t>法定代表人： 王荻联系人：方凯鑫</w:t>
            </w:r>
          </w:p>
          <w:p>
            <w:pPr>
              <w:pStyle w:val="TableParagraph"/>
              <w:spacing w:line="266" w:lineRule="auto"/>
              <w:ind w:left="822" w:right="810"/>
              <w:jc w:val="center"/>
              <w:rPr>
                <w:rFonts w:ascii="Arial" w:eastAsia="Arial"/>
                <w:sz w:val="22"/>
              </w:rPr>
            </w:pPr>
            <w:r>
              <w:rPr>
                <w:sz w:val="22"/>
              </w:rPr>
              <w:t>电话：</w:t>
            </w:r>
            <w:r>
              <w:rPr>
                <w:rFonts w:ascii="Arial" w:eastAsia="Arial"/>
                <w:sz w:val="22"/>
              </w:rPr>
              <w:t>0851-88405606 </w:t>
            </w:r>
            <w:r>
              <w:rPr>
                <w:sz w:val="22"/>
              </w:rPr>
              <w:t>传真：</w:t>
            </w:r>
            <w:r>
              <w:rPr>
                <w:rFonts w:ascii="Arial" w:eastAsia="Arial"/>
                <w:sz w:val="22"/>
              </w:rPr>
              <w:t>0851-88405599</w:t>
            </w:r>
          </w:p>
          <w:p>
            <w:pPr>
              <w:pStyle w:val="TableParagraph"/>
              <w:spacing w:line="280" w:lineRule="exact"/>
              <w:ind w:left="101" w:right="95"/>
              <w:jc w:val="center"/>
              <w:rPr>
                <w:rFonts w:ascii="Arial" w:eastAsia="Arial"/>
                <w:sz w:val="22"/>
              </w:rPr>
            </w:pPr>
            <w:r>
              <w:rPr>
                <w:sz w:val="22"/>
              </w:rPr>
              <w:t>客户服务电话：</w:t>
            </w:r>
            <w:r>
              <w:rPr>
                <w:rFonts w:ascii="Arial" w:eastAsia="Arial"/>
                <w:sz w:val="22"/>
              </w:rPr>
              <w:t>0851-88235678</w:t>
            </w:r>
          </w:p>
          <w:p>
            <w:pPr>
              <w:pStyle w:val="TableParagraph"/>
              <w:spacing w:line="277" w:lineRule="exact" w:before="24"/>
              <w:ind w:left="103" w:right="95"/>
              <w:jc w:val="center"/>
              <w:rPr>
                <w:rFonts w:ascii="Arial" w:eastAsia="Arial"/>
                <w:sz w:val="22"/>
              </w:rPr>
            </w:pPr>
            <w:r>
              <w:rPr>
                <w:sz w:val="22"/>
              </w:rPr>
              <w:t>网址：</w:t>
            </w:r>
            <w:hyperlink r:id="rId150">
              <w:r>
                <w:rPr>
                  <w:rFonts w:ascii="Arial" w:eastAsia="Arial"/>
                  <w:sz w:val="22"/>
                </w:rPr>
                <w:t>www.urainf.com</w:t>
              </w:r>
            </w:hyperlink>
          </w:p>
        </w:tc>
      </w:tr>
      <w:tr>
        <w:trPr>
          <w:trHeight w:val="3431"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right="127"/>
              <w:jc w:val="right"/>
              <w:rPr>
                <w:rFonts w:ascii="Arial"/>
                <w:sz w:val="21"/>
              </w:rPr>
            </w:pPr>
            <w:r>
              <w:rPr>
                <w:rFonts w:ascii="Arial"/>
                <w:sz w:val="21"/>
              </w:rPr>
              <w:t>149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77" w:right="77"/>
              <w:jc w:val="center"/>
              <w:rPr>
                <w:sz w:val="22"/>
              </w:rPr>
            </w:pPr>
            <w:r>
              <w:rPr>
                <w:sz w:val="22"/>
              </w:rPr>
              <w:t>天津万家财富资产管理有限公司</w:t>
            </w:r>
          </w:p>
        </w:tc>
        <w:tc>
          <w:tcPr>
            <w:tcW w:w="3848" w:type="dxa"/>
          </w:tcPr>
          <w:p>
            <w:pPr>
              <w:pStyle w:val="TableParagraph"/>
              <w:spacing w:line="266" w:lineRule="auto" w:before="15"/>
              <w:ind w:left="193" w:right="-15" w:hanging="87"/>
              <w:rPr>
                <w:sz w:val="22"/>
              </w:rPr>
            </w:pPr>
            <w:r>
              <w:rPr>
                <w:spacing w:val="-3"/>
                <w:sz w:val="22"/>
              </w:rPr>
              <w:t>注册地址：天津自贸区（</w:t>
            </w:r>
            <w:r>
              <w:rPr>
                <w:spacing w:val="-1"/>
                <w:sz w:val="22"/>
              </w:rPr>
              <w:t>中心商务区</w:t>
            </w:r>
            <w:r>
              <w:rPr>
                <w:spacing w:val="-12"/>
                <w:sz w:val="22"/>
              </w:rPr>
              <w:t>） </w:t>
            </w:r>
            <w:r>
              <w:rPr>
                <w:spacing w:val="-11"/>
                <w:sz w:val="22"/>
              </w:rPr>
              <w:t>迎宾大道 </w:t>
            </w:r>
            <w:r>
              <w:rPr>
                <w:rFonts w:ascii="Arial" w:eastAsia="Arial"/>
                <w:sz w:val="22"/>
              </w:rPr>
              <w:t>1988</w:t>
            </w:r>
            <w:r>
              <w:rPr>
                <w:rFonts w:ascii="Arial" w:eastAsia="Arial"/>
                <w:spacing w:val="-6"/>
                <w:sz w:val="22"/>
              </w:rPr>
              <w:t> </w:t>
            </w:r>
            <w:r>
              <w:rPr>
                <w:spacing w:val="-3"/>
                <w:sz w:val="22"/>
              </w:rPr>
              <w:t>号滨海浙商大厦公寓</w:t>
            </w:r>
          </w:p>
          <w:p>
            <w:pPr>
              <w:pStyle w:val="TableParagraph"/>
              <w:spacing w:line="280" w:lineRule="exact"/>
              <w:ind w:left="102" w:right="95"/>
              <w:jc w:val="center"/>
              <w:rPr>
                <w:sz w:val="22"/>
              </w:rPr>
            </w:pPr>
            <w:r>
              <w:rPr>
                <w:rFonts w:ascii="Arial" w:eastAsia="Arial"/>
                <w:sz w:val="22"/>
              </w:rPr>
              <w:t>2-2413 </w:t>
            </w:r>
            <w:r>
              <w:rPr>
                <w:sz w:val="22"/>
              </w:rPr>
              <w:t>室</w:t>
            </w:r>
          </w:p>
          <w:p>
            <w:pPr>
              <w:pStyle w:val="TableParagraph"/>
              <w:spacing w:before="30"/>
              <w:ind w:left="8"/>
              <w:jc w:val="center"/>
              <w:rPr>
                <w:rFonts w:ascii="Arial" w:eastAsia="Arial"/>
                <w:sz w:val="22"/>
              </w:rPr>
            </w:pPr>
            <w:r>
              <w:rPr>
                <w:sz w:val="22"/>
              </w:rPr>
              <w:t>办公地址：北京市西城区丰盛胡同 </w:t>
            </w:r>
            <w:r>
              <w:rPr>
                <w:rFonts w:ascii="Arial" w:eastAsia="Arial"/>
                <w:sz w:val="22"/>
              </w:rPr>
              <w:t>28</w:t>
            </w:r>
          </w:p>
          <w:p>
            <w:pPr>
              <w:pStyle w:val="TableParagraph"/>
              <w:spacing w:line="266" w:lineRule="auto" w:before="30"/>
              <w:ind w:left="784" w:right="773"/>
              <w:jc w:val="center"/>
              <w:rPr>
                <w:sz w:val="22"/>
              </w:rPr>
            </w:pPr>
            <w:r>
              <w:rPr>
                <w:sz w:val="22"/>
              </w:rPr>
              <w:t>号太平洋保险大厦 </w:t>
            </w:r>
            <w:r>
              <w:rPr>
                <w:rFonts w:ascii="Arial" w:eastAsia="Arial"/>
                <w:sz w:val="22"/>
              </w:rPr>
              <w:t>5 </w:t>
            </w:r>
            <w:r>
              <w:rPr>
                <w:sz w:val="22"/>
              </w:rPr>
              <w:t>层法定代表人： 李修辞联系人： 王芳芳</w:t>
            </w:r>
          </w:p>
          <w:p>
            <w:pPr>
              <w:pStyle w:val="TableParagraph"/>
              <w:spacing w:line="266" w:lineRule="auto"/>
              <w:ind w:left="851" w:right="841"/>
              <w:jc w:val="center"/>
              <w:rPr>
                <w:rFonts w:ascii="Arial" w:eastAsia="Arial"/>
                <w:sz w:val="22"/>
              </w:rPr>
            </w:pPr>
            <w:r>
              <w:rPr>
                <w:sz w:val="22"/>
              </w:rPr>
              <w:t>电话：</w:t>
            </w:r>
            <w:r>
              <w:rPr>
                <w:rFonts w:ascii="Arial" w:eastAsia="Arial"/>
                <w:sz w:val="22"/>
              </w:rPr>
              <w:t>010-59013842 </w:t>
            </w:r>
            <w:r>
              <w:rPr>
                <w:sz w:val="22"/>
              </w:rPr>
              <w:t>传真：</w:t>
            </w:r>
            <w:r>
              <w:rPr>
                <w:rFonts w:ascii="Arial" w:eastAsia="Arial"/>
                <w:sz w:val="22"/>
              </w:rPr>
              <w:t>021- 38909635</w:t>
            </w:r>
          </w:p>
          <w:p>
            <w:pPr>
              <w:pStyle w:val="TableParagraph"/>
              <w:spacing w:line="281" w:lineRule="exact"/>
              <w:ind w:left="100" w:right="95"/>
              <w:jc w:val="center"/>
              <w:rPr>
                <w:rFonts w:ascii="Arial" w:eastAsia="Arial"/>
                <w:sz w:val="22"/>
              </w:rPr>
            </w:pPr>
            <w:r>
              <w:rPr>
                <w:sz w:val="22"/>
              </w:rPr>
              <w:t>客户服务电话：</w:t>
            </w:r>
            <w:r>
              <w:rPr>
                <w:rFonts w:ascii="Arial" w:eastAsia="Arial"/>
                <w:sz w:val="22"/>
              </w:rPr>
              <w:t>010--59013825</w:t>
            </w:r>
          </w:p>
          <w:p>
            <w:pPr>
              <w:pStyle w:val="TableParagraph"/>
              <w:spacing w:line="277" w:lineRule="exact" w:before="27"/>
              <w:ind w:left="103" w:right="95"/>
              <w:jc w:val="center"/>
              <w:rPr>
                <w:rFonts w:ascii="Arial" w:eastAsia="Arial"/>
                <w:sz w:val="22"/>
              </w:rPr>
            </w:pPr>
            <w:r>
              <w:rPr>
                <w:sz w:val="22"/>
              </w:rPr>
              <w:t>网址：</w:t>
            </w:r>
            <w:hyperlink r:id="rId151">
              <w:r>
                <w:rPr>
                  <w:rFonts w:ascii="Arial" w:eastAsia="Arial"/>
                  <w:sz w:val="22"/>
                </w:rPr>
                <w:t>www.wanjiawealth.com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27"/>
              <w:jc w:val="right"/>
              <w:rPr>
                <w:rFonts w:ascii="Arial"/>
                <w:sz w:val="21"/>
              </w:rPr>
            </w:pPr>
            <w:r>
              <w:rPr>
                <w:rFonts w:ascii="Arial"/>
                <w:sz w:val="21"/>
              </w:rPr>
              <w:t>150</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北京电盈基金销售有限公司</w:t>
            </w:r>
          </w:p>
        </w:tc>
        <w:tc>
          <w:tcPr>
            <w:tcW w:w="3848" w:type="dxa"/>
          </w:tcPr>
          <w:p>
            <w:pPr>
              <w:pStyle w:val="TableParagraph"/>
              <w:spacing w:line="266" w:lineRule="auto" w:before="15"/>
              <w:ind w:left="107" w:right="95"/>
              <w:jc w:val="center"/>
              <w:rPr>
                <w:sz w:val="22"/>
              </w:rPr>
            </w:pPr>
            <w:r>
              <w:rPr>
                <w:spacing w:val="-12"/>
                <w:sz w:val="22"/>
              </w:rPr>
              <w:t>注册地址：北京市朝阳区呼家楼</w:t>
            </w:r>
            <w:r>
              <w:rPr>
                <w:sz w:val="22"/>
              </w:rPr>
              <w:t>（</w:t>
            </w:r>
            <w:r>
              <w:rPr>
                <w:spacing w:val="-9"/>
                <w:sz w:val="22"/>
              </w:rPr>
              <w:t>京广</w:t>
            </w:r>
            <w:r>
              <w:rPr>
                <w:sz w:val="22"/>
              </w:rPr>
              <w:t>中心）</w:t>
            </w:r>
            <w:r>
              <w:rPr>
                <w:rFonts w:ascii="Arial" w:eastAsia="Arial"/>
                <w:sz w:val="22"/>
              </w:rPr>
              <w:t>1 </w:t>
            </w:r>
            <w:r>
              <w:rPr>
                <w:spacing w:val="-20"/>
                <w:sz w:val="22"/>
              </w:rPr>
              <w:t>号楼 </w:t>
            </w:r>
            <w:r>
              <w:rPr>
                <w:rFonts w:ascii="Arial" w:eastAsia="Arial"/>
                <w:sz w:val="22"/>
              </w:rPr>
              <w:t>36 </w:t>
            </w:r>
            <w:r>
              <w:rPr>
                <w:spacing w:val="-27"/>
                <w:sz w:val="22"/>
              </w:rPr>
              <w:t>层 </w:t>
            </w:r>
            <w:r>
              <w:rPr>
                <w:rFonts w:ascii="Arial" w:eastAsia="Arial"/>
                <w:sz w:val="22"/>
              </w:rPr>
              <w:t>3603 </w:t>
            </w:r>
            <w:r>
              <w:rPr>
                <w:sz w:val="22"/>
              </w:rPr>
              <w:t>室</w:t>
            </w:r>
          </w:p>
          <w:p>
            <w:pPr>
              <w:pStyle w:val="TableParagraph"/>
              <w:spacing w:line="280" w:lineRule="exact"/>
              <w:ind w:left="10"/>
              <w:jc w:val="center"/>
              <w:rPr>
                <w:sz w:val="22"/>
              </w:rPr>
            </w:pPr>
            <w:r>
              <w:rPr>
                <w:sz w:val="22"/>
              </w:rPr>
              <w:t>办公地址：北京市东城区朝阳门北大街</w:t>
            </w:r>
          </w:p>
          <w:p>
            <w:pPr>
              <w:pStyle w:val="TableParagraph"/>
              <w:spacing w:before="30"/>
              <w:ind w:left="104" w:right="95"/>
              <w:jc w:val="center"/>
              <w:rPr>
                <w:rFonts w:ascii="Arial" w:eastAsia="Arial"/>
                <w:sz w:val="22"/>
              </w:rPr>
            </w:pPr>
            <w:r>
              <w:rPr>
                <w:rFonts w:ascii="Arial" w:eastAsia="Arial"/>
                <w:sz w:val="22"/>
              </w:rPr>
              <w:t>8 </w:t>
            </w:r>
            <w:r>
              <w:rPr>
                <w:sz w:val="22"/>
              </w:rPr>
              <w:t>号富华大厦 </w:t>
            </w:r>
            <w:r>
              <w:rPr>
                <w:rFonts w:ascii="Arial" w:eastAsia="Arial"/>
                <w:sz w:val="22"/>
              </w:rPr>
              <w:t>F </w:t>
            </w:r>
            <w:r>
              <w:rPr>
                <w:sz w:val="22"/>
              </w:rPr>
              <w:t>座 </w:t>
            </w:r>
            <w:r>
              <w:rPr>
                <w:rFonts w:ascii="Arial" w:eastAsia="Arial"/>
                <w:sz w:val="22"/>
              </w:rPr>
              <w:t>12B</w:t>
            </w:r>
          </w:p>
          <w:p>
            <w:pPr>
              <w:pStyle w:val="TableParagraph"/>
              <w:spacing w:line="266" w:lineRule="auto" w:before="30"/>
              <w:ind w:left="1040" w:right="1033"/>
              <w:jc w:val="center"/>
              <w:rPr>
                <w:sz w:val="22"/>
              </w:rPr>
            </w:pPr>
            <w:r>
              <w:rPr>
                <w:sz w:val="22"/>
              </w:rPr>
              <w:t>法定代表人：程刚联系人： 李丹</w:t>
            </w:r>
          </w:p>
          <w:p>
            <w:pPr>
              <w:pStyle w:val="TableParagraph"/>
              <w:spacing w:line="266" w:lineRule="auto"/>
              <w:ind w:left="882" w:right="872"/>
              <w:jc w:val="center"/>
              <w:rPr>
                <w:rFonts w:ascii="Arial" w:eastAsia="Arial"/>
                <w:sz w:val="22"/>
              </w:rPr>
            </w:pPr>
            <w:r>
              <w:rPr>
                <w:sz w:val="22"/>
              </w:rPr>
              <w:t>电话：</w:t>
            </w:r>
            <w:r>
              <w:rPr>
                <w:rFonts w:ascii="Arial" w:eastAsia="Arial"/>
                <w:sz w:val="22"/>
              </w:rPr>
              <w:t>010-56176115 </w:t>
            </w:r>
            <w:r>
              <w:rPr>
                <w:sz w:val="22"/>
              </w:rPr>
              <w:t>传真：</w:t>
            </w:r>
            <w:r>
              <w:rPr>
                <w:rFonts w:ascii="Arial" w:eastAsia="Arial"/>
                <w:sz w:val="22"/>
              </w:rPr>
              <w:t>010-56176117</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400-100-3391</w:t>
            </w:r>
          </w:p>
          <w:p>
            <w:pPr>
              <w:pStyle w:val="TableParagraph"/>
              <w:spacing w:line="277" w:lineRule="exact" w:before="29"/>
              <w:ind w:left="101" w:right="95"/>
              <w:jc w:val="center"/>
              <w:rPr>
                <w:rFonts w:ascii="Arial" w:eastAsia="Arial"/>
                <w:sz w:val="22"/>
              </w:rPr>
            </w:pPr>
            <w:r>
              <w:rPr>
                <w:sz w:val="22"/>
              </w:rPr>
              <w:t>网址：</w:t>
            </w:r>
            <w:hyperlink r:id="rId152">
              <w:r>
                <w:rPr>
                  <w:rFonts w:ascii="Arial" w:eastAsia="Arial"/>
                  <w:sz w:val="22"/>
                </w:rPr>
                <w:t>www.bjdyfund.com</w:t>
              </w:r>
            </w:hyperlink>
          </w:p>
        </w:tc>
      </w:tr>
      <w:tr>
        <w:trPr>
          <w:trHeight w:val="281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27"/>
              <w:jc w:val="right"/>
              <w:rPr>
                <w:rFonts w:ascii="Arial"/>
                <w:sz w:val="21"/>
              </w:rPr>
            </w:pPr>
            <w:r>
              <w:rPr>
                <w:rFonts w:ascii="Arial"/>
                <w:sz w:val="21"/>
              </w:rPr>
              <w:t>151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79" w:right="77"/>
              <w:jc w:val="center"/>
              <w:rPr>
                <w:sz w:val="22"/>
              </w:rPr>
            </w:pPr>
            <w:r>
              <w:rPr>
                <w:sz w:val="22"/>
              </w:rPr>
              <w:t>通华财富（上海）基金销售有限公司</w:t>
            </w:r>
          </w:p>
        </w:tc>
        <w:tc>
          <w:tcPr>
            <w:tcW w:w="3848" w:type="dxa"/>
          </w:tcPr>
          <w:p>
            <w:pPr>
              <w:pStyle w:val="TableParagraph"/>
              <w:spacing w:before="15"/>
              <w:ind w:left="105" w:right="95"/>
              <w:jc w:val="center"/>
              <w:rPr>
                <w:rFonts w:ascii="Arial" w:eastAsia="Arial"/>
                <w:sz w:val="22"/>
              </w:rPr>
            </w:pPr>
            <w:r>
              <w:rPr>
                <w:sz w:val="22"/>
              </w:rPr>
              <w:t>注册地址：上海市虹口区同丰路 </w:t>
            </w:r>
            <w:r>
              <w:rPr>
                <w:rFonts w:ascii="Arial" w:eastAsia="Arial"/>
                <w:sz w:val="22"/>
              </w:rPr>
              <w:t>667</w:t>
            </w:r>
          </w:p>
          <w:p>
            <w:pPr>
              <w:pStyle w:val="TableParagraph"/>
              <w:spacing w:before="30"/>
              <w:ind w:left="105" w:right="95"/>
              <w:jc w:val="center"/>
              <w:rPr>
                <w:sz w:val="22"/>
              </w:rPr>
            </w:pPr>
            <w:r>
              <w:rPr>
                <w:sz w:val="22"/>
              </w:rPr>
              <w:t>弄 </w:t>
            </w:r>
            <w:r>
              <w:rPr>
                <w:rFonts w:ascii="Arial" w:eastAsia="Arial"/>
                <w:sz w:val="22"/>
              </w:rPr>
              <w:t>107 </w:t>
            </w:r>
            <w:r>
              <w:rPr>
                <w:sz w:val="22"/>
              </w:rPr>
              <w:t>号 </w:t>
            </w:r>
            <w:r>
              <w:rPr>
                <w:rFonts w:ascii="Arial" w:eastAsia="Arial"/>
                <w:sz w:val="22"/>
              </w:rPr>
              <w:t>201 </w:t>
            </w:r>
            <w:r>
              <w:rPr>
                <w:sz w:val="22"/>
              </w:rPr>
              <w:t>室</w:t>
            </w:r>
          </w:p>
          <w:p>
            <w:pPr>
              <w:pStyle w:val="TableParagraph"/>
              <w:spacing w:before="30"/>
              <w:ind w:left="8"/>
              <w:jc w:val="center"/>
              <w:rPr>
                <w:rFonts w:ascii="Arial" w:eastAsia="Arial"/>
                <w:sz w:val="22"/>
              </w:rPr>
            </w:pPr>
            <w:r>
              <w:rPr>
                <w:sz w:val="22"/>
              </w:rPr>
              <w:t>办公地址：上海市浦东新区金沪路 </w:t>
            </w:r>
            <w:r>
              <w:rPr>
                <w:rFonts w:ascii="Arial" w:eastAsia="Arial"/>
                <w:sz w:val="22"/>
              </w:rPr>
              <w:t>55</w:t>
            </w:r>
          </w:p>
          <w:p>
            <w:pPr>
              <w:pStyle w:val="TableParagraph"/>
              <w:spacing w:line="266" w:lineRule="auto" w:before="30"/>
              <w:ind w:left="891" w:right="881"/>
              <w:jc w:val="center"/>
              <w:rPr>
                <w:sz w:val="22"/>
              </w:rPr>
            </w:pPr>
            <w:r>
              <w:rPr>
                <w:sz w:val="22"/>
              </w:rPr>
              <w:t>号通华科技大厦 </w:t>
            </w:r>
            <w:r>
              <w:rPr>
                <w:rFonts w:ascii="Arial" w:eastAsia="Arial"/>
                <w:sz w:val="22"/>
              </w:rPr>
              <w:t>7 </w:t>
            </w:r>
            <w:r>
              <w:rPr>
                <w:sz w:val="22"/>
              </w:rPr>
              <w:t>层法定代表人：沈丹义联系人：杨徐霆</w:t>
            </w:r>
          </w:p>
          <w:p>
            <w:pPr>
              <w:pStyle w:val="TableParagraph"/>
              <w:spacing w:line="279" w:lineRule="exact"/>
              <w:ind w:left="102" w:right="95"/>
              <w:jc w:val="center"/>
              <w:rPr>
                <w:rFonts w:ascii="Arial" w:eastAsia="Arial"/>
                <w:sz w:val="22"/>
              </w:rPr>
            </w:pPr>
            <w:r>
              <w:rPr>
                <w:sz w:val="22"/>
              </w:rPr>
              <w:t>电话：</w:t>
            </w:r>
            <w:r>
              <w:rPr>
                <w:rFonts w:ascii="Arial" w:eastAsia="Arial"/>
                <w:sz w:val="22"/>
              </w:rPr>
              <w:t>021-60818249</w:t>
            </w:r>
          </w:p>
          <w:p>
            <w:pPr>
              <w:pStyle w:val="TableParagraph"/>
              <w:spacing w:line="310" w:lineRule="atLeast" w:before="2"/>
              <w:ind w:left="467" w:right="456"/>
              <w:jc w:val="center"/>
              <w:rPr>
                <w:rFonts w:ascii="Arial" w:eastAsia="Arial"/>
                <w:sz w:val="22"/>
              </w:rPr>
            </w:pPr>
            <w:r>
              <w:rPr>
                <w:sz w:val="22"/>
              </w:rPr>
              <w:t>客户服务电话：</w:t>
            </w:r>
            <w:r>
              <w:rPr>
                <w:rFonts w:ascii="Arial" w:eastAsia="Arial"/>
                <w:sz w:val="22"/>
              </w:rPr>
              <w:t>400-101-9301 </w:t>
            </w:r>
            <w:r>
              <w:rPr>
                <w:sz w:val="22"/>
              </w:rPr>
              <w:t>网址：</w:t>
            </w:r>
            <w:hyperlink r:id="rId153">
              <w:r>
                <w:rPr>
                  <w:rFonts w:ascii="Arial" w:eastAsia="Arial"/>
                  <w:sz w:val="22"/>
                </w:rPr>
                <w:t>www.tonghuafund.com</w:t>
              </w:r>
            </w:hyperlink>
          </w:p>
        </w:tc>
      </w:tr>
    </w:tbl>
    <w:p>
      <w:pPr>
        <w:spacing w:after="0" w:line="310" w:lineRule="atLeas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152</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喜鹊财富基金销售有限公司</w:t>
            </w:r>
          </w:p>
        </w:tc>
        <w:tc>
          <w:tcPr>
            <w:tcW w:w="3848" w:type="dxa"/>
            <w:tcBorders>
              <w:top w:val="nil"/>
            </w:tcBorders>
          </w:tcPr>
          <w:p>
            <w:pPr>
              <w:pStyle w:val="TableParagraph"/>
              <w:spacing w:line="266" w:lineRule="auto" w:before="15"/>
              <w:ind w:left="107" w:right="95"/>
              <w:jc w:val="center"/>
              <w:rPr>
                <w:sz w:val="22"/>
              </w:rPr>
            </w:pPr>
            <w:r>
              <w:rPr>
                <w:spacing w:val="-13"/>
                <w:sz w:val="22"/>
              </w:rPr>
              <w:t>注册地址：西藏拉萨市柳梧新区柳梧大</w:t>
            </w:r>
            <w:r>
              <w:rPr>
                <w:spacing w:val="-31"/>
                <w:sz w:val="22"/>
              </w:rPr>
              <w:t>厦 </w:t>
            </w:r>
            <w:r>
              <w:rPr>
                <w:rFonts w:ascii="Arial" w:eastAsia="Arial"/>
                <w:sz w:val="22"/>
              </w:rPr>
              <w:t>1513 </w:t>
            </w:r>
            <w:r>
              <w:rPr>
                <w:sz w:val="22"/>
              </w:rPr>
              <w:t>室</w:t>
            </w:r>
          </w:p>
          <w:p>
            <w:pPr>
              <w:pStyle w:val="TableParagraph"/>
              <w:spacing w:line="266" w:lineRule="auto"/>
              <w:ind w:left="107" w:right="95"/>
              <w:jc w:val="center"/>
              <w:rPr>
                <w:sz w:val="22"/>
              </w:rPr>
            </w:pPr>
            <w:r>
              <w:rPr>
                <w:spacing w:val="-13"/>
                <w:sz w:val="22"/>
              </w:rPr>
              <w:t>办公地址：西藏拉萨市柳梧新区柳梧大</w:t>
            </w:r>
            <w:r>
              <w:rPr>
                <w:spacing w:val="-31"/>
                <w:sz w:val="22"/>
              </w:rPr>
              <w:t>厦 </w:t>
            </w:r>
            <w:r>
              <w:rPr>
                <w:rFonts w:ascii="Arial" w:eastAsia="Arial"/>
                <w:sz w:val="22"/>
              </w:rPr>
              <w:t>1513 </w:t>
            </w:r>
            <w:r>
              <w:rPr>
                <w:sz w:val="22"/>
              </w:rPr>
              <w:t>室</w:t>
            </w:r>
          </w:p>
          <w:p>
            <w:pPr>
              <w:pStyle w:val="TableParagraph"/>
              <w:spacing w:line="266" w:lineRule="auto"/>
              <w:ind w:left="988" w:right="978"/>
              <w:jc w:val="center"/>
              <w:rPr>
                <w:sz w:val="22"/>
              </w:rPr>
            </w:pPr>
            <w:r>
              <w:rPr>
                <w:sz w:val="22"/>
              </w:rPr>
              <w:t>法定代表人： 陈皓联系人： 曹砚财</w:t>
            </w:r>
          </w:p>
          <w:p>
            <w:pPr>
              <w:pStyle w:val="TableParagraph"/>
              <w:spacing w:line="266" w:lineRule="auto"/>
              <w:ind w:left="882" w:right="872"/>
              <w:jc w:val="center"/>
              <w:rPr>
                <w:rFonts w:ascii="Arial" w:eastAsia="Arial"/>
                <w:sz w:val="22"/>
              </w:rPr>
            </w:pPr>
            <w:r>
              <w:rPr>
                <w:sz w:val="22"/>
              </w:rPr>
              <w:t>电话：</w:t>
            </w:r>
            <w:r>
              <w:rPr>
                <w:rFonts w:ascii="Arial" w:eastAsia="Arial"/>
                <w:sz w:val="22"/>
              </w:rPr>
              <w:t>010-58349088 </w:t>
            </w:r>
            <w:r>
              <w:rPr>
                <w:sz w:val="22"/>
              </w:rPr>
              <w:t>传真：</w:t>
            </w:r>
            <w:r>
              <w:rPr>
                <w:rFonts w:ascii="Arial" w:eastAsia="Arial"/>
                <w:sz w:val="22"/>
              </w:rPr>
              <w:t>010-88371180</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0891-6177483</w:t>
            </w:r>
          </w:p>
          <w:p>
            <w:pPr>
              <w:pStyle w:val="TableParagraph"/>
              <w:spacing w:line="277" w:lineRule="exact" w:before="25"/>
              <w:ind w:left="103" w:right="95"/>
              <w:jc w:val="center"/>
              <w:rPr>
                <w:rFonts w:ascii="Arial" w:eastAsia="Arial"/>
                <w:sz w:val="22"/>
              </w:rPr>
            </w:pPr>
            <w:r>
              <w:rPr>
                <w:sz w:val="22"/>
              </w:rPr>
              <w:t>网址：</w:t>
            </w:r>
            <w:hyperlink r:id="rId154">
              <w:r>
                <w:rPr>
                  <w:rFonts w:ascii="Arial" w:eastAsia="Arial"/>
                  <w:sz w:val="22"/>
                </w:rPr>
                <w:t>www.xiquefund.com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153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9" w:right="77"/>
              <w:jc w:val="center"/>
              <w:rPr>
                <w:sz w:val="22"/>
              </w:rPr>
            </w:pPr>
            <w:r>
              <w:rPr>
                <w:sz w:val="22"/>
              </w:rPr>
              <w:t>济安财富（北京）基金销售有限公司</w:t>
            </w:r>
          </w:p>
        </w:tc>
        <w:tc>
          <w:tcPr>
            <w:tcW w:w="3848" w:type="dxa"/>
          </w:tcPr>
          <w:p>
            <w:pPr>
              <w:pStyle w:val="TableParagraph"/>
              <w:spacing w:before="15"/>
              <w:ind w:left="11"/>
              <w:jc w:val="center"/>
              <w:rPr>
                <w:rFonts w:ascii="Arial" w:eastAsia="Arial"/>
                <w:sz w:val="22"/>
              </w:rPr>
            </w:pPr>
            <w:r>
              <w:rPr>
                <w:sz w:val="22"/>
              </w:rPr>
              <w:t>注册地址：北京市朝阳区东三环中路 </w:t>
            </w:r>
            <w:r>
              <w:rPr>
                <w:rFonts w:ascii="Arial" w:eastAsia="Arial"/>
                <w:sz w:val="22"/>
              </w:rPr>
              <w:t>7</w:t>
            </w:r>
          </w:p>
          <w:p>
            <w:pPr>
              <w:pStyle w:val="TableParagraph"/>
              <w:spacing w:before="30"/>
              <w:ind w:left="101" w:right="95"/>
              <w:jc w:val="center"/>
              <w:rPr>
                <w:sz w:val="22"/>
              </w:rPr>
            </w:pPr>
            <w:r>
              <w:rPr>
                <w:sz w:val="22"/>
              </w:rPr>
              <w:t>号 </w:t>
            </w:r>
            <w:r>
              <w:rPr>
                <w:rFonts w:ascii="Arial" w:eastAsia="Arial"/>
                <w:sz w:val="22"/>
              </w:rPr>
              <w:t>4 </w:t>
            </w:r>
            <w:r>
              <w:rPr>
                <w:sz w:val="22"/>
              </w:rPr>
              <w:t>号楼 </w:t>
            </w:r>
            <w:r>
              <w:rPr>
                <w:rFonts w:ascii="Arial" w:eastAsia="Arial"/>
                <w:sz w:val="22"/>
              </w:rPr>
              <w:t>40 </w:t>
            </w:r>
            <w:r>
              <w:rPr>
                <w:sz w:val="22"/>
              </w:rPr>
              <w:t>层 </w:t>
            </w:r>
            <w:r>
              <w:rPr>
                <w:rFonts w:ascii="Arial" w:eastAsia="Arial"/>
                <w:sz w:val="22"/>
              </w:rPr>
              <w:t>4601 </w:t>
            </w:r>
            <w:r>
              <w:rPr>
                <w:sz w:val="22"/>
              </w:rPr>
              <w:t>室</w:t>
            </w:r>
          </w:p>
          <w:p>
            <w:pPr>
              <w:pStyle w:val="TableParagraph"/>
              <w:spacing w:before="31"/>
              <w:ind w:left="11"/>
              <w:jc w:val="center"/>
              <w:rPr>
                <w:rFonts w:ascii="Arial" w:eastAsia="Arial"/>
                <w:sz w:val="22"/>
              </w:rPr>
            </w:pPr>
            <w:r>
              <w:rPr>
                <w:sz w:val="22"/>
              </w:rPr>
              <w:t>办公地址：北京市朝阳区东三环中路 </w:t>
            </w:r>
            <w:r>
              <w:rPr>
                <w:rFonts w:ascii="Arial" w:eastAsia="Arial"/>
                <w:sz w:val="22"/>
              </w:rPr>
              <w:t>7</w:t>
            </w:r>
          </w:p>
          <w:p>
            <w:pPr>
              <w:pStyle w:val="TableParagraph"/>
              <w:spacing w:line="266" w:lineRule="auto" w:before="30"/>
              <w:ind w:left="625" w:right="617"/>
              <w:jc w:val="center"/>
              <w:rPr>
                <w:sz w:val="22"/>
              </w:rPr>
            </w:pPr>
            <w:r>
              <w:rPr>
                <w:spacing w:val="-8"/>
                <w:sz w:val="22"/>
              </w:rPr>
              <w:t>号北京财富中心 </w:t>
            </w:r>
            <w:r>
              <w:rPr>
                <w:rFonts w:ascii="Arial" w:eastAsia="Arial"/>
                <w:sz w:val="22"/>
              </w:rPr>
              <w:t>A </w:t>
            </w:r>
            <w:r>
              <w:rPr>
                <w:spacing w:val="-26"/>
                <w:sz w:val="22"/>
              </w:rPr>
              <w:t>座 </w:t>
            </w:r>
            <w:r>
              <w:rPr>
                <w:rFonts w:ascii="Arial" w:eastAsia="Arial"/>
                <w:sz w:val="22"/>
              </w:rPr>
              <w:t>46 </w:t>
            </w:r>
            <w:r>
              <w:rPr>
                <w:spacing w:val="-14"/>
                <w:sz w:val="22"/>
              </w:rPr>
              <w:t>层</w:t>
            </w:r>
            <w:r>
              <w:rPr>
                <w:spacing w:val="-3"/>
                <w:sz w:val="22"/>
              </w:rPr>
              <w:t>法定代表人： 杨健</w:t>
            </w:r>
          </w:p>
          <w:p>
            <w:pPr>
              <w:pStyle w:val="TableParagraph"/>
              <w:spacing w:line="266" w:lineRule="auto"/>
              <w:ind w:left="882" w:right="872" w:firstLine="213"/>
              <w:rPr>
                <w:rFonts w:ascii="Arial" w:eastAsia="Arial"/>
                <w:sz w:val="22"/>
              </w:rPr>
            </w:pPr>
            <w:r>
              <w:rPr>
                <w:spacing w:val="-1"/>
                <w:sz w:val="22"/>
              </w:rPr>
              <w:t>联系人： 李海燕电话：</w:t>
            </w:r>
            <w:r>
              <w:rPr>
                <w:rFonts w:ascii="Arial" w:eastAsia="Arial"/>
                <w:spacing w:val="-1"/>
                <w:sz w:val="22"/>
              </w:rPr>
              <w:t>010-65309516 </w:t>
            </w:r>
            <w:r>
              <w:rPr>
                <w:spacing w:val="-1"/>
                <w:sz w:val="22"/>
              </w:rPr>
              <w:t>传真：</w:t>
            </w:r>
            <w:r>
              <w:rPr>
                <w:rFonts w:ascii="Arial" w:eastAsia="Arial"/>
                <w:spacing w:val="-1"/>
                <w:sz w:val="22"/>
              </w:rPr>
              <w:t>010-65330699</w:t>
            </w:r>
          </w:p>
          <w:p>
            <w:pPr>
              <w:pStyle w:val="TableParagraph"/>
              <w:spacing w:line="279" w:lineRule="exact"/>
              <w:ind w:left="467"/>
              <w:rPr>
                <w:rFonts w:ascii="Arial" w:eastAsia="Arial"/>
                <w:sz w:val="22"/>
              </w:rPr>
            </w:pPr>
            <w:r>
              <w:rPr>
                <w:sz w:val="22"/>
              </w:rPr>
              <w:t>客户服务电话：</w:t>
            </w:r>
            <w:r>
              <w:rPr>
                <w:rFonts w:ascii="Arial" w:eastAsia="Arial"/>
                <w:sz w:val="22"/>
              </w:rPr>
              <w:t>400-673-7010</w:t>
            </w:r>
          </w:p>
          <w:p>
            <w:pPr>
              <w:pStyle w:val="TableParagraph"/>
              <w:spacing w:line="277" w:lineRule="exact" w:before="28"/>
              <w:ind w:left="570"/>
              <w:rPr>
                <w:rFonts w:ascii="Arial" w:eastAsia="Arial"/>
                <w:sz w:val="22"/>
              </w:rPr>
            </w:pPr>
            <w:r>
              <w:rPr>
                <w:sz w:val="22"/>
              </w:rPr>
              <w:t>网址：</w:t>
            </w:r>
            <w:hyperlink r:id="rId155">
              <w:r>
                <w:rPr>
                  <w:rFonts w:ascii="Arial" w:eastAsia="Arial"/>
                  <w:sz w:val="22"/>
                </w:rPr>
                <w:t>www.jianfortune.com</w:t>
              </w:r>
            </w:hyperlink>
          </w:p>
        </w:tc>
      </w:tr>
      <w:tr>
        <w:trPr>
          <w:trHeight w:val="374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ind w:right="127"/>
              <w:jc w:val="right"/>
              <w:rPr>
                <w:rFonts w:ascii="Arial"/>
                <w:sz w:val="21"/>
              </w:rPr>
            </w:pPr>
            <w:r>
              <w:rPr>
                <w:rFonts w:ascii="Arial"/>
                <w:sz w:val="21"/>
              </w:rPr>
              <w:t>154</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77" w:right="77"/>
              <w:jc w:val="center"/>
              <w:rPr>
                <w:sz w:val="22"/>
              </w:rPr>
            </w:pPr>
            <w:r>
              <w:rPr>
                <w:sz w:val="22"/>
              </w:rPr>
              <w:t>华信期货股份有限公司</w:t>
            </w:r>
          </w:p>
        </w:tc>
        <w:tc>
          <w:tcPr>
            <w:tcW w:w="3848" w:type="dxa"/>
          </w:tcPr>
          <w:p>
            <w:pPr>
              <w:pStyle w:val="TableParagraph"/>
              <w:spacing w:line="266" w:lineRule="auto" w:before="15"/>
              <w:ind w:left="107" w:right="94" w:hanging="2"/>
              <w:jc w:val="center"/>
              <w:rPr>
                <w:rFonts w:ascii="Arial" w:eastAsia="Arial"/>
                <w:sz w:val="22"/>
              </w:rPr>
            </w:pPr>
            <w:r>
              <w:rPr>
                <w:spacing w:val="-4"/>
                <w:sz w:val="22"/>
              </w:rPr>
              <w:t>注册地址： 郑州市郑东新区商务内环</w:t>
            </w:r>
            <w:r>
              <w:rPr>
                <w:spacing w:val="-28"/>
                <w:sz w:val="22"/>
              </w:rPr>
              <w:t>路 </w:t>
            </w:r>
            <w:r>
              <w:rPr>
                <w:rFonts w:ascii="Arial" w:eastAsia="Arial"/>
                <w:sz w:val="22"/>
              </w:rPr>
              <w:t>27</w:t>
            </w:r>
            <w:r>
              <w:rPr>
                <w:rFonts w:ascii="Arial" w:eastAsia="Arial"/>
                <w:spacing w:val="-6"/>
                <w:sz w:val="22"/>
              </w:rPr>
              <w:t> </w:t>
            </w:r>
            <w:r>
              <w:rPr>
                <w:spacing w:val="-18"/>
                <w:sz w:val="22"/>
              </w:rPr>
              <w:t>号楼 </w:t>
            </w:r>
            <w:r>
              <w:rPr>
                <w:rFonts w:ascii="Arial" w:eastAsia="Arial"/>
                <w:sz w:val="22"/>
              </w:rPr>
              <w:t>1</w:t>
            </w:r>
            <w:r>
              <w:rPr>
                <w:rFonts w:ascii="Arial" w:eastAsia="Arial"/>
                <w:spacing w:val="-9"/>
                <w:sz w:val="22"/>
              </w:rPr>
              <w:t> </w:t>
            </w:r>
            <w:r>
              <w:rPr>
                <w:spacing w:val="-18"/>
                <w:sz w:val="22"/>
              </w:rPr>
              <w:t>单元 </w:t>
            </w:r>
            <w:r>
              <w:rPr>
                <w:rFonts w:ascii="Arial" w:eastAsia="Arial"/>
                <w:sz w:val="22"/>
              </w:rPr>
              <w:t>3</w:t>
            </w:r>
            <w:r>
              <w:rPr>
                <w:rFonts w:ascii="Arial" w:eastAsia="Arial"/>
                <w:spacing w:val="-8"/>
                <w:sz w:val="22"/>
              </w:rPr>
              <w:t> </w:t>
            </w:r>
            <w:r>
              <w:rPr>
                <w:spacing w:val="-27"/>
                <w:sz w:val="22"/>
              </w:rPr>
              <w:t>层 </w:t>
            </w:r>
            <w:r>
              <w:rPr>
                <w:rFonts w:ascii="Arial" w:eastAsia="Arial"/>
                <w:sz w:val="22"/>
              </w:rPr>
              <w:t>01</w:t>
            </w:r>
            <w:r>
              <w:rPr>
                <w:rFonts w:ascii="Arial" w:eastAsia="Arial"/>
                <w:spacing w:val="-6"/>
                <w:sz w:val="22"/>
              </w:rPr>
              <w:t> </w:t>
            </w:r>
            <w:r>
              <w:rPr>
                <w:spacing w:val="-50"/>
                <w:sz w:val="22"/>
              </w:rPr>
              <w:t>号、</w:t>
            </w:r>
            <w:r>
              <w:rPr>
                <w:rFonts w:ascii="Arial" w:eastAsia="Arial"/>
                <w:sz w:val="22"/>
              </w:rPr>
              <w:t>2</w:t>
            </w:r>
            <w:r>
              <w:rPr>
                <w:rFonts w:ascii="Arial" w:eastAsia="Arial"/>
                <w:spacing w:val="-6"/>
                <w:sz w:val="22"/>
              </w:rPr>
              <w:t> </w:t>
            </w:r>
            <w:r>
              <w:rPr>
                <w:spacing w:val="-18"/>
                <w:sz w:val="22"/>
              </w:rPr>
              <w:t>单元 </w:t>
            </w:r>
            <w:r>
              <w:rPr>
                <w:rFonts w:ascii="Arial" w:eastAsia="Arial"/>
                <w:spacing w:val="-13"/>
                <w:sz w:val="22"/>
              </w:rPr>
              <w:t>3</w:t>
            </w:r>
          </w:p>
          <w:p>
            <w:pPr>
              <w:pStyle w:val="TableParagraph"/>
              <w:spacing w:line="281" w:lineRule="exact"/>
              <w:ind w:left="105" w:right="95"/>
              <w:jc w:val="center"/>
              <w:rPr>
                <w:sz w:val="22"/>
              </w:rPr>
            </w:pPr>
            <w:r>
              <w:rPr>
                <w:sz w:val="22"/>
              </w:rPr>
              <w:t>层 </w:t>
            </w:r>
            <w:r>
              <w:rPr>
                <w:rFonts w:ascii="Arial" w:eastAsia="Arial"/>
                <w:sz w:val="22"/>
              </w:rPr>
              <w:t>02 </w:t>
            </w:r>
            <w:r>
              <w:rPr>
                <w:sz w:val="22"/>
              </w:rPr>
              <w:t>号</w:t>
            </w:r>
          </w:p>
          <w:p>
            <w:pPr>
              <w:pStyle w:val="TableParagraph"/>
              <w:spacing w:line="266" w:lineRule="auto" w:before="30"/>
              <w:ind w:left="107" w:right="94" w:hanging="2"/>
              <w:jc w:val="center"/>
              <w:rPr>
                <w:rFonts w:ascii="Arial" w:eastAsia="Arial"/>
                <w:sz w:val="22"/>
              </w:rPr>
            </w:pPr>
            <w:r>
              <w:rPr>
                <w:spacing w:val="-4"/>
                <w:sz w:val="22"/>
              </w:rPr>
              <w:t>办公地址： 郑州市郑东新区商务内环</w:t>
            </w:r>
            <w:r>
              <w:rPr>
                <w:spacing w:val="-28"/>
                <w:sz w:val="22"/>
              </w:rPr>
              <w:t>路 </w:t>
            </w:r>
            <w:r>
              <w:rPr>
                <w:rFonts w:ascii="Arial" w:eastAsia="Arial"/>
                <w:sz w:val="22"/>
              </w:rPr>
              <w:t>27</w:t>
            </w:r>
            <w:r>
              <w:rPr>
                <w:rFonts w:ascii="Arial" w:eastAsia="Arial"/>
                <w:spacing w:val="-6"/>
                <w:sz w:val="22"/>
              </w:rPr>
              <w:t> </w:t>
            </w:r>
            <w:r>
              <w:rPr>
                <w:spacing w:val="-18"/>
                <w:sz w:val="22"/>
              </w:rPr>
              <w:t>号楼 </w:t>
            </w:r>
            <w:r>
              <w:rPr>
                <w:rFonts w:ascii="Arial" w:eastAsia="Arial"/>
                <w:sz w:val="22"/>
              </w:rPr>
              <w:t>1</w:t>
            </w:r>
            <w:r>
              <w:rPr>
                <w:rFonts w:ascii="Arial" w:eastAsia="Arial"/>
                <w:spacing w:val="-9"/>
                <w:sz w:val="22"/>
              </w:rPr>
              <w:t> </w:t>
            </w:r>
            <w:r>
              <w:rPr>
                <w:spacing w:val="-18"/>
                <w:sz w:val="22"/>
              </w:rPr>
              <w:t>单元 </w:t>
            </w:r>
            <w:r>
              <w:rPr>
                <w:rFonts w:ascii="Arial" w:eastAsia="Arial"/>
                <w:sz w:val="22"/>
              </w:rPr>
              <w:t>3</w:t>
            </w:r>
            <w:r>
              <w:rPr>
                <w:rFonts w:ascii="Arial" w:eastAsia="Arial"/>
                <w:spacing w:val="-8"/>
                <w:sz w:val="22"/>
              </w:rPr>
              <w:t> </w:t>
            </w:r>
            <w:r>
              <w:rPr>
                <w:spacing w:val="-27"/>
                <w:sz w:val="22"/>
              </w:rPr>
              <w:t>层 </w:t>
            </w:r>
            <w:r>
              <w:rPr>
                <w:rFonts w:ascii="Arial" w:eastAsia="Arial"/>
                <w:sz w:val="22"/>
              </w:rPr>
              <w:t>01</w:t>
            </w:r>
            <w:r>
              <w:rPr>
                <w:rFonts w:ascii="Arial" w:eastAsia="Arial"/>
                <w:spacing w:val="-6"/>
                <w:sz w:val="22"/>
              </w:rPr>
              <w:t> </w:t>
            </w:r>
            <w:r>
              <w:rPr>
                <w:spacing w:val="-50"/>
                <w:sz w:val="22"/>
              </w:rPr>
              <w:t>号、</w:t>
            </w:r>
            <w:r>
              <w:rPr>
                <w:rFonts w:ascii="Arial" w:eastAsia="Arial"/>
                <w:sz w:val="22"/>
              </w:rPr>
              <w:t>2</w:t>
            </w:r>
            <w:r>
              <w:rPr>
                <w:rFonts w:ascii="Arial" w:eastAsia="Arial"/>
                <w:spacing w:val="-6"/>
                <w:sz w:val="22"/>
              </w:rPr>
              <w:t> </w:t>
            </w:r>
            <w:r>
              <w:rPr>
                <w:spacing w:val="-18"/>
                <w:sz w:val="22"/>
              </w:rPr>
              <w:t>单元 </w:t>
            </w:r>
            <w:r>
              <w:rPr>
                <w:rFonts w:ascii="Arial" w:eastAsia="Arial"/>
                <w:spacing w:val="-13"/>
                <w:sz w:val="22"/>
              </w:rPr>
              <w:t>3</w:t>
            </w:r>
          </w:p>
          <w:p>
            <w:pPr>
              <w:pStyle w:val="TableParagraph"/>
              <w:spacing w:line="280" w:lineRule="exact"/>
              <w:ind w:left="105" w:right="95"/>
              <w:jc w:val="center"/>
              <w:rPr>
                <w:sz w:val="22"/>
              </w:rPr>
            </w:pPr>
            <w:r>
              <w:rPr>
                <w:sz w:val="22"/>
              </w:rPr>
              <w:t>层 </w:t>
            </w:r>
            <w:r>
              <w:rPr>
                <w:rFonts w:ascii="Arial" w:eastAsia="Arial"/>
                <w:sz w:val="22"/>
              </w:rPr>
              <w:t>02 </w:t>
            </w:r>
            <w:r>
              <w:rPr>
                <w:sz w:val="22"/>
              </w:rPr>
              <w:t>号</w:t>
            </w:r>
          </w:p>
          <w:p>
            <w:pPr>
              <w:pStyle w:val="TableParagraph"/>
              <w:spacing w:line="266" w:lineRule="auto" w:before="30"/>
              <w:ind w:left="988" w:right="978"/>
              <w:jc w:val="center"/>
              <w:rPr>
                <w:sz w:val="22"/>
              </w:rPr>
            </w:pPr>
            <w:r>
              <w:rPr>
                <w:sz w:val="22"/>
              </w:rPr>
              <w:t>法定代表人： 张岩联系人：李玉磊</w:t>
            </w:r>
          </w:p>
          <w:p>
            <w:pPr>
              <w:pStyle w:val="TableParagraph"/>
              <w:spacing w:line="266" w:lineRule="auto"/>
              <w:ind w:left="822" w:right="810"/>
              <w:jc w:val="center"/>
              <w:rPr>
                <w:rFonts w:ascii="Arial" w:eastAsia="Arial"/>
                <w:sz w:val="22"/>
              </w:rPr>
            </w:pPr>
            <w:r>
              <w:rPr>
                <w:sz w:val="22"/>
              </w:rPr>
              <w:t>电话：</w:t>
            </w:r>
            <w:r>
              <w:rPr>
                <w:rFonts w:ascii="Arial" w:eastAsia="Arial"/>
                <w:sz w:val="22"/>
              </w:rPr>
              <w:t>0371-69106682 </w:t>
            </w:r>
            <w:r>
              <w:rPr>
                <w:sz w:val="22"/>
              </w:rPr>
              <w:t>传真：</w:t>
            </w:r>
            <w:r>
              <w:rPr>
                <w:rFonts w:ascii="Arial" w:eastAsia="Arial"/>
                <w:sz w:val="22"/>
              </w:rPr>
              <w:t>0371-69106655</w:t>
            </w:r>
          </w:p>
          <w:p>
            <w:pPr>
              <w:pStyle w:val="TableParagraph"/>
              <w:spacing w:line="280" w:lineRule="exact"/>
              <w:ind w:left="103" w:right="95"/>
              <w:jc w:val="center"/>
              <w:rPr>
                <w:rFonts w:ascii="Arial" w:eastAsia="Arial"/>
                <w:sz w:val="22"/>
              </w:rPr>
            </w:pPr>
            <w:r>
              <w:rPr>
                <w:spacing w:val="-2"/>
                <w:sz w:val="22"/>
              </w:rPr>
              <w:t>客户服务电话：</w:t>
            </w:r>
            <w:r>
              <w:rPr>
                <w:rFonts w:ascii="Arial" w:eastAsia="Arial"/>
                <w:spacing w:val="-1"/>
                <w:sz w:val="22"/>
              </w:rPr>
              <w:t>400-6197-666</w:t>
            </w:r>
          </w:p>
          <w:p>
            <w:pPr>
              <w:pStyle w:val="TableParagraph"/>
              <w:spacing w:line="277" w:lineRule="exact" w:before="28"/>
              <w:ind w:left="102" w:right="95"/>
              <w:jc w:val="center"/>
              <w:rPr>
                <w:rFonts w:ascii="Arial" w:eastAsia="Arial"/>
                <w:sz w:val="22"/>
              </w:rPr>
            </w:pPr>
            <w:r>
              <w:rPr>
                <w:spacing w:val="-1"/>
                <w:sz w:val="22"/>
              </w:rPr>
              <w:t>网址：</w:t>
            </w:r>
            <w:hyperlink r:id="rId156">
              <w:r>
                <w:rPr>
                  <w:rFonts w:ascii="Arial" w:eastAsia="Arial"/>
                  <w:spacing w:val="-1"/>
                  <w:sz w:val="22"/>
                </w:rPr>
                <w:t>http://www.cefcfco.com/</w:t>
              </w:r>
            </w:hyperlink>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27"/>
              <w:jc w:val="right"/>
              <w:rPr>
                <w:rFonts w:ascii="Arial"/>
                <w:sz w:val="21"/>
              </w:rPr>
            </w:pPr>
            <w:r>
              <w:rPr>
                <w:rFonts w:ascii="Arial"/>
                <w:sz w:val="21"/>
              </w:rPr>
              <w:t>155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ind w:left="1859" w:right="56" w:hanging="1755"/>
              <w:rPr>
                <w:sz w:val="22"/>
              </w:rPr>
            </w:pPr>
            <w:r>
              <w:rPr>
                <w:sz w:val="22"/>
              </w:rPr>
              <w:t>洪泰财富（青岛）基金销售有限责任公司</w:t>
            </w:r>
          </w:p>
        </w:tc>
        <w:tc>
          <w:tcPr>
            <w:tcW w:w="3848" w:type="dxa"/>
          </w:tcPr>
          <w:p>
            <w:pPr>
              <w:pStyle w:val="TableParagraph"/>
              <w:spacing w:before="15"/>
              <w:ind w:left="100" w:right="95"/>
              <w:jc w:val="center"/>
              <w:rPr>
                <w:sz w:val="22"/>
              </w:rPr>
            </w:pPr>
            <w:r>
              <w:rPr>
                <w:sz w:val="22"/>
              </w:rPr>
              <w:t>注册地址：山东省青岛市香港东路</w:t>
            </w:r>
          </w:p>
          <w:p>
            <w:pPr>
              <w:pStyle w:val="TableParagraph"/>
              <w:spacing w:before="30"/>
              <w:ind w:left="103" w:right="95"/>
              <w:jc w:val="center"/>
              <w:rPr>
                <w:sz w:val="22"/>
              </w:rPr>
            </w:pPr>
            <w:r>
              <w:rPr>
                <w:rFonts w:ascii="Arial" w:eastAsia="Arial"/>
                <w:sz w:val="22"/>
              </w:rPr>
              <w:t>195 </w:t>
            </w:r>
            <w:r>
              <w:rPr>
                <w:sz w:val="22"/>
              </w:rPr>
              <w:t>号 </w:t>
            </w:r>
            <w:r>
              <w:rPr>
                <w:rFonts w:ascii="Arial" w:eastAsia="Arial"/>
                <w:sz w:val="22"/>
              </w:rPr>
              <w:t>9 </w:t>
            </w:r>
            <w:r>
              <w:rPr>
                <w:sz w:val="22"/>
              </w:rPr>
              <w:t>号楼 </w:t>
            </w:r>
            <w:r>
              <w:rPr>
                <w:rFonts w:ascii="Arial" w:eastAsia="Arial"/>
                <w:sz w:val="22"/>
              </w:rPr>
              <w:t>701 </w:t>
            </w:r>
            <w:r>
              <w:rPr>
                <w:sz w:val="22"/>
              </w:rPr>
              <w:t>室</w:t>
            </w:r>
          </w:p>
          <w:p>
            <w:pPr>
              <w:pStyle w:val="TableParagraph"/>
              <w:spacing w:line="266" w:lineRule="auto" w:before="30"/>
              <w:ind w:left="107" w:right="48" w:firstLine="552"/>
              <w:rPr>
                <w:sz w:val="22"/>
              </w:rPr>
            </w:pPr>
            <w:r>
              <w:rPr>
                <w:spacing w:val="-4"/>
                <w:sz w:val="22"/>
              </w:rPr>
              <w:t>办公地址：北京市西城区西什库</w:t>
            </w:r>
            <w:r>
              <w:rPr>
                <w:spacing w:val="-22"/>
                <w:sz w:val="22"/>
              </w:rPr>
              <w:t>大街 </w:t>
            </w:r>
            <w:r>
              <w:rPr>
                <w:rFonts w:ascii="Arial" w:eastAsia="Arial"/>
                <w:sz w:val="22"/>
              </w:rPr>
              <w:t>31 </w:t>
            </w:r>
            <w:r>
              <w:rPr>
                <w:spacing w:val="-12"/>
                <w:sz w:val="22"/>
              </w:rPr>
              <w:t>号院九思文创园 </w:t>
            </w:r>
            <w:r>
              <w:rPr>
                <w:rFonts w:ascii="Arial" w:eastAsia="Arial"/>
                <w:sz w:val="22"/>
              </w:rPr>
              <w:t>5 </w:t>
            </w:r>
            <w:r>
              <w:rPr>
                <w:spacing w:val="-22"/>
                <w:sz w:val="22"/>
              </w:rPr>
              <w:t>号楼 </w:t>
            </w:r>
            <w:r>
              <w:rPr>
                <w:rFonts w:ascii="Arial" w:eastAsia="Arial"/>
                <w:sz w:val="22"/>
              </w:rPr>
              <w:t>501 </w:t>
            </w:r>
            <w:r>
              <w:rPr>
                <w:spacing w:val="-12"/>
                <w:sz w:val="22"/>
              </w:rPr>
              <w:t>室</w:t>
            </w:r>
          </w:p>
          <w:p>
            <w:pPr>
              <w:pStyle w:val="TableParagraph"/>
              <w:spacing w:line="266" w:lineRule="auto"/>
              <w:ind w:left="1429" w:right="647" w:hanging="221"/>
              <w:rPr>
                <w:sz w:val="22"/>
              </w:rPr>
            </w:pPr>
            <w:r>
              <w:rPr>
                <w:sz w:val="22"/>
              </w:rPr>
              <w:t>法定代表人：杨雅琴联系人：李慧慧</w:t>
            </w:r>
          </w:p>
          <w:p>
            <w:pPr>
              <w:pStyle w:val="TableParagraph"/>
              <w:spacing w:line="266" w:lineRule="auto"/>
              <w:ind w:left="1098" w:right="536" w:hanging="2"/>
              <w:jc w:val="center"/>
              <w:rPr>
                <w:rFonts w:ascii="Arial" w:eastAsia="Arial"/>
                <w:sz w:val="22"/>
              </w:rPr>
            </w:pPr>
            <w:r>
              <w:rPr>
                <w:sz w:val="22"/>
              </w:rPr>
              <w:t>电话：</w:t>
            </w:r>
            <w:r>
              <w:rPr>
                <w:rFonts w:ascii="Arial" w:eastAsia="Arial"/>
                <w:sz w:val="22"/>
              </w:rPr>
              <w:t>010-66162800 </w:t>
            </w:r>
            <w:r>
              <w:rPr>
                <w:sz w:val="22"/>
              </w:rPr>
              <w:t>传真：</w:t>
            </w:r>
            <w:r>
              <w:rPr>
                <w:rFonts w:ascii="Arial" w:eastAsia="Arial"/>
                <w:sz w:val="22"/>
              </w:rPr>
              <w:t>0532-66728591</w:t>
            </w:r>
          </w:p>
          <w:p>
            <w:pPr>
              <w:pStyle w:val="TableParagraph"/>
              <w:spacing w:line="280" w:lineRule="exact"/>
              <w:ind w:left="655" w:right="95"/>
              <w:jc w:val="center"/>
              <w:rPr>
                <w:rFonts w:ascii="Arial" w:eastAsia="Arial"/>
                <w:sz w:val="22"/>
              </w:rPr>
            </w:pPr>
            <w:r>
              <w:rPr>
                <w:sz w:val="22"/>
              </w:rPr>
              <w:t>客户服务电话：</w:t>
            </w:r>
            <w:r>
              <w:rPr>
                <w:rFonts w:ascii="Arial" w:eastAsia="Arial"/>
                <w:sz w:val="22"/>
              </w:rPr>
              <w:t>4006706863</w:t>
            </w:r>
          </w:p>
          <w:p>
            <w:pPr>
              <w:pStyle w:val="TableParagraph"/>
              <w:spacing w:line="279" w:lineRule="exact" w:before="27"/>
              <w:ind w:left="655" w:right="95"/>
              <w:jc w:val="center"/>
              <w:rPr>
                <w:rFonts w:ascii="Arial" w:eastAsia="Arial"/>
                <w:sz w:val="22"/>
              </w:rPr>
            </w:pPr>
            <w:r>
              <w:rPr>
                <w:sz w:val="22"/>
              </w:rPr>
              <w:t>网址：</w:t>
            </w:r>
            <w:hyperlink r:id="rId157">
              <w:r>
                <w:rPr>
                  <w:rFonts w:ascii="Arial" w:eastAsia="Arial"/>
                  <w:sz w:val="22"/>
                </w:rPr>
                <w:t>www.hongtaiwealth.com</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156</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上海有鱼基金销售有限公司</w:t>
            </w:r>
          </w:p>
        </w:tc>
        <w:tc>
          <w:tcPr>
            <w:tcW w:w="3848" w:type="dxa"/>
            <w:tcBorders>
              <w:top w:val="nil"/>
            </w:tcBorders>
          </w:tcPr>
          <w:p>
            <w:pPr>
              <w:pStyle w:val="TableParagraph"/>
              <w:spacing w:line="266" w:lineRule="auto" w:before="15"/>
              <w:ind w:left="107" w:right="95"/>
              <w:jc w:val="center"/>
              <w:rPr>
                <w:sz w:val="22"/>
              </w:rPr>
            </w:pPr>
            <w:r>
              <w:rPr>
                <w:spacing w:val="-13"/>
                <w:sz w:val="22"/>
              </w:rPr>
              <w:t>注册地址：上海自由贸易试验区浦东大</w:t>
            </w:r>
            <w:r>
              <w:rPr>
                <w:spacing w:val="-28"/>
                <w:sz w:val="22"/>
              </w:rPr>
              <w:t>道 </w:t>
            </w:r>
            <w:r>
              <w:rPr>
                <w:rFonts w:ascii="Arial" w:eastAsia="Arial"/>
                <w:sz w:val="22"/>
              </w:rPr>
              <w:t>2123 </w:t>
            </w:r>
            <w:r>
              <w:rPr>
                <w:spacing w:val="-28"/>
                <w:sz w:val="22"/>
              </w:rPr>
              <w:t>号 </w:t>
            </w:r>
            <w:r>
              <w:rPr>
                <w:rFonts w:ascii="Arial" w:eastAsia="Arial"/>
                <w:sz w:val="22"/>
              </w:rPr>
              <w:t>3 </w:t>
            </w:r>
            <w:r>
              <w:rPr>
                <w:spacing w:val="-28"/>
                <w:sz w:val="22"/>
              </w:rPr>
              <w:t>层 </w:t>
            </w:r>
            <w:r>
              <w:rPr>
                <w:rFonts w:ascii="Arial" w:eastAsia="Arial"/>
                <w:sz w:val="22"/>
              </w:rPr>
              <w:t>3E-2655 </w:t>
            </w:r>
            <w:r>
              <w:rPr>
                <w:sz w:val="22"/>
              </w:rPr>
              <w:t>室</w:t>
            </w:r>
          </w:p>
          <w:p>
            <w:pPr>
              <w:pStyle w:val="TableParagraph"/>
              <w:spacing w:line="280" w:lineRule="exact"/>
              <w:ind w:left="104" w:right="95"/>
              <w:jc w:val="center"/>
              <w:rPr>
                <w:rFonts w:ascii="Arial" w:eastAsia="Arial"/>
                <w:sz w:val="22"/>
              </w:rPr>
            </w:pPr>
            <w:r>
              <w:rPr>
                <w:spacing w:val="-16"/>
                <w:sz w:val="22"/>
              </w:rPr>
              <w:t>办公地址：上海徐汇区桂平路 </w:t>
            </w:r>
            <w:r>
              <w:rPr>
                <w:rFonts w:ascii="Arial" w:eastAsia="Arial"/>
                <w:sz w:val="22"/>
              </w:rPr>
              <w:t>391 </w:t>
            </w:r>
            <w:r>
              <w:rPr>
                <w:spacing w:val="48"/>
                <w:sz w:val="22"/>
              </w:rPr>
              <w:t>号</w:t>
            </w:r>
            <w:r>
              <w:rPr>
                <w:rFonts w:ascii="Arial" w:eastAsia="Arial"/>
                <w:sz w:val="22"/>
              </w:rPr>
              <w:t>B</w:t>
            </w:r>
          </w:p>
          <w:p>
            <w:pPr>
              <w:pStyle w:val="TableParagraph"/>
              <w:spacing w:before="30"/>
              <w:ind w:left="105" w:right="95"/>
              <w:jc w:val="center"/>
              <w:rPr>
                <w:sz w:val="22"/>
              </w:rPr>
            </w:pPr>
            <w:r>
              <w:rPr>
                <w:sz w:val="22"/>
              </w:rPr>
              <w:t>座 </w:t>
            </w:r>
            <w:r>
              <w:rPr>
                <w:rFonts w:ascii="Arial" w:eastAsia="Arial"/>
                <w:sz w:val="22"/>
              </w:rPr>
              <w:t>19 </w:t>
            </w:r>
            <w:r>
              <w:rPr>
                <w:sz w:val="22"/>
              </w:rPr>
              <w:t>层</w:t>
            </w:r>
          </w:p>
          <w:p>
            <w:pPr>
              <w:pStyle w:val="TableParagraph"/>
              <w:spacing w:line="266" w:lineRule="auto" w:before="31"/>
              <w:ind w:left="988" w:right="978"/>
              <w:jc w:val="center"/>
              <w:rPr>
                <w:sz w:val="22"/>
              </w:rPr>
            </w:pPr>
            <w:r>
              <w:rPr>
                <w:sz w:val="22"/>
              </w:rPr>
              <w:t>法定代表人： 林琼联系人： 徐海峥</w:t>
            </w:r>
          </w:p>
          <w:p>
            <w:pPr>
              <w:pStyle w:val="TableParagraph"/>
              <w:spacing w:line="266" w:lineRule="auto"/>
              <w:ind w:left="661" w:right="653" w:firstLine="220"/>
              <w:rPr>
                <w:rFonts w:ascii="Arial" w:eastAsia="Arial"/>
                <w:sz w:val="22"/>
              </w:rPr>
            </w:pPr>
            <w:r>
              <w:rPr>
                <w:sz w:val="22"/>
              </w:rPr>
              <w:t>电话：</w:t>
            </w:r>
            <w:r>
              <w:rPr>
                <w:rFonts w:ascii="Arial" w:eastAsia="Arial"/>
                <w:sz w:val="22"/>
              </w:rPr>
              <w:t>021-60907379 </w:t>
            </w:r>
            <w:r>
              <w:rPr>
                <w:spacing w:val="-1"/>
                <w:sz w:val="22"/>
              </w:rPr>
              <w:t>传真：</w:t>
            </w:r>
            <w:r>
              <w:rPr>
                <w:rFonts w:ascii="Arial" w:eastAsia="Arial"/>
                <w:spacing w:val="-1"/>
                <w:sz w:val="22"/>
              </w:rPr>
              <w:t>021-61265953-803</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021-61265457</w:t>
            </w:r>
          </w:p>
          <w:p>
            <w:pPr>
              <w:pStyle w:val="TableParagraph"/>
              <w:spacing w:line="277" w:lineRule="exact" w:before="28"/>
              <w:ind w:left="101" w:right="95"/>
              <w:jc w:val="center"/>
              <w:rPr>
                <w:rFonts w:ascii="Arial" w:eastAsia="Arial"/>
                <w:sz w:val="22"/>
              </w:rPr>
            </w:pPr>
            <w:r>
              <w:rPr>
                <w:sz w:val="22"/>
              </w:rPr>
              <w:t>网址：</w:t>
            </w:r>
            <w:hyperlink r:id="rId158">
              <w:r>
                <w:rPr>
                  <w:rFonts w:ascii="Arial" w:eastAsia="Arial"/>
                  <w:sz w:val="22"/>
                </w:rPr>
                <w:t>www.youyufund.com</w:t>
              </w:r>
            </w:hyperlink>
          </w:p>
        </w:tc>
      </w:tr>
      <w:tr>
        <w:trPr>
          <w:trHeight w:val="2808"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27"/>
              <w:jc w:val="right"/>
              <w:rPr>
                <w:rFonts w:ascii="Arial"/>
                <w:sz w:val="21"/>
              </w:rPr>
            </w:pPr>
            <w:r>
              <w:rPr>
                <w:rFonts w:ascii="Arial"/>
                <w:sz w:val="21"/>
              </w:rPr>
              <w:t>157</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77" w:right="77"/>
              <w:jc w:val="center"/>
              <w:rPr>
                <w:sz w:val="22"/>
              </w:rPr>
            </w:pPr>
            <w:r>
              <w:rPr>
                <w:sz w:val="22"/>
              </w:rPr>
              <w:t>深圳盈信基金销售有限公司</w:t>
            </w:r>
          </w:p>
        </w:tc>
        <w:tc>
          <w:tcPr>
            <w:tcW w:w="3848" w:type="dxa"/>
          </w:tcPr>
          <w:p>
            <w:pPr>
              <w:pStyle w:val="TableParagraph"/>
              <w:spacing w:line="266" w:lineRule="auto" w:before="15"/>
              <w:ind w:left="107" w:right="-15" w:hanging="112"/>
              <w:jc w:val="center"/>
              <w:rPr>
                <w:rFonts w:ascii="Arial" w:eastAsia="Arial"/>
                <w:sz w:val="22"/>
              </w:rPr>
            </w:pPr>
            <w:r>
              <w:rPr>
                <w:spacing w:val="-12"/>
                <w:sz w:val="22"/>
              </w:rPr>
              <w:t>注册地址：深圳市福田区莲花街道商报</w:t>
            </w:r>
            <w:r>
              <w:rPr>
                <w:w w:val="100"/>
                <w:sz w:val="22"/>
              </w:rPr>
              <w:t>东</w:t>
            </w:r>
            <w:r>
              <w:rPr>
                <w:spacing w:val="-2"/>
                <w:w w:val="100"/>
                <w:sz w:val="22"/>
              </w:rPr>
              <w:t>路英龙商务大厦</w:t>
            </w:r>
            <w:r>
              <w:rPr>
                <w:spacing w:val="-58"/>
                <w:sz w:val="22"/>
              </w:rPr>
              <w:t> </w:t>
            </w:r>
            <w:r>
              <w:rPr>
                <w:rFonts w:ascii="Arial" w:eastAsia="Arial"/>
                <w:w w:val="100"/>
                <w:sz w:val="22"/>
              </w:rPr>
              <w:t>8</w:t>
            </w:r>
            <w:r>
              <w:rPr>
                <w:rFonts w:ascii="Arial" w:eastAsia="Arial"/>
                <w:sz w:val="22"/>
              </w:rPr>
              <w:t> </w:t>
            </w:r>
            <w:r>
              <w:rPr>
                <w:spacing w:val="52"/>
                <w:w w:val="100"/>
                <w:sz w:val="22"/>
              </w:rPr>
              <w:t>楼</w:t>
            </w:r>
            <w:r>
              <w:rPr>
                <w:rFonts w:ascii="Arial" w:eastAsia="Arial"/>
                <w:spacing w:val="-3"/>
                <w:w w:val="100"/>
                <w:sz w:val="22"/>
              </w:rPr>
              <w:t>A</w:t>
            </w:r>
            <w:r>
              <w:rPr>
                <w:rFonts w:ascii="Arial" w:eastAsia="Arial"/>
                <w:w w:val="100"/>
                <w:sz w:val="22"/>
              </w:rPr>
              <w:t>-</w:t>
            </w:r>
            <w:r>
              <w:rPr>
                <w:rFonts w:ascii="Arial" w:eastAsia="Arial"/>
                <w:spacing w:val="-111"/>
                <w:w w:val="100"/>
                <w:sz w:val="22"/>
              </w:rPr>
              <w:t>1</w:t>
            </w:r>
            <w:r>
              <w:rPr>
                <w:w w:val="100"/>
                <w:sz w:val="22"/>
              </w:rPr>
              <w:t>（</w:t>
            </w:r>
            <w:r>
              <w:rPr>
                <w:rFonts w:ascii="Arial" w:eastAsia="Arial"/>
                <w:spacing w:val="-1"/>
                <w:w w:val="100"/>
                <w:sz w:val="22"/>
              </w:rPr>
              <w:t>811</w:t>
            </w:r>
            <w:r>
              <w:rPr>
                <w:rFonts w:ascii="Arial" w:eastAsia="Arial"/>
                <w:w w:val="100"/>
                <w:sz w:val="22"/>
              </w:rPr>
              <w:t>-</w:t>
            </w:r>
            <w:r>
              <w:rPr>
                <w:rFonts w:ascii="Arial" w:eastAsia="Arial"/>
                <w:spacing w:val="-1"/>
                <w:w w:val="100"/>
                <w:sz w:val="22"/>
              </w:rPr>
              <w:t>812</w:t>
            </w:r>
            <w:r>
              <w:rPr>
                <w:w w:val="100"/>
                <w:sz w:val="22"/>
              </w:rPr>
              <w:t>）</w:t>
            </w:r>
            <w:r>
              <w:rPr>
                <w:sz w:val="22"/>
              </w:rPr>
              <w:t>办</w:t>
            </w:r>
            <w:r>
              <w:rPr>
                <w:spacing w:val="-7"/>
                <w:sz w:val="22"/>
              </w:rPr>
              <w:t>公地址：大连市中山区南山路 </w:t>
            </w:r>
            <w:r>
              <w:rPr>
                <w:rFonts w:ascii="Arial" w:eastAsia="Arial"/>
                <w:sz w:val="22"/>
              </w:rPr>
              <w:t>155   </w:t>
            </w:r>
            <w:r>
              <w:rPr>
                <w:sz w:val="22"/>
              </w:rPr>
              <w:t>号</w:t>
            </w:r>
            <w:r>
              <w:rPr>
                <w:spacing w:val="-19"/>
                <w:sz w:val="22"/>
              </w:rPr>
              <w:t>南山 </w:t>
            </w:r>
            <w:r>
              <w:rPr>
                <w:rFonts w:ascii="Arial" w:eastAsia="Arial"/>
                <w:sz w:val="22"/>
              </w:rPr>
              <w:t>1910 </w:t>
            </w:r>
            <w:r>
              <w:rPr>
                <w:spacing w:val="-19"/>
                <w:sz w:val="22"/>
              </w:rPr>
              <w:t>小区 </w:t>
            </w:r>
            <w:r>
              <w:rPr>
                <w:rFonts w:ascii="Arial" w:eastAsia="Arial"/>
                <w:sz w:val="22"/>
              </w:rPr>
              <w:t>A3-1</w:t>
            </w:r>
          </w:p>
          <w:p>
            <w:pPr>
              <w:pStyle w:val="TableParagraph"/>
              <w:spacing w:line="266" w:lineRule="auto"/>
              <w:ind w:left="932" w:right="920"/>
              <w:jc w:val="center"/>
              <w:rPr>
                <w:sz w:val="22"/>
              </w:rPr>
            </w:pPr>
            <w:r>
              <w:rPr>
                <w:sz w:val="22"/>
              </w:rPr>
              <w:t>法定代表人：苗宏升联系人：王清臣</w:t>
            </w:r>
          </w:p>
          <w:p>
            <w:pPr>
              <w:pStyle w:val="TableParagraph"/>
              <w:spacing w:line="266" w:lineRule="auto"/>
              <w:ind w:left="822" w:right="810"/>
              <w:jc w:val="center"/>
              <w:rPr>
                <w:rFonts w:ascii="Arial" w:eastAsia="Arial"/>
                <w:sz w:val="22"/>
              </w:rPr>
            </w:pPr>
            <w:r>
              <w:rPr>
                <w:sz w:val="22"/>
              </w:rPr>
              <w:t>电话：</w:t>
            </w:r>
            <w:r>
              <w:rPr>
                <w:rFonts w:ascii="Arial" w:eastAsia="Arial"/>
                <w:sz w:val="22"/>
              </w:rPr>
              <w:t>0411-66889805 </w:t>
            </w:r>
            <w:r>
              <w:rPr>
                <w:sz w:val="22"/>
              </w:rPr>
              <w:t>传真：</w:t>
            </w:r>
            <w:r>
              <w:rPr>
                <w:rFonts w:ascii="Arial" w:eastAsia="Arial"/>
                <w:sz w:val="22"/>
              </w:rPr>
              <w:t>0411-66889827</w:t>
            </w:r>
          </w:p>
          <w:p>
            <w:pPr>
              <w:pStyle w:val="TableParagraph"/>
              <w:spacing w:line="275" w:lineRule="exact"/>
              <w:ind w:left="103" w:right="95"/>
              <w:jc w:val="center"/>
              <w:rPr>
                <w:rFonts w:ascii="Arial" w:eastAsia="Arial"/>
                <w:sz w:val="22"/>
              </w:rPr>
            </w:pPr>
            <w:r>
              <w:rPr>
                <w:sz w:val="22"/>
              </w:rPr>
              <w:t>客户服务电话：</w:t>
            </w:r>
            <w:r>
              <w:rPr>
                <w:rFonts w:ascii="Arial" w:eastAsia="Arial"/>
                <w:sz w:val="22"/>
              </w:rPr>
              <w:t>4007-903-688</w:t>
            </w:r>
          </w:p>
        </w:tc>
      </w:tr>
      <w:tr>
        <w:trPr>
          <w:trHeight w:val="2807"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27"/>
              <w:jc w:val="right"/>
              <w:rPr>
                <w:rFonts w:ascii="Arial"/>
                <w:sz w:val="21"/>
              </w:rPr>
            </w:pPr>
            <w:r>
              <w:rPr>
                <w:rFonts w:ascii="Arial"/>
                <w:sz w:val="21"/>
              </w:rPr>
              <w:t>158</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2" w:right="77"/>
              <w:jc w:val="center"/>
              <w:rPr>
                <w:sz w:val="22"/>
              </w:rPr>
            </w:pPr>
            <w:r>
              <w:rPr>
                <w:sz w:val="22"/>
              </w:rPr>
              <w:t>扬州国信嘉利基金销售有限公司</w:t>
            </w:r>
          </w:p>
        </w:tc>
        <w:tc>
          <w:tcPr>
            <w:tcW w:w="3848" w:type="dxa"/>
          </w:tcPr>
          <w:p>
            <w:pPr>
              <w:pStyle w:val="TableParagraph"/>
              <w:spacing w:line="266" w:lineRule="auto" w:before="15"/>
              <w:ind w:left="107" w:right="95"/>
              <w:jc w:val="center"/>
              <w:rPr>
                <w:sz w:val="22"/>
              </w:rPr>
            </w:pPr>
            <w:r>
              <w:rPr>
                <w:spacing w:val="-13"/>
                <w:sz w:val="22"/>
              </w:rPr>
              <w:t>注册地址：江苏省扬州市广陵新城信息</w:t>
            </w:r>
            <w:r>
              <w:rPr>
                <w:spacing w:val="-11"/>
                <w:sz w:val="22"/>
              </w:rPr>
              <w:t>产业基地 </w:t>
            </w:r>
            <w:r>
              <w:rPr>
                <w:rFonts w:ascii="Arial" w:eastAsia="Arial"/>
                <w:sz w:val="22"/>
              </w:rPr>
              <w:t>3 </w:t>
            </w:r>
            <w:r>
              <w:rPr>
                <w:spacing w:val="-28"/>
                <w:sz w:val="22"/>
              </w:rPr>
              <w:t>期 </w:t>
            </w:r>
            <w:r>
              <w:rPr>
                <w:rFonts w:ascii="Arial" w:eastAsia="Arial"/>
                <w:sz w:val="22"/>
              </w:rPr>
              <w:t>20B </w:t>
            </w:r>
            <w:r>
              <w:rPr>
                <w:sz w:val="22"/>
              </w:rPr>
              <w:t>栋</w:t>
            </w:r>
          </w:p>
          <w:p>
            <w:pPr>
              <w:pStyle w:val="TableParagraph"/>
              <w:spacing w:line="266" w:lineRule="auto"/>
              <w:ind w:left="107" w:right="95"/>
              <w:jc w:val="center"/>
              <w:rPr>
                <w:rFonts w:ascii="Arial" w:eastAsia="Arial"/>
                <w:sz w:val="22"/>
              </w:rPr>
            </w:pPr>
            <w:r>
              <w:rPr>
                <w:spacing w:val="-13"/>
                <w:sz w:val="22"/>
              </w:rPr>
              <w:t>办公地址：江苏省扬州市邗江区文昌西</w:t>
            </w:r>
            <w:r>
              <w:rPr>
                <w:spacing w:val="-28"/>
                <w:sz w:val="22"/>
              </w:rPr>
              <w:t>路 </w:t>
            </w:r>
            <w:r>
              <w:rPr>
                <w:rFonts w:ascii="Arial" w:eastAsia="Arial"/>
                <w:sz w:val="22"/>
              </w:rPr>
              <w:t>56 </w:t>
            </w:r>
            <w:r>
              <w:rPr>
                <w:spacing w:val="-9"/>
                <w:sz w:val="22"/>
              </w:rPr>
              <w:t>号公元国际大厦 </w:t>
            </w:r>
            <w:r>
              <w:rPr>
                <w:rFonts w:ascii="Arial" w:eastAsia="Arial"/>
                <w:sz w:val="22"/>
              </w:rPr>
              <w:t>320</w:t>
            </w:r>
          </w:p>
          <w:p>
            <w:pPr>
              <w:pStyle w:val="TableParagraph"/>
              <w:spacing w:line="266" w:lineRule="auto"/>
              <w:ind w:left="932" w:right="920"/>
              <w:jc w:val="center"/>
              <w:rPr>
                <w:sz w:val="22"/>
              </w:rPr>
            </w:pPr>
            <w:r>
              <w:rPr>
                <w:sz w:val="22"/>
              </w:rPr>
              <w:t>法定代表人：刘晓光联系人：苏曦</w:t>
            </w:r>
          </w:p>
          <w:p>
            <w:pPr>
              <w:pStyle w:val="TableParagraph"/>
              <w:spacing w:line="280" w:lineRule="exact"/>
              <w:ind w:left="104" w:right="95"/>
              <w:jc w:val="center"/>
              <w:rPr>
                <w:rFonts w:ascii="Arial" w:eastAsia="Arial"/>
                <w:sz w:val="22"/>
              </w:rPr>
            </w:pPr>
            <w:r>
              <w:rPr>
                <w:sz w:val="22"/>
              </w:rPr>
              <w:t>电话：</w:t>
            </w:r>
            <w:r>
              <w:rPr>
                <w:rFonts w:ascii="Arial" w:eastAsia="Arial"/>
                <w:sz w:val="22"/>
              </w:rPr>
              <w:t>0514-82099618-805</w:t>
            </w:r>
          </w:p>
          <w:p>
            <w:pPr>
              <w:pStyle w:val="TableParagraph"/>
              <w:spacing w:line="310" w:lineRule="atLeast"/>
              <w:ind w:left="443" w:right="433"/>
              <w:jc w:val="center"/>
              <w:rPr>
                <w:rFonts w:ascii="Arial" w:eastAsia="Arial"/>
                <w:sz w:val="22"/>
              </w:rPr>
            </w:pPr>
            <w:r>
              <w:rPr>
                <w:sz w:val="22"/>
              </w:rPr>
              <w:t>客户服务电话：</w:t>
            </w:r>
            <w:r>
              <w:rPr>
                <w:rFonts w:ascii="Arial" w:eastAsia="Arial"/>
                <w:sz w:val="22"/>
              </w:rPr>
              <w:t>400-021-6088 </w:t>
            </w:r>
            <w:r>
              <w:rPr>
                <w:sz w:val="22"/>
              </w:rPr>
              <w:t>网址：</w:t>
            </w:r>
            <w:r>
              <w:rPr>
                <w:rFonts w:ascii="Arial" w:eastAsia="Arial"/>
                <w:sz w:val="22"/>
              </w:rPr>
              <w:t>https://</w:t>
            </w:r>
            <w:hyperlink r:id="rId159">
              <w:r>
                <w:rPr>
                  <w:rFonts w:ascii="Arial" w:eastAsia="Arial"/>
                  <w:sz w:val="22"/>
                </w:rPr>
                <w:t>www.gxjlcn.com/</w:t>
              </w:r>
            </w:hyperlink>
          </w:p>
        </w:tc>
      </w:tr>
      <w:tr>
        <w:trPr>
          <w:trHeight w:val="3434"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27"/>
              <w:jc w:val="right"/>
              <w:rPr>
                <w:rFonts w:ascii="Arial"/>
                <w:sz w:val="21"/>
              </w:rPr>
            </w:pPr>
            <w:r>
              <w:rPr>
                <w:rFonts w:ascii="Arial"/>
                <w:sz w:val="21"/>
              </w:rPr>
              <w:t>159</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2" w:right="77"/>
              <w:jc w:val="center"/>
              <w:rPr>
                <w:sz w:val="22"/>
              </w:rPr>
            </w:pPr>
            <w:r>
              <w:rPr>
                <w:sz w:val="22"/>
              </w:rPr>
              <w:t>中欧钱滚滚基金销售（上海）有限公司</w:t>
            </w:r>
          </w:p>
        </w:tc>
        <w:tc>
          <w:tcPr>
            <w:tcW w:w="3848" w:type="dxa"/>
          </w:tcPr>
          <w:p>
            <w:pPr>
              <w:pStyle w:val="TableParagraph"/>
              <w:spacing w:line="266" w:lineRule="auto" w:before="15"/>
              <w:ind w:left="107" w:right="95"/>
              <w:jc w:val="center"/>
              <w:rPr>
                <w:sz w:val="22"/>
              </w:rPr>
            </w:pPr>
            <w:r>
              <w:rPr>
                <w:spacing w:val="-12"/>
                <w:sz w:val="22"/>
              </w:rPr>
              <w:t>注册地址：中国</w:t>
            </w:r>
            <w:r>
              <w:rPr>
                <w:sz w:val="22"/>
              </w:rPr>
              <w:t>（</w:t>
            </w:r>
            <w:r>
              <w:rPr>
                <w:spacing w:val="-2"/>
                <w:sz w:val="22"/>
              </w:rPr>
              <w:t>上海</w:t>
            </w:r>
            <w:r>
              <w:rPr>
                <w:spacing w:val="-39"/>
                <w:sz w:val="22"/>
              </w:rPr>
              <w:t>）</w:t>
            </w:r>
            <w:r>
              <w:rPr>
                <w:spacing w:val="-4"/>
                <w:sz w:val="22"/>
              </w:rPr>
              <w:t>自由贸易试验</w:t>
            </w:r>
            <w:r>
              <w:rPr>
                <w:spacing w:val="-9"/>
                <w:sz w:val="22"/>
              </w:rPr>
              <w:t>区陆家嘴环路 </w:t>
            </w:r>
            <w:r>
              <w:rPr>
                <w:rFonts w:ascii="Arial" w:eastAsia="Arial"/>
                <w:sz w:val="22"/>
              </w:rPr>
              <w:t>333 </w:t>
            </w:r>
            <w:r>
              <w:rPr>
                <w:spacing w:val="-28"/>
                <w:sz w:val="22"/>
              </w:rPr>
              <w:t>号 </w:t>
            </w:r>
            <w:r>
              <w:rPr>
                <w:rFonts w:ascii="Arial" w:eastAsia="Arial"/>
                <w:sz w:val="22"/>
              </w:rPr>
              <w:t>729S </w:t>
            </w:r>
            <w:r>
              <w:rPr>
                <w:sz w:val="22"/>
              </w:rPr>
              <w:t>室</w:t>
            </w:r>
          </w:p>
          <w:p>
            <w:pPr>
              <w:pStyle w:val="TableParagraph"/>
              <w:spacing w:line="280" w:lineRule="exact"/>
              <w:ind w:left="13"/>
              <w:jc w:val="center"/>
              <w:rPr>
                <w:sz w:val="22"/>
              </w:rPr>
            </w:pPr>
            <w:r>
              <w:rPr>
                <w:sz w:val="22"/>
              </w:rPr>
              <w:t>办公地址：上海市虹口区公平路 </w:t>
            </w:r>
            <w:r>
              <w:rPr>
                <w:rFonts w:ascii="Arial" w:eastAsia="Arial"/>
                <w:sz w:val="22"/>
              </w:rPr>
              <w:t>18 </w:t>
            </w:r>
            <w:r>
              <w:rPr>
                <w:sz w:val="22"/>
              </w:rPr>
              <w:t>号</w:t>
            </w:r>
          </w:p>
          <w:p>
            <w:pPr>
              <w:pStyle w:val="TableParagraph"/>
              <w:spacing w:line="266" w:lineRule="auto" w:before="30"/>
              <w:ind w:left="988" w:right="978" w:firstLine="3"/>
              <w:jc w:val="center"/>
              <w:rPr>
                <w:sz w:val="22"/>
              </w:rPr>
            </w:pPr>
            <w:r>
              <w:rPr>
                <w:rFonts w:ascii="Arial" w:eastAsia="Arial"/>
                <w:sz w:val="22"/>
              </w:rPr>
              <w:t>8 </w:t>
            </w:r>
            <w:r>
              <w:rPr>
                <w:sz w:val="22"/>
              </w:rPr>
              <w:t>栋嘉昱大厦 </w:t>
            </w:r>
            <w:r>
              <w:rPr>
                <w:rFonts w:ascii="Arial" w:eastAsia="Arial"/>
                <w:sz w:val="22"/>
              </w:rPr>
              <w:t>6 </w:t>
            </w:r>
            <w:r>
              <w:rPr>
                <w:sz w:val="22"/>
              </w:rPr>
              <w:t>层法定代表人： 许欣联系人：屠帅颖</w:t>
            </w:r>
          </w:p>
          <w:p>
            <w:pPr>
              <w:pStyle w:val="TableParagraph"/>
              <w:spacing w:line="266" w:lineRule="auto"/>
              <w:ind w:left="601" w:right="590"/>
              <w:jc w:val="center"/>
              <w:rPr>
                <w:rFonts w:ascii="Arial" w:eastAsia="Arial"/>
                <w:sz w:val="22"/>
              </w:rPr>
            </w:pPr>
            <w:r>
              <w:rPr>
                <w:sz w:val="22"/>
              </w:rPr>
              <w:t>电话：</w:t>
            </w:r>
            <w:r>
              <w:rPr>
                <w:rFonts w:ascii="Arial" w:eastAsia="Arial"/>
                <w:sz w:val="22"/>
              </w:rPr>
              <w:t>021-68609600-5905 </w:t>
            </w:r>
            <w:r>
              <w:rPr>
                <w:sz w:val="22"/>
              </w:rPr>
              <w:t>传真：</w:t>
            </w:r>
            <w:r>
              <w:rPr>
                <w:rFonts w:ascii="Arial" w:eastAsia="Arial"/>
                <w:sz w:val="22"/>
              </w:rPr>
              <w:t>021-33830351</w:t>
            </w:r>
          </w:p>
          <w:p>
            <w:pPr>
              <w:pStyle w:val="TableParagraph"/>
              <w:spacing w:line="266" w:lineRule="auto"/>
              <w:ind w:left="136" w:right="125"/>
              <w:jc w:val="center"/>
              <w:rPr>
                <w:sz w:val="22"/>
              </w:rPr>
            </w:pPr>
            <w:r>
              <w:rPr>
                <w:sz w:val="22"/>
              </w:rPr>
              <w:t>客户服务电话：</w:t>
            </w:r>
            <w:r>
              <w:rPr>
                <w:rFonts w:ascii="Arial" w:eastAsia="Arial"/>
                <w:sz w:val="22"/>
              </w:rPr>
              <w:t>400-700-9700</w:t>
            </w:r>
            <w:r>
              <w:rPr>
                <w:sz w:val="22"/>
              </w:rPr>
              <w:t>（钱滚滚专线）</w:t>
            </w:r>
          </w:p>
          <w:p>
            <w:pPr>
              <w:pStyle w:val="TableParagraph"/>
              <w:spacing w:line="277" w:lineRule="exact"/>
              <w:ind w:left="100" w:right="95"/>
              <w:jc w:val="center"/>
              <w:rPr>
                <w:rFonts w:ascii="Arial" w:eastAsia="Arial"/>
                <w:sz w:val="22"/>
              </w:rPr>
            </w:pPr>
            <w:r>
              <w:rPr>
                <w:sz w:val="22"/>
              </w:rPr>
              <w:t>网址：</w:t>
            </w:r>
            <w:r>
              <w:rPr>
                <w:rFonts w:ascii="Arial" w:eastAsia="Arial"/>
                <w:sz w:val="22"/>
              </w:rPr>
              <w:t>https://</w:t>
            </w:r>
            <w:hyperlink r:id="rId160">
              <w:r>
                <w:rPr>
                  <w:rFonts w:ascii="Arial" w:eastAsia="Arial"/>
                  <w:sz w:val="22"/>
                </w:rPr>
                <w:t>www.qiangungun.com/</w:t>
              </w:r>
            </w:hyperlink>
          </w:p>
        </w:tc>
      </w:tr>
    </w:tbl>
    <w:p>
      <w:pPr>
        <w:spacing w:after="0" w:line="277"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160</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民商基金销售（上海）有限公司</w:t>
            </w:r>
          </w:p>
        </w:tc>
        <w:tc>
          <w:tcPr>
            <w:tcW w:w="3848" w:type="dxa"/>
            <w:tcBorders>
              <w:top w:val="nil"/>
            </w:tcBorders>
          </w:tcPr>
          <w:p>
            <w:pPr>
              <w:pStyle w:val="TableParagraph"/>
              <w:spacing w:before="15"/>
              <w:ind w:left="8"/>
              <w:jc w:val="center"/>
              <w:rPr>
                <w:rFonts w:ascii="Arial" w:eastAsia="Arial"/>
                <w:sz w:val="22"/>
              </w:rPr>
            </w:pPr>
            <w:r>
              <w:rPr>
                <w:sz w:val="22"/>
              </w:rPr>
              <w:t>注册地址： 上海黄浦区北京东路 </w:t>
            </w:r>
            <w:r>
              <w:rPr>
                <w:rFonts w:ascii="Arial" w:eastAsia="Arial"/>
                <w:sz w:val="22"/>
              </w:rPr>
              <w:t>666</w:t>
            </w:r>
          </w:p>
          <w:p>
            <w:pPr>
              <w:pStyle w:val="TableParagraph"/>
              <w:spacing w:before="30"/>
              <w:ind w:left="103" w:right="95"/>
              <w:jc w:val="center"/>
              <w:rPr>
                <w:sz w:val="22"/>
              </w:rPr>
            </w:pPr>
            <w:r>
              <w:rPr>
                <w:sz w:val="22"/>
              </w:rPr>
              <w:t>号 </w:t>
            </w:r>
            <w:r>
              <w:rPr>
                <w:rFonts w:ascii="Arial" w:eastAsia="Arial"/>
                <w:sz w:val="22"/>
              </w:rPr>
              <w:t>H </w:t>
            </w:r>
            <w:r>
              <w:rPr>
                <w:sz w:val="22"/>
              </w:rPr>
              <w:t>区（东座）</w:t>
            </w:r>
            <w:r>
              <w:rPr>
                <w:rFonts w:ascii="Arial" w:eastAsia="Arial"/>
                <w:sz w:val="22"/>
              </w:rPr>
              <w:t>6 </w:t>
            </w:r>
            <w:r>
              <w:rPr>
                <w:sz w:val="22"/>
              </w:rPr>
              <w:t>楼 </w:t>
            </w:r>
            <w:r>
              <w:rPr>
                <w:rFonts w:ascii="Arial" w:eastAsia="Arial"/>
                <w:sz w:val="22"/>
              </w:rPr>
              <w:t>A31 </w:t>
            </w:r>
            <w:r>
              <w:rPr>
                <w:sz w:val="22"/>
              </w:rPr>
              <w:t>室</w:t>
            </w:r>
          </w:p>
          <w:p>
            <w:pPr>
              <w:pStyle w:val="TableParagraph"/>
              <w:spacing w:before="31"/>
              <w:ind w:left="105" w:right="95"/>
              <w:jc w:val="center"/>
              <w:rPr>
                <w:sz w:val="22"/>
              </w:rPr>
            </w:pPr>
            <w:r>
              <w:rPr>
                <w:sz w:val="22"/>
              </w:rPr>
              <w:t>办公地址： 上海市浦东新区张杨路</w:t>
            </w:r>
          </w:p>
          <w:p>
            <w:pPr>
              <w:pStyle w:val="TableParagraph"/>
              <w:spacing w:line="266" w:lineRule="auto" w:before="30"/>
              <w:ind w:left="617" w:right="607"/>
              <w:jc w:val="center"/>
              <w:rPr>
                <w:sz w:val="22"/>
              </w:rPr>
            </w:pPr>
            <w:r>
              <w:rPr>
                <w:rFonts w:ascii="Arial" w:eastAsia="Arial"/>
                <w:sz w:val="22"/>
              </w:rPr>
              <w:t>707 </w:t>
            </w:r>
            <w:r>
              <w:rPr>
                <w:sz w:val="22"/>
              </w:rPr>
              <w:t>号生命人寿大厦 </w:t>
            </w:r>
            <w:r>
              <w:rPr>
                <w:rFonts w:ascii="Arial" w:eastAsia="Arial"/>
                <w:sz w:val="22"/>
              </w:rPr>
              <w:t>32 </w:t>
            </w:r>
            <w:r>
              <w:rPr>
                <w:sz w:val="22"/>
              </w:rPr>
              <w:t>楼法定代表人： 贲惠琴</w:t>
            </w:r>
          </w:p>
          <w:p>
            <w:pPr>
              <w:pStyle w:val="TableParagraph"/>
              <w:spacing w:line="280" w:lineRule="exact"/>
              <w:ind w:left="102" w:right="95"/>
              <w:jc w:val="center"/>
              <w:rPr>
                <w:sz w:val="22"/>
              </w:rPr>
            </w:pPr>
            <w:r>
              <w:rPr>
                <w:sz w:val="22"/>
              </w:rPr>
              <w:t>联系人： 钟伟</w:t>
            </w:r>
          </w:p>
          <w:p>
            <w:pPr>
              <w:pStyle w:val="TableParagraph"/>
              <w:spacing w:line="266" w:lineRule="auto" w:before="30"/>
              <w:ind w:left="846" w:right="833"/>
              <w:jc w:val="center"/>
              <w:rPr>
                <w:rFonts w:ascii="Arial" w:eastAsia="Arial"/>
                <w:sz w:val="22"/>
              </w:rPr>
            </w:pPr>
            <w:r>
              <w:rPr>
                <w:sz w:val="22"/>
              </w:rPr>
              <w:t>电话：</w:t>
            </w:r>
            <w:r>
              <w:rPr>
                <w:rFonts w:ascii="Arial" w:eastAsia="Arial"/>
                <w:sz w:val="22"/>
              </w:rPr>
              <w:t>138-2642-0174 </w:t>
            </w:r>
            <w:r>
              <w:rPr>
                <w:sz w:val="22"/>
              </w:rPr>
              <w:t>传真：</w:t>
            </w:r>
            <w:r>
              <w:rPr>
                <w:rFonts w:ascii="Arial" w:eastAsia="Arial"/>
                <w:sz w:val="22"/>
              </w:rPr>
              <w:t>021-50206001</w:t>
            </w:r>
          </w:p>
          <w:p>
            <w:pPr>
              <w:pStyle w:val="TableParagraph"/>
              <w:spacing w:line="280" w:lineRule="exact"/>
              <w:ind w:left="103" w:right="95"/>
              <w:jc w:val="center"/>
              <w:rPr>
                <w:rFonts w:ascii="Arial" w:eastAsia="Arial"/>
                <w:sz w:val="22"/>
              </w:rPr>
            </w:pPr>
            <w:r>
              <w:rPr>
                <w:spacing w:val="-2"/>
                <w:sz w:val="22"/>
              </w:rPr>
              <w:t>客户服务电话：</w:t>
            </w:r>
            <w:r>
              <w:rPr>
                <w:rFonts w:ascii="Arial" w:eastAsia="Arial"/>
                <w:spacing w:val="-1"/>
                <w:sz w:val="22"/>
              </w:rPr>
              <w:t>021-50206003</w:t>
            </w:r>
          </w:p>
          <w:p>
            <w:pPr>
              <w:pStyle w:val="TableParagraph"/>
              <w:spacing w:line="277" w:lineRule="exact" w:before="30"/>
              <w:ind w:left="100" w:right="95"/>
              <w:jc w:val="center"/>
              <w:rPr>
                <w:rFonts w:ascii="Arial" w:eastAsia="Arial"/>
                <w:sz w:val="22"/>
              </w:rPr>
            </w:pPr>
            <w:r>
              <w:rPr>
                <w:spacing w:val="-1"/>
                <w:sz w:val="22"/>
              </w:rPr>
              <w:t>网址：</w:t>
            </w:r>
            <w:hyperlink r:id="rId161">
              <w:r>
                <w:rPr>
                  <w:rFonts w:ascii="Arial" w:eastAsia="Arial"/>
                  <w:spacing w:val="-1"/>
                  <w:sz w:val="22"/>
                </w:rPr>
                <w:t>http://www.msftec.com/</w:t>
              </w:r>
            </w:hyperlink>
          </w:p>
        </w:tc>
      </w:tr>
      <w:tr>
        <w:trPr>
          <w:trHeight w:val="312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161</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北京百度百盈基金销售有限公司</w:t>
            </w:r>
          </w:p>
        </w:tc>
        <w:tc>
          <w:tcPr>
            <w:tcW w:w="3848" w:type="dxa"/>
          </w:tcPr>
          <w:p>
            <w:pPr>
              <w:pStyle w:val="TableParagraph"/>
              <w:spacing w:before="15"/>
              <w:ind w:left="121"/>
              <w:rPr>
                <w:rFonts w:ascii="Arial" w:eastAsia="Arial"/>
                <w:sz w:val="22"/>
              </w:rPr>
            </w:pPr>
            <w:r>
              <w:rPr>
                <w:sz w:val="22"/>
              </w:rPr>
              <w:t>注册地址：北京市海淀区上地十街 </w:t>
            </w:r>
            <w:r>
              <w:rPr>
                <w:rFonts w:ascii="Arial" w:eastAsia="Arial"/>
                <w:sz w:val="22"/>
              </w:rPr>
              <w:t>10</w:t>
            </w:r>
          </w:p>
          <w:p>
            <w:pPr>
              <w:pStyle w:val="TableParagraph"/>
              <w:spacing w:before="30"/>
              <w:ind w:left="1148"/>
              <w:rPr>
                <w:rFonts w:ascii="Arial" w:eastAsia="Arial"/>
                <w:sz w:val="22"/>
              </w:rPr>
            </w:pPr>
            <w:r>
              <w:rPr>
                <w:sz w:val="22"/>
              </w:rPr>
              <w:t>号 </w:t>
            </w:r>
            <w:r>
              <w:rPr>
                <w:rFonts w:ascii="Arial" w:eastAsia="Arial"/>
                <w:sz w:val="22"/>
              </w:rPr>
              <w:t>1 </w:t>
            </w:r>
            <w:r>
              <w:rPr>
                <w:sz w:val="22"/>
              </w:rPr>
              <w:t>幢 </w:t>
            </w:r>
            <w:r>
              <w:rPr>
                <w:rFonts w:ascii="Arial" w:eastAsia="Arial"/>
                <w:sz w:val="22"/>
              </w:rPr>
              <w:t>1 </w:t>
            </w:r>
            <w:r>
              <w:rPr>
                <w:sz w:val="22"/>
              </w:rPr>
              <w:t>层 </w:t>
            </w:r>
            <w:r>
              <w:rPr>
                <w:rFonts w:ascii="Arial" w:eastAsia="Arial"/>
                <w:sz w:val="22"/>
              </w:rPr>
              <w:t>101</w:t>
            </w:r>
          </w:p>
          <w:p>
            <w:pPr>
              <w:pStyle w:val="TableParagraph"/>
              <w:spacing w:line="266" w:lineRule="auto" w:before="31"/>
              <w:ind w:left="815" w:right="95" w:hanging="267"/>
              <w:rPr>
                <w:sz w:val="22"/>
              </w:rPr>
            </w:pPr>
            <w:r>
              <w:rPr>
                <w:spacing w:val="-13"/>
                <w:sz w:val="22"/>
              </w:rPr>
              <w:t>办公地址：北京市海淀区上地信息</w:t>
            </w:r>
            <w:r>
              <w:rPr>
                <w:spacing w:val="-19"/>
                <w:sz w:val="22"/>
              </w:rPr>
              <w:t>路甲 </w:t>
            </w:r>
            <w:r>
              <w:rPr>
                <w:rFonts w:ascii="Arial" w:eastAsia="Arial"/>
                <w:sz w:val="22"/>
              </w:rPr>
              <w:t>9 </w:t>
            </w:r>
            <w:r>
              <w:rPr>
                <w:spacing w:val="-3"/>
                <w:sz w:val="22"/>
              </w:rPr>
              <w:t>号奎科科技大厦</w:t>
            </w:r>
          </w:p>
          <w:p>
            <w:pPr>
              <w:pStyle w:val="TableParagraph"/>
              <w:spacing w:line="266" w:lineRule="auto"/>
              <w:ind w:left="1374" w:right="702" w:hanging="221"/>
              <w:rPr>
                <w:sz w:val="22"/>
              </w:rPr>
            </w:pPr>
            <w:r>
              <w:rPr>
                <w:sz w:val="22"/>
              </w:rPr>
              <w:t>法定代表人：张旭阳联系人：孙博超</w:t>
            </w:r>
          </w:p>
          <w:p>
            <w:pPr>
              <w:pStyle w:val="TableParagraph"/>
              <w:spacing w:line="266" w:lineRule="auto"/>
              <w:ind w:left="1103" w:right="653"/>
              <w:rPr>
                <w:rFonts w:ascii="Arial" w:eastAsia="Arial"/>
                <w:sz w:val="22"/>
              </w:rPr>
            </w:pPr>
            <w:r>
              <w:rPr>
                <w:spacing w:val="-2"/>
                <w:sz w:val="22"/>
              </w:rPr>
              <w:t>电话：</w:t>
            </w:r>
            <w:r>
              <w:rPr>
                <w:rFonts w:ascii="Arial" w:eastAsia="Arial"/>
                <w:spacing w:val="-1"/>
                <w:sz w:val="22"/>
              </w:rPr>
              <w:t>010-61952703 </w:t>
            </w:r>
            <w:r>
              <w:rPr>
                <w:spacing w:val="-3"/>
                <w:sz w:val="22"/>
              </w:rPr>
              <w:t>传真：</w:t>
            </w:r>
            <w:r>
              <w:rPr>
                <w:rFonts w:ascii="Arial" w:eastAsia="Arial"/>
                <w:spacing w:val="-2"/>
                <w:sz w:val="22"/>
              </w:rPr>
              <w:t>010-61951007</w:t>
            </w:r>
          </w:p>
          <w:p>
            <w:pPr>
              <w:pStyle w:val="TableParagraph"/>
              <w:spacing w:line="280" w:lineRule="exact"/>
              <w:ind w:left="1067"/>
              <w:rPr>
                <w:rFonts w:ascii="Arial" w:eastAsia="Arial"/>
                <w:sz w:val="22"/>
              </w:rPr>
            </w:pPr>
            <w:r>
              <w:rPr>
                <w:spacing w:val="-3"/>
                <w:sz w:val="22"/>
              </w:rPr>
              <w:t>客户服务电话：</w:t>
            </w:r>
            <w:r>
              <w:rPr>
                <w:rFonts w:ascii="Arial" w:eastAsia="Arial"/>
                <w:sz w:val="22"/>
              </w:rPr>
              <w:t>95055</w:t>
            </w:r>
          </w:p>
          <w:p>
            <w:pPr>
              <w:pStyle w:val="TableParagraph"/>
              <w:spacing w:line="277" w:lineRule="exact" w:before="26"/>
              <w:ind w:left="743"/>
              <w:rPr>
                <w:rFonts w:ascii="Arial" w:eastAsia="Arial"/>
                <w:sz w:val="22"/>
              </w:rPr>
            </w:pPr>
            <w:r>
              <w:rPr>
                <w:sz w:val="22"/>
              </w:rPr>
              <w:t>网址：</w:t>
            </w:r>
            <w:hyperlink r:id="rId162">
              <w:r>
                <w:rPr>
                  <w:rFonts w:ascii="Arial" w:eastAsia="Arial"/>
                  <w:sz w:val="22"/>
                </w:rPr>
                <w:t>www.baiyingfund.com</w:t>
              </w:r>
            </w:hyperlink>
          </w:p>
        </w:tc>
      </w:tr>
      <w:tr>
        <w:trPr>
          <w:trHeight w:val="3119"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162</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玄元保险代理有限公司</w:t>
            </w:r>
          </w:p>
        </w:tc>
        <w:tc>
          <w:tcPr>
            <w:tcW w:w="3848" w:type="dxa"/>
          </w:tcPr>
          <w:p>
            <w:pPr>
              <w:pStyle w:val="TableParagraph"/>
              <w:spacing w:line="266" w:lineRule="auto" w:before="15"/>
              <w:ind w:left="107" w:right="95"/>
              <w:jc w:val="center"/>
              <w:rPr>
                <w:sz w:val="22"/>
              </w:rPr>
            </w:pPr>
            <w:r>
              <w:rPr>
                <w:spacing w:val="-11"/>
                <w:sz w:val="22"/>
              </w:rPr>
              <w:t>注册</w:t>
            </w:r>
            <w:r>
              <w:rPr>
                <w:sz w:val="22"/>
              </w:rPr>
              <w:t>（</w:t>
            </w:r>
            <w:r>
              <w:rPr>
                <w:spacing w:val="-2"/>
                <w:sz w:val="22"/>
              </w:rPr>
              <w:t>公告</w:t>
            </w:r>
            <w:r>
              <w:rPr>
                <w:spacing w:val="-22"/>
                <w:sz w:val="22"/>
              </w:rPr>
              <w:t>）</w:t>
            </w:r>
            <w:r>
              <w:rPr>
                <w:spacing w:val="-12"/>
                <w:sz w:val="22"/>
              </w:rPr>
              <w:t>地址：中国</w:t>
            </w:r>
            <w:r>
              <w:rPr>
                <w:sz w:val="22"/>
              </w:rPr>
              <w:t>（上海</w:t>
            </w:r>
            <w:r>
              <w:rPr>
                <w:spacing w:val="-25"/>
                <w:sz w:val="22"/>
              </w:rPr>
              <w:t>）</w:t>
            </w:r>
            <w:r>
              <w:rPr>
                <w:spacing w:val="-7"/>
                <w:sz w:val="22"/>
              </w:rPr>
              <w:t>自由</w:t>
            </w:r>
            <w:r>
              <w:rPr>
                <w:spacing w:val="-8"/>
                <w:sz w:val="22"/>
              </w:rPr>
              <w:t>贸易试验区张杨路 </w:t>
            </w:r>
            <w:r>
              <w:rPr>
                <w:rFonts w:ascii="Arial" w:eastAsia="Arial"/>
                <w:sz w:val="22"/>
              </w:rPr>
              <w:t>707 </w:t>
            </w:r>
            <w:r>
              <w:rPr>
                <w:spacing w:val="-27"/>
                <w:sz w:val="22"/>
              </w:rPr>
              <w:t>号 </w:t>
            </w:r>
            <w:r>
              <w:rPr>
                <w:rFonts w:ascii="Arial" w:eastAsia="Arial"/>
                <w:sz w:val="22"/>
              </w:rPr>
              <w:t>1105 </w:t>
            </w:r>
            <w:r>
              <w:rPr>
                <w:sz w:val="22"/>
              </w:rPr>
              <w:t>室</w:t>
            </w:r>
          </w:p>
          <w:p>
            <w:pPr>
              <w:pStyle w:val="TableParagraph"/>
              <w:spacing w:line="266" w:lineRule="auto"/>
              <w:ind w:left="932" w:right="920"/>
              <w:jc w:val="center"/>
              <w:rPr>
                <w:sz w:val="22"/>
              </w:rPr>
            </w:pPr>
            <w:r>
              <w:rPr>
                <w:sz w:val="22"/>
              </w:rPr>
              <w:t>法定代表人：马永谙联系人：卢亚博</w:t>
            </w:r>
          </w:p>
          <w:p>
            <w:pPr>
              <w:pStyle w:val="TableParagraph"/>
              <w:spacing w:line="266" w:lineRule="auto"/>
              <w:ind w:left="882" w:right="872"/>
              <w:jc w:val="center"/>
              <w:rPr>
                <w:rFonts w:ascii="Arial" w:eastAsia="Arial"/>
                <w:sz w:val="22"/>
              </w:rPr>
            </w:pPr>
            <w:r>
              <w:rPr>
                <w:sz w:val="22"/>
              </w:rPr>
              <w:t>电话：</w:t>
            </w:r>
            <w:r>
              <w:rPr>
                <w:rFonts w:ascii="Arial" w:eastAsia="Arial"/>
                <w:sz w:val="22"/>
              </w:rPr>
              <w:t>13752528013 </w:t>
            </w:r>
            <w:r>
              <w:rPr>
                <w:sz w:val="22"/>
              </w:rPr>
              <w:t>传真：</w:t>
            </w:r>
            <w:r>
              <w:rPr>
                <w:rFonts w:ascii="Arial" w:eastAsia="Arial"/>
                <w:sz w:val="22"/>
              </w:rPr>
              <w:t>021-50701053</w:t>
            </w:r>
          </w:p>
          <w:p>
            <w:pPr>
              <w:pStyle w:val="TableParagraph"/>
              <w:spacing w:line="266" w:lineRule="auto"/>
              <w:ind w:left="443" w:right="433"/>
              <w:jc w:val="center"/>
              <w:rPr>
                <w:sz w:val="22"/>
              </w:rPr>
            </w:pPr>
            <w:r>
              <w:rPr>
                <w:sz w:val="22"/>
              </w:rPr>
              <w:t>客户服务电话：</w:t>
            </w:r>
            <w:r>
              <w:rPr>
                <w:rFonts w:ascii="Arial" w:eastAsia="Arial"/>
                <w:sz w:val="22"/>
              </w:rPr>
              <w:t>021-50701053 </w:t>
            </w:r>
            <w:r>
              <w:rPr>
                <w:sz w:val="22"/>
              </w:rPr>
              <w:t>网址：</w:t>
            </w:r>
          </w:p>
          <w:p>
            <w:pPr>
              <w:pStyle w:val="TableParagraph"/>
              <w:spacing w:before="7"/>
              <w:ind w:left="6"/>
              <w:jc w:val="center"/>
              <w:rPr>
                <w:rFonts w:ascii="Arial"/>
                <w:sz w:val="22"/>
              </w:rPr>
            </w:pPr>
            <w:r>
              <w:rPr>
                <w:rFonts w:ascii="Arial"/>
                <w:sz w:val="22"/>
              </w:rPr>
              <w:t>http://www.xyinsure.com:7100/kfit_xy</w:t>
            </w:r>
          </w:p>
          <w:p>
            <w:pPr>
              <w:pStyle w:val="TableParagraph"/>
              <w:spacing w:before="59"/>
              <w:ind w:left="102" w:right="95"/>
              <w:jc w:val="center"/>
              <w:rPr>
                <w:rFonts w:ascii="Arial"/>
                <w:sz w:val="22"/>
              </w:rPr>
            </w:pPr>
            <w:r>
              <w:rPr>
                <w:rFonts w:ascii="Arial"/>
                <w:sz w:val="22"/>
              </w:rPr>
              <w:t>bx</w:t>
            </w:r>
          </w:p>
        </w:tc>
      </w:tr>
      <w:tr>
        <w:trPr>
          <w:trHeight w:val="3122"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163</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7" w:right="77"/>
              <w:jc w:val="center"/>
              <w:rPr>
                <w:sz w:val="22"/>
              </w:rPr>
            </w:pPr>
            <w:r>
              <w:rPr>
                <w:sz w:val="22"/>
              </w:rPr>
              <w:t>上海陆享基金销售有限公司</w:t>
            </w:r>
          </w:p>
        </w:tc>
        <w:tc>
          <w:tcPr>
            <w:tcW w:w="3848" w:type="dxa"/>
          </w:tcPr>
          <w:p>
            <w:pPr>
              <w:pStyle w:val="TableParagraph"/>
              <w:spacing w:line="266" w:lineRule="auto" w:before="15"/>
              <w:ind w:left="82" w:right="70"/>
              <w:jc w:val="center"/>
              <w:rPr>
                <w:sz w:val="22"/>
              </w:rPr>
            </w:pPr>
            <w:r>
              <w:rPr>
                <w:spacing w:val="-13"/>
                <w:sz w:val="22"/>
              </w:rPr>
              <w:t>注册地址：上海市浦东新区南汇新城镇</w:t>
            </w:r>
            <w:r>
              <w:rPr>
                <w:spacing w:val="-10"/>
                <w:sz w:val="22"/>
              </w:rPr>
              <w:t>环湖西二路 </w:t>
            </w:r>
            <w:r>
              <w:rPr>
                <w:rFonts w:ascii="Arial" w:eastAsia="Arial"/>
                <w:sz w:val="22"/>
              </w:rPr>
              <w:t>888 </w:t>
            </w:r>
            <w:r>
              <w:rPr>
                <w:spacing w:val="-29"/>
                <w:sz w:val="22"/>
              </w:rPr>
              <w:t>号 </w:t>
            </w:r>
            <w:r>
              <w:rPr>
                <w:rFonts w:ascii="Arial" w:eastAsia="Arial"/>
                <w:sz w:val="22"/>
              </w:rPr>
              <w:t>1 </w:t>
            </w:r>
            <w:r>
              <w:rPr>
                <w:spacing w:val="-30"/>
                <w:sz w:val="22"/>
              </w:rPr>
              <w:t>幢 </w:t>
            </w:r>
            <w:r>
              <w:rPr>
                <w:rFonts w:ascii="Arial" w:eastAsia="Arial"/>
                <w:sz w:val="22"/>
              </w:rPr>
              <w:t>1 </w:t>
            </w:r>
            <w:r>
              <w:rPr>
                <w:spacing w:val="-29"/>
                <w:sz w:val="22"/>
              </w:rPr>
              <w:t>区 </w:t>
            </w:r>
            <w:r>
              <w:rPr>
                <w:rFonts w:ascii="Arial" w:eastAsia="Arial"/>
                <w:sz w:val="22"/>
              </w:rPr>
              <w:t>14032 </w:t>
            </w:r>
            <w:r>
              <w:rPr>
                <w:sz w:val="22"/>
              </w:rPr>
              <w:t>室</w:t>
            </w:r>
            <w:r>
              <w:rPr>
                <w:spacing w:val="-3"/>
                <w:sz w:val="22"/>
              </w:rPr>
              <w:t>办公地址：上海市浦东新区世纪大道</w:t>
            </w:r>
            <w:r>
              <w:rPr>
                <w:rFonts w:ascii="Arial" w:eastAsia="Arial"/>
                <w:spacing w:val="-3"/>
                <w:sz w:val="22"/>
              </w:rPr>
              <w:t>1196 </w:t>
            </w:r>
            <w:r>
              <w:rPr>
                <w:spacing w:val="-9"/>
                <w:sz w:val="22"/>
              </w:rPr>
              <w:t>号世纪汇广场 </w:t>
            </w:r>
            <w:r>
              <w:rPr>
                <w:rFonts w:ascii="Arial" w:eastAsia="Arial"/>
                <w:sz w:val="22"/>
              </w:rPr>
              <w:t>2 </w:t>
            </w:r>
            <w:r>
              <w:rPr>
                <w:spacing w:val="-29"/>
                <w:sz w:val="22"/>
              </w:rPr>
              <w:t>座 </w:t>
            </w:r>
            <w:r>
              <w:rPr>
                <w:rFonts w:ascii="Arial" w:eastAsia="Arial"/>
                <w:sz w:val="22"/>
              </w:rPr>
              <w:t>16 </w:t>
            </w:r>
            <w:r>
              <w:rPr>
                <w:sz w:val="22"/>
              </w:rPr>
              <w:t>楼</w:t>
            </w:r>
          </w:p>
          <w:p>
            <w:pPr>
              <w:pStyle w:val="TableParagraph"/>
              <w:spacing w:line="266" w:lineRule="auto"/>
              <w:ind w:left="932" w:right="920"/>
              <w:jc w:val="center"/>
              <w:rPr>
                <w:sz w:val="22"/>
              </w:rPr>
            </w:pPr>
            <w:r>
              <w:rPr>
                <w:sz w:val="22"/>
              </w:rPr>
              <w:t>法定代表人：陈志英联系人：韦巍</w:t>
            </w:r>
          </w:p>
          <w:p>
            <w:pPr>
              <w:pStyle w:val="TableParagraph"/>
              <w:spacing w:line="266" w:lineRule="auto"/>
              <w:ind w:left="882" w:right="872"/>
              <w:jc w:val="center"/>
              <w:rPr>
                <w:rFonts w:ascii="Arial" w:eastAsia="Arial"/>
                <w:sz w:val="22"/>
              </w:rPr>
            </w:pPr>
            <w:r>
              <w:rPr>
                <w:sz w:val="22"/>
              </w:rPr>
              <w:t>电话：</w:t>
            </w:r>
            <w:r>
              <w:rPr>
                <w:rFonts w:ascii="Arial" w:eastAsia="Arial"/>
                <w:sz w:val="22"/>
              </w:rPr>
              <w:t>400-168-1235 </w:t>
            </w:r>
            <w:r>
              <w:rPr>
                <w:sz w:val="22"/>
              </w:rPr>
              <w:t>传真：</w:t>
            </w:r>
            <w:r>
              <w:rPr>
                <w:rFonts w:ascii="Arial" w:eastAsia="Arial"/>
                <w:sz w:val="22"/>
              </w:rPr>
              <w:t>021-53398801</w:t>
            </w:r>
          </w:p>
          <w:p>
            <w:pPr>
              <w:pStyle w:val="TableParagraph"/>
              <w:spacing w:line="280" w:lineRule="exact"/>
              <w:ind w:left="103" w:right="95"/>
              <w:jc w:val="center"/>
              <w:rPr>
                <w:rFonts w:ascii="Arial" w:eastAsia="Arial"/>
                <w:sz w:val="22"/>
              </w:rPr>
            </w:pPr>
            <w:r>
              <w:rPr>
                <w:sz w:val="22"/>
              </w:rPr>
              <w:t>客户服务电话：</w:t>
            </w:r>
            <w:r>
              <w:rPr>
                <w:rFonts w:ascii="Arial" w:eastAsia="Arial"/>
                <w:sz w:val="22"/>
              </w:rPr>
              <w:t>400-168-1235</w:t>
            </w:r>
          </w:p>
          <w:p>
            <w:pPr>
              <w:pStyle w:val="TableParagraph"/>
              <w:spacing w:line="279" w:lineRule="exact" w:before="25"/>
              <w:ind w:left="100" w:right="95"/>
              <w:jc w:val="center"/>
              <w:rPr>
                <w:rFonts w:ascii="Arial" w:eastAsia="Arial"/>
                <w:sz w:val="22"/>
              </w:rPr>
            </w:pPr>
            <w:r>
              <w:rPr>
                <w:sz w:val="22"/>
              </w:rPr>
              <w:t>网址：</w:t>
            </w:r>
            <w:hyperlink r:id="rId163">
              <w:r>
                <w:rPr>
                  <w:rFonts w:ascii="Arial" w:eastAsia="Arial"/>
                  <w:sz w:val="22"/>
                </w:rPr>
                <w:t>http://www.luxxfund.com/</w:t>
              </w:r>
            </w:hyperlink>
          </w:p>
        </w:tc>
      </w:tr>
    </w:tbl>
    <w:p>
      <w:pPr>
        <w:spacing w:after="0" w:line="279" w:lineRule="exact"/>
        <w:jc w:val="center"/>
        <w:rPr>
          <w:rFonts w:ascii="Arial" w:eastAsia="Arial"/>
          <w:sz w:val="22"/>
        </w:rPr>
        <w:sectPr>
          <w:pgSz w:w="11910" w:h="16840"/>
          <w:pgMar w:header="877" w:footer="995" w:top="1100" w:bottom="1180" w:left="960" w:right="900"/>
        </w:sectPr>
      </w:pPr>
    </w:p>
    <w:p>
      <w:pPr>
        <w:pStyle w:val="BodyText"/>
        <w:spacing w:before="6"/>
        <w:rPr>
          <w:rFonts w:ascii="Times New Roman"/>
          <w:sz w:val="27"/>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3949"/>
        <w:gridCol w:w="3848"/>
      </w:tblGrid>
      <w:tr>
        <w:trPr>
          <w:trHeight w:val="3120" w:hRule="atLeast"/>
        </w:trPr>
        <w:tc>
          <w:tcPr>
            <w:tcW w:w="634"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27"/>
              <w:jc w:val="right"/>
              <w:rPr>
                <w:rFonts w:ascii="Arial"/>
                <w:sz w:val="21"/>
              </w:rPr>
            </w:pPr>
            <w:r>
              <w:rPr>
                <w:rFonts w:ascii="Arial"/>
                <w:sz w:val="21"/>
              </w:rPr>
              <w:t>164</w:t>
            </w:r>
          </w:p>
        </w:tc>
        <w:tc>
          <w:tcPr>
            <w:tcW w:w="3949"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7"/>
              <w:jc w:val="center"/>
              <w:rPr>
                <w:sz w:val="22"/>
              </w:rPr>
            </w:pPr>
            <w:r>
              <w:rPr>
                <w:sz w:val="22"/>
              </w:rPr>
              <w:t>江苏汇林保大基金销售有限公司</w:t>
            </w:r>
          </w:p>
        </w:tc>
        <w:tc>
          <w:tcPr>
            <w:tcW w:w="3848" w:type="dxa"/>
            <w:tcBorders>
              <w:top w:val="nil"/>
            </w:tcBorders>
          </w:tcPr>
          <w:p>
            <w:pPr>
              <w:pStyle w:val="TableParagraph"/>
              <w:spacing w:line="266" w:lineRule="auto" w:before="15"/>
              <w:ind w:left="107" w:right="95"/>
              <w:jc w:val="center"/>
              <w:rPr>
                <w:sz w:val="22"/>
              </w:rPr>
            </w:pPr>
            <w:r>
              <w:rPr>
                <w:spacing w:val="-13"/>
                <w:sz w:val="22"/>
              </w:rPr>
              <w:t>注册地址：南京市高淳区经济开发区古</w:t>
            </w:r>
            <w:r>
              <w:rPr>
                <w:spacing w:val="-14"/>
                <w:sz w:val="22"/>
              </w:rPr>
              <w:t>檀大道 </w:t>
            </w:r>
            <w:r>
              <w:rPr>
                <w:rFonts w:ascii="Arial" w:eastAsia="Arial"/>
                <w:sz w:val="22"/>
              </w:rPr>
              <w:t>47 </w:t>
            </w:r>
            <w:r>
              <w:rPr>
                <w:sz w:val="22"/>
              </w:rPr>
              <w:t>号</w:t>
            </w:r>
          </w:p>
          <w:p>
            <w:pPr>
              <w:pStyle w:val="TableParagraph"/>
              <w:spacing w:line="280" w:lineRule="exact"/>
              <w:ind w:left="106" w:right="95"/>
              <w:jc w:val="center"/>
              <w:rPr>
                <w:rFonts w:ascii="Arial" w:eastAsia="Arial"/>
                <w:sz w:val="22"/>
              </w:rPr>
            </w:pPr>
            <w:r>
              <w:rPr>
                <w:sz w:val="22"/>
              </w:rPr>
              <w:t>办公地址：南京市鼓楼区中山北路 </w:t>
            </w:r>
            <w:r>
              <w:rPr>
                <w:rFonts w:ascii="Arial" w:eastAsia="Arial"/>
                <w:sz w:val="22"/>
              </w:rPr>
              <w:t>2</w:t>
            </w:r>
          </w:p>
          <w:p>
            <w:pPr>
              <w:pStyle w:val="TableParagraph"/>
              <w:spacing w:line="266" w:lineRule="auto" w:before="30"/>
              <w:ind w:left="743" w:right="730"/>
              <w:jc w:val="center"/>
              <w:rPr>
                <w:sz w:val="22"/>
              </w:rPr>
            </w:pPr>
            <w:r>
              <w:rPr>
                <w:spacing w:val="-8"/>
                <w:sz w:val="22"/>
              </w:rPr>
              <w:t>号绿地紫峰大厦 </w:t>
            </w:r>
            <w:r>
              <w:rPr>
                <w:rFonts w:ascii="Arial" w:eastAsia="Arial"/>
                <w:sz w:val="22"/>
              </w:rPr>
              <w:t>2005</w:t>
            </w:r>
            <w:r>
              <w:rPr>
                <w:rFonts w:ascii="Arial" w:eastAsia="Arial"/>
                <w:spacing w:val="-4"/>
                <w:sz w:val="22"/>
              </w:rPr>
              <w:t> </w:t>
            </w:r>
            <w:r>
              <w:rPr>
                <w:spacing w:val="-16"/>
                <w:sz w:val="22"/>
              </w:rPr>
              <w:t>室</w:t>
            </w:r>
            <w:r>
              <w:rPr>
                <w:spacing w:val="-2"/>
                <w:sz w:val="22"/>
              </w:rPr>
              <w:t>法定代表人：吴言林</w:t>
            </w:r>
          </w:p>
          <w:p>
            <w:pPr>
              <w:pStyle w:val="TableParagraph"/>
              <w:spacing w:line="266" w:lineRule="auto"/>
              <w:ind w:left="882" w:right="872" w:firstLine="268"/>
              <w:rPr>
                <w:rFonts w:ascii="Arial" w:eastAsia="Arial"/>
                <w:sz w:val="22"/>
              </w:rPr>
            </w:pPr>
            <w:r>
              <w:rPr>
                <w:spacing w:val="-1"/>
                <w:sz w:val="22"/>
              </w:rPr>
              <w:t>联系人：林伊灵 电话：</w:t>
            </w:r>
            <w:r>
              <w:rPr>
                <w:rFonts w:ascii="Arial" w:eastAsia="Arial"/>
                <w:spacing w:val="-1"/>
                <w:sz w:val="22"/>
              </w:rPr>
              <w:t>025-66046166 </w:t>
            </w:r>
            <w:r>
              <w:rPr>
                <w:spacing w:val="-1"/>
                <w:sz w:val="22"/>
              </w:rPr>
              <w:t>传真：</w:t>
            </w:r>
            <w:r>
              <w:rPr>
                <w:rFonts w:ascii="Arial" w:eastAsia="Arial"/>
                <w:spacing w:val="-1"/>
                <w:sz w:val="22"/>
              </w:rPr>
              <w:t>025-56878016</w:t>
            </w:r>
          </w:p>
          <w:p>
            <w:pPr>
              <w:pStyle w:val="TableParagraph"/>
              <w:spacing w:line="279" w:lineRule="exact"/>
              <w:ind w:left="443"/>
              <w:rPr>
                <w:rFonts w:ascii="Arial" w:eastAsia="Arial"/>
                <w:sz w:val="22"/>
              </w:rPr>
            </w:pPr>
            <w:r>
              <w:rPr>
                <w:spacing w:val="-2"/>
                <w:sz w:val="22"/>
              </w:rPr>
              <w:t>客户服务电话：</w:t>
            </w:r>
            <w:r>
              <w:rPr>
                <w:rFonts w:ascii="Arial" w:eastAsia="Arial"/>
                <w:spacing w:val="-1"/>
                <w:sz w:val="22"/>
              </w:rPr>
              <w:t>025-66046166</w:t>
            </w:r>
          </w:p>
          <w:p>
            <w:pPr>
              <w:pStyle w:val="TableParagraph"/>
              <w:spacing w:line="277" w:lineRule="exact" w:before="29"/>
              <w:ind w:left="431"/>
              <w:rPr>
                <w:rFonts w:ascii="Arial" w:eastAsia="Arial"/>
                <w:sz w:val="22"/>
              </w:rPr>
            </w:pPr>
            <w:r>
              <w:rPr>
                <w:spacing w:val="-1"/>
                <w:sz w:val="22"/>
              </w:rPr>
              <w:t>网址：</w:t>
            </w:r>
            <w:hyperlink r:id="rId164">
              <w:r>
                <w:rPr>
                  <w:rFonts w:ascii="Arial" w:eastAsia="Arial"/>
                  <w:spacing w:val="-1"/>
                  <w:sz w:val="22"/>
                </w:rPr>
                <w:t>http://www.huilinbd.com</w:t>
              </w:r>
            </w:hyperlink>
          </w:p>
        </w:tc>
      </w:tr>
      <w:tr>
        <w:trPr>
          <w:trHeight w:val="2400"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1"/>
              </w:rPr>
            </w:pPr>
          </w:p>
          <w:p>
            <w:pPr>
              <w:pStyle w:val="TableParagraph"/>
              <w:ind w:right="127"/>
              <w:jc w:val="right"/>
              <w:rPr>
                <w:rFonts w:ascii="Arial"/>
                <w:sz w:val="21"/>
              </w:rPr>
            </w:pPr>
            <w:r>
              <w:rPr>
                <w:rFonts w:ascii="Arial"/>
                <w:sz w:val="21"/>
              </w:rPr>
              <w:t>165</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6"/>
              </w:rPr>
            </w:pPr>
          </w:p>
          <w:p>
            <w:pPr>
              <w:pStyle w:val="TableParagraph"/>
              <w:ind w:left="77" w:right="77"/>
              <w:jc w:val="center"/>
              <w:rPr>
                <w:sz w:val="22"/>
              </w:rPr>
            </w:pPr>
            <w:r>
              <w:rPr>
                <w:sz w:val="22"/>
              </w:rPr>
              <w:t>中国人寿保险股份有限公司</w:t>
            </w:r>
          </w:p>
        </w:tc>
        <w:tc>
          <w:tcPr>
            <w:tcW w:w="3848" w:type="dxa"/>
          </w:tcPr>
          <w:p>
            <w:pPr>
              <w:pStyle w:val="TableParagraph"/>
              <w:rPr>
                <w:rFonts w:ascii="Times New Roman"/>
                <w:sz w:val="24"/>
              </w:rPr>
            </w:pPr>
          </w:p>
          <w:p>
            <w:pPr>
              <w:pStyle w:val="TableParagraph"/>
              <w:spacing w:line="266" w:lineRule="auto" w:before="159"/>
              <w:ind w:left="1194" w:right="95" w:hanging="1088"/>
              <w:rPr>
                <w:sz w:val="22"/>
              </w:rPr>
            </w:pPr>
            <w:r>
              <w:rPr>
                <w:spacing w:val="-18"/>
                <w:sz w:val="22"/>
              </w:rPr>
              <w:t>注册</w:t>
            </w:r>
            <w:r>
              <w:rPr>
                <w:sz w:val="22"/>
              </w:rPr>
              <w:t>（</w:t>
            </w:r>
            <w:r>
              <w:rPr>
                <w:spacing w:val="-2"/>
                <w:sz w:val="22"/>
              </w:rPr>
              <w:t>办公</w:t>
            </w:r>
            <w:r>
              <w:rPr>
                <w:spacing w:val="-39"/>
                <w:sz w:val="22"/>
              </w:rPr>
              <w:t>）</w:t>
            </w:r>
            <w:r>
              <w:rPr>
                <w:spacing w:val="-8"/>
                <w:sz w:val="22"/>
              </w:rPr>
              <w:t>地址：中国北京市西城区</w:t>
            </w:r>
            <w:r>
              <w:rPr>
                <w:spacing w:val="-11"/>
                <w:sz w:val="22"/>
              </w:rPr>
              <w:t>金融大街 </w:t>
            </w:r>
            <w:r>
              <w:rPr>
                <w:rFonts w:ascii="Arial" w:eastAsia="Arial"/>
                <w:sz w:val="22"/>
              </w:rPr>
              <w:t>16 </w:t>
            </w:r>
            <w:r>
              <w:rPr>
                <w:sz w:val="22"/>
              </w:rPr>
              <w:t>号</w:t>
            </w:r>
          </w:p>
          <w:p>
            <w:pPr>
              <w:pStyle w:val="TableParagraph"/>
              <w:spacing w:line="266" w:lineRule="auto"/>
              <w:ind w:left="846" w:right="785" w:firstLine="196"/>
              <w:rPr>
                <w:rFonts w:ascii="Arial" w:eastAsia="Arial"/>
                <w:sz w:val="22"/>
              </w:rPr>
            </w:pPr>
            <w:r>
              <w:rPr>
                <w:sz w:val="22"/>
              </w:rPr>
              <w:t>法定代表人：王滨客户服务电话：</w:t>
            </w:r>
            <w:r>
              <w:rPr>
                <w:rFonts w:ascii="Arial" w:eastAsia="Arial"/>
                <w:sz w:val="22"/>
              </w:rPr>
              <w:t>95519</w:t>
            </w:r>
          </w:p>
          <w:p>
            <w:pPr>
              <w:pStyle w:val="TableParagraph"/>
              <w:spacing w:line="280" w:lineRule="exact"/>
              <w:ind w:left="584"/>
              <w:rPr>
                <w:rFonts w:ascii="Arial" w:eastAsia="Arial"/>
                <w:sz w:val="22"/>
              </w:rPr>
            </w:pPr>
            <w:r>
              <w:rPr>
                <w:sz w:val="22"/>
              </w:rPr>
              <w:t>网址：</w:t>
            </w:r>
            <w:hyperlink r:id="rId165">
              <w:r>
                <w:rPr>
                  <w:rFonts w:ascii="Arial" w:eastAsia="Arial"/>
                  <w:sz w:val="22"/>
                </w:rPr>
                <w:t>www.e-chinalife.com</w:t>
              </w:r>
            </w:hyperlink>
          </w:p>
        </w:tc>
      </w:tr>
      <w:tr>
        <w:trPr>
          <w:trHeight w:val="2495" w:hRule="atLeast"/>
        </w:trPr>
        <w:tc>
          <w:tcPr>
            <w:tcW w:w="634"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27"/>
              <w:jc w:val="right"/>
              <w:rPr>
                <w:rFonts w:ascii="Arial"/>
                <w:sz w:val="21"/>
              </w:rPr>
            </w:pPr>
            <w:r>
              <w:rPr>
                <w:rFonts w:ascii="Arial"/>
                <w:sz w:val="21"/>
              </w:rPr>
              <w:t>166</w:t>
            </w:r>
          </w:p>
        </w:tc>
        <w:tc>
          <w:tcPr>
            <w:tcW w:w="3949"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9" w:right="77"/>
              <w:jc w:val="center"/>
              <w:rPr>
                <w:sz w:val="22"/>
              </w:rPr>
            </w:pPr>
            <w:r>
              <w:rPr>
                <w:sz w:val="22"/>
              </w:rPr>
              <w:t>鼎信汇金（北京）投资管理有限公司</w:t>
            </w:r>
          </w:p>
        </w:tc>
        <w:tc>
          <w:tcPr>
            <w:tcW w:w="3848" w:type="dxa"/>
          </w:tcPr>
          <w:p>
            <w:pPr>
              <w:pStyle w:val="TableParagraph"/>
              <w:spacing w:line="266" w:lineRule="auto" w:before="15"/>
              <w:ind w:left="107" w:right="95"/>
              <w:jc w:val="center"/>
              <w:rPr>
                <w:sz w:val="22"/>
              </w:rPr>
            </w:pPr>
            <w:r>
              <w:rPr>
                <w:spacing w:val="-18"/>
                <w:sz w:val="22"/>
              </w:rPr>
              <w:t>注册</w:t>
            </w:r>
            <w:r>
              <w:rPr>
                <w:sz w:val="22"/>
              </w:rPr>
              <w:t>（</w:t>
            </w:r>
            <w:r>
              <w:rPr>
                <w:spacing w:val="-2"/>
                <w:sz w:val="22"/>
              </w:rPr>
              <w:t>办公</w:t>
            </w:r>
            <w:r>
              <w:rPr>
                <w:spacing w:val="-39"/>
                <w:sz w:val="22"/>
              </w:rPr>
              <w:t>）</w:t>
            </w:r>
            <w:r>
              <w:rPr>
                <w:spacing w:val="-8"/>
                <w:sz w:val="22"/>
              </w:rPr>
              <w:t>地址：北京市海淀区太月</w:t>
            </w:r>
            <w:r>
              <w:rPr>
                <w:spacing w:val="-28"/>
                <w:sz w:val="22"/>
              </w:rPr>
              <w:t>园 </w:t>
            </w:r>
            <w:r>
              <w:rPr>
                <w:rFonts w:ascii="Arial" w:eastAsia="Arial"/>
                <w:sz w:val="22"/>
              </w:rPr>
              <w:t>3 </w:t>
            </w:r>
            <w:r>
              <w:rPr>
                <w:spacing w:val="-19"/>
                <w:sz w:val="22"/>
              </w:rPr>
              <w:t>号楼 </w:t>
            </w:r>
            <w:r>
              <w:rPr>
                <w:rFonts w:ascii="Arial" w:eastAsia="Arial"/>
                <w:sz w:val="22"/>
              </w:rPr>
              <w:t>5 </w:t>
            </w:r>
            <w:r>
              <w:rPr>
                <w:spacing w:val="-28"/>
                <w:sz w:val="22"/>
              </w:rPr>
              <w:t>层 </w:t>
            </w:r>
            <w:r>
              <w:rPr>
                <w:rFonts w:ascii="Arial" w:eastAsia="Arial"/>
                <w:sz w:val="22"/>
              </w:rPr>
              <w:t>521 </w:t>
            </w:r>
            <w:r>
              <w:rPr>
                <w:sz w:val="22"/>
              </w:rPr>
              <w:t>室</w:t>
            </w:r>
          </w:p>
          <w:p>
            <w:pPr>
              <w:pStyle w:val="TableParagraph"/>
              <w:spacing w:line="266" w:lineRule="auto"/>
              <w:ind w:left="932" w:right="920"/>
              <w:jc w:val="center"/>
              <w:rPr>
                <w:sz w:val="22"/>
              </w:rPr>
            </w:pPr>
            <w:r>
              <w:rPr>
                <w:sz w:val="22"/>
              </w:rPr>
              <w:t>法定代表人：齐凌峰联系人： 陈臣</w:t>
            </w:r>
          </w:p>
          <w:p>
            <w:pPr>
              <w:pStyle w:val="TableParagraph"/>
              <w:spacing w:line="281" w:lineRule="exact"/>
              <w:ind w:left="102" w:right="95"/>
              <w:jc w:val="center"/>
              <w:rPr>
                <w:rFonts w:ascii="Arial" w:eastAsia="Arial"/>
                <w:sz w:val="22"/>
              </w:rPr>
            </w:pPr>
            <w:r>
              <w:rPr>
                <w:spacing w:val="-2"/>
                <w:sz w:val="22"/>
              </w:rPr>
              <w:t>电话： </w:t>
            </w:r>
            <w:r>
              <w:rPr>
                <w:rFonts w:ascii="Arial" w:eastAsia="Arial"/>
                <w:sz w:val="22"/>
              </w:rPr>
              <w:t>010-82098631</w:t>
            </w:r>
          </w:p>
          <w:p>
            <w:pPr>
              <w:pStyle w:val="TableParagraph"/>
              <w:spacing w:before="28"/>
              <w:ind w:left="102" w:right="95"/>
              <w:jc w:val="center"/>
              <w:rPr>
                <w:rFonts w:ascii="Arial" w:eastAsia="Arial"/>
                <w:sz w:val="22"/>
              </w:rPr>
            </w:pPr>
            <w:r>
              <w:rPr>
                <w:spacing w:val="-2"/>
                <w:sz w:val="22"/>
              </w:rPr>
              <w:t>传真： </w:t>
            </w:r>
            <w:r>
              <w:rPr>
                <w:rFonts w:ascii="Arial" w:eastAsia="Arial"/>
                <w:sz w:val="22"/>
              </w:rPr>
              <w:t>010-82086110</w:t>
            </w:r>
          </w:p>
          <w:p>
            <w:pPr>
              <w:pStyle w:val="TableParagraph"/>
              <w:spacing w:before="30"/>
              <w:ind w:left="103" w:right="95"/>
              <w:jc w:val="center"/>
              <w:rPr>
                <w:rFonts w:ascii="Arial" w:eastAsia="Arial"/>
                <w:sz w:val="22"/>
              </w:rPr>
            </w:pPr>
            <w:r>
              <w:rPr>
                <w:sz w:val="22"/>
              </w:rPr>
              <w:t>客户服务电话： </w:t>
            </w:r>
            <w:r>
              <w:rPr>
                <w:rFonts w:ascii="Arial" w:eastAsia="Arial"/>
                <w:sz w:val="22"/>
              </w:rPr>
              <w:t>400-158-5050</w:t>
            </w:r>
          </w:p>
          <w:p>
            <w:pPr>
              <w:pStyle w:val="TableParagraph"/>
              <w:spacing w:line="277" w:lineRule="exact" w:before="30"/>
              <w:ind w:left="104" w:right="95"/>
              <w:jc w:val="center"/>
              <w:rPr>
                <w:rFonts w:ascii="Arial" w:eastAsia="Arial"/>
                <w:sz w:val="22"/>
              </w:rPr>
            </w:pPr>
            <w:r>
              <w:rPr>
                <w:sz w:val="22"/>
              </w:rPr>
              <w:t>网址： </w:t>
            </w:r>
            <w:hyperlink r:id="rId166">
              <w:r>
                <w:rPr>
                  <w:rFonts w:ascii="Arial" w:eastAsia="Arial"/>
                  <w:sz w:val="22"/>
                </w:rPr>
                <w:t>www.9ifund.com</w:t>
              </w:r>
            </w:hyperlink>
          </w:p>
        </w:tc>
      </w:tr>
    </w:tbl>
    <w:p>
      <w:pPr>
        <w:pStyle w:val="BodyText"/>
        <w:spacing w:line="417" w:lineRule="auto" w:before="99"/>
        <w:ind w:left="840" w:right="891" w:firstLine="419"/>
      </w:pPr>
      <w:r>
        <w:rPr>
          <w:spacing w:val="-11"/>
        </w:rPr>
        <w:t>基金管理人可根据《销售办法》和基金合同等的规定，选择其他符合要求的机构代理销</w:t>
      </w:r>
      <w:r>
        <w:rPr>
          <w:spacing w:val="-6"/>
        </w:rPr>
        <w:t>售本基金，并及时履行公告义务。</w:t>
      </w:r>
    </w:p>
    <w:p>
      <w:pPr>
        <w:pStyle w:val="BodyText"/>
        <w:rPr>
          <w:sz w:val="20"/>
        </w:rPr>
      </w:pPr>
    </w:p>
    <w:p>
      <w:pPr>
        <w:pStyle w:val="BodyText"/>
        <w:spacing w:before="7"/>
        <w:rPr>
          <w:sz w:val="16"/>
        </w:rPr>
      </w:pPr>
    </w:p>
    <w:p>
      <w:pPr>
        <w:pStyle w:val="Heading4"/>
      </w:pPr>
      <w:r>
        <w:rPr/>
        <w:t>二、注册登记人</w:t>
      </w:r>
    </w:p>
    <w:p>
      <w:pPr>
        <w:pStyle w:val="BodyText"/>
        <w:spacing w:before="7"/>
        <w:rPr>
          <w:b/>
          <w:sz w:val="15"/>
        </w:rPr>
      </w:pPr>
    </w:p>
    <w:p>
      <w:pPr>
        <w:pStyle w:val="BodyText"/>
        <w:ind w:left="1260"/>
      </w:pPr>
      <w:r>
        <w:rPr/>
        <w:t>名称：景顺长城基金管理有限公司</w:t>
      </w:r>
    </w:p>
    <w:p>
      <w:pPr>
        <w:pStyle w:val="BodyText"/>
        <w:spacing w:before="7"/>
        <w:rPr>
          <w:sz w:val="15"/>
        </w:rPr>
      </w:pPr>
    </w:p>
    <w:p>
      <w:pPr>
        <w:pStyle w:val="BodyText"/>
        <w:spacing w:line="417" w:lineRule="auto"/>
        <w:ind w:left="1260" w:right="3212"/>
      </w:pPr>
      <w:r>
        <w:rPr>
          <w:spacing w:val="-7"/>
        </w:rPr>
        <w:t>住所：深圳市福田区中心四路 </w:t>
      </w:r>
      <w:r>
        <w:rPr>
          <w:rFonts w:ascii="Times New Roman" w:eastAsia="Times New Roman"/>
        </w:rPr>
        <w:t>1 </w:t>
      </w:r>
      <w:r>
        <w:rPr>
          <w:spacing w:val="-7"/>
        </w:rPr>
        <w:t>号嘉里建设广场第一座 </w:t>
      </w:r>
      <w:r>
        <w:rPr>
          <w:rFonts w:ascii="Times New Roman" w:eastAsia="Times New Roman"/>
        </w:rPr>
        <w:t>21 </w:t>
      </w:r>
      <w:r>
        <w:rPr/>
        <w:t>层</w:t>
      </w:r>
      <w:r>
        <w:rPr>
          <w:spacing w:val="-3"/>
        </w:rPr>
        <w:t>法定代表人：李进</w:t>
      </w:r>
    </w:p>
    <w:p>
      <w:pPr>
        <w:pStyle w:val="BodyText"/>
        <w:spacing w:line="417" w:lineRule="auto"/>
        <w:ind w:left="1260" w:right="6085"/>
        <w:rPr>
          <w:rFonts w:ascii="Times New Roman" w:eastAsia="Times New Roman"/>
        </w:rPr>
      </w:pPr>
      <w:r>
        <w:rPr>
          <w:spacing w:val="-37"/>
          <w:w w:val="100"/>
        </w:rPr>
        <w:t>电话：</w:t>
      </w:r>
      <w:r>
        <w:rPr>
          <w:spacing w:val="-2"/>
          <w:w w:val="100"/>
        </w:rPr>
        <w:t>（</w:t>
      </w:r>
      <w:r>
        <w:rPr>
          <w:rFonts w:ascii="Times New Roman" w:eastAsia="Times New Roman"/>
          <w:spacing w:val="-1"/>
          <w:w w:val="100"/>
        </w:rPr>
        <w:t>07</w:t>
      </w:r>
      <w:r>
        <w:rPr>
          <w:rFonts w:ascii="Times New Roman" w:eastAsia="Times New Roman"/>
          <w:spacing w:val="-4"/>
          <w:w w:val="100"/>
        </w:rPr>
        <w:t>5</w:t>
      </w:r>
      <w:r>
        <w:rPr>
          <w:rFonts w:ascii="Times New Roman" w:eastAsia="Times New Roman"/>
          <w:spacing w:val="-2"/>
          <w:w w:val="100"/>
        </w:rPr>
        <w:t>5</w:t>
      </w:r>
      <w:r>
        <w:rPr>
          <w:spacing w:val="-1"/>
          <w:w w:val="100"/>
        </w:rPr>
        <w:t>）</w:t>
      </w:r>
      <w:r>
        <w:rPr>
          <w:rFonts w:ascii="Times New Roman" w:eastAsia="Times New Roman"/>
          <w:spacing w:val="-4"/>
          <w:w w:val="100"/>
        </w:rPr>
        <w:t>8</w:t>
      </w:r>
      <w:r>
        <w:rPr>
          <w:rFonts w:ascii="Times New Roman" w:eastAsia="Times New Roman"/>
          <w:spacing w:val="-1"/>
          <w:w w:val="100"/>
        </w:rPr>
        <w:t>237</w:t>
      </w:r>
      <w:r>
        <w:rPr>
          <w:rFonts w:ascii="Times New Roman" w:eastAsia="Times New Roman"/>
          <w:spacing w:val="-4"/>
          <w:w w:val="100"/>
        </w:rPr>
        <w:t>0</w:t>
      </w:r>
      <w:r>
        <w:rPr>
          <w:rFonts w:ascii="Times New Roman" w:eastAsia="Times New Roman"/>
          <w:spacing w:val="-1"/>
          <w:w w:val="100"/>
        </w:rPr>
        <w:t>388</w:t>
      </w:r>
      <w:r>
        <w:rPr>
          <w:rFonts w:ascii="Times New Roman" w:eastAsia="Times New Roman"/>
          <w:spacing w:val="-5"/>
          <w:w w:val="100"/>
        </w:rPr>
        <w:t>-</w:t>
      </w:r>
      <w:r>
        <w:rPr>
          <w:rFonts w:ascii="Times New Roman" w:eastAsia="Times New Roman"/>
          <w:spacing w:val="-1"/>
          <w:w w:val="100"/>
        </w:rPr>
        <w:t>164</w:t>
      </w:r>
      <w:r>
        <w:rPr>
          <w:rFonts w:ascii="Times New Roman" w:eastAsia="Times New Roman"/>
          <w:spacing w:val="-1"/>
          <w:w w:val="100"/>
        </w:rPr>
        <w:t>6</w:t>
      </w:r>
      <w:r>
        <w:rPr>
          <w:spacing w:val="-36"/>
          <w:w w:val="100"/>
        </w:rPr>
        <w:t>传真：</w:t>
      </w:r>
      <w:r>
        <w:rPr>
          <w:spacing w:val="-1"/>
          <w:w w:val="100"/>
        </w:rPr>
        <w:t>（</w:t>
      </w:r>
      <w:r>
        <w:rPr>
          <w:rFonts w:ascii="Times New Roman" w:eastAsia="Times New Roman"/>
          <w:w w:val="100"/>
        </w:rPr>
        <w:t>07</w:t>
      </w:r>
      <w:r>
        <w:rPr>
          <w:rFonts w:ascii="Times New Roman" w:eastAsia="Times New Roman"/>
          <w:spacing w:val="-3"/>
          <w:w w:val="100"/>
        </w:rPr>
        <w:t>5</w:t>
      </w:r>
      <w:r>
        <w:rPr>
          <w:rFonts w:ascii="Times New Roman" w:eastAsia="Times New Roman"/>
          <w:spacing w:val="-1"/>
          <w:w w:val="100"/>
        </w:rPr>
        <w:t>5</w:t>
      </w:r>
      <w:r>
        <w:rPr>
          <w:w w:val="100"/>
        </w:rPr>
        <w:t>）</w:t>
      </w:r>
      <w:r>
        <w:rPr>
          <w:rFonts w:ascii="Times New Roman" w:eastAsia="Times New Roman"/>
          <w:spacing w:val="-3"/>
          <w:w w:val="100"/>
        </w:rPr>
        <w:t>2</w:t>
      </w:r>
      <w:r>
        <w:rPr>
          <w:rFonts w:ascii="Times New Roman" w:eastAsia="Times New Roman"/>
          <w:w w:val="100"/>
        </w:rPr>
        <w:t>238</w:t>
      </w:r>
      <w:r>
        <w:rPr>
          <w:rFonts w:ascii="Times New Roman" w:eastAsia="Times New Roman"/>
          <w:spacing w:val="-3"/>
          <w:w w:val="100"/>
        </w:rPr>
        <w:t>1</w:t>
      </w:r>
      <w:r>
        <w:rPr>
          <w:rFonts w:ascii="Times New Roman" w:eastAsia="Times New Roman"/>
          <w:w w:val="100"/>
        </w:rPr>
        <w:t>325</w:t>
      </w:r>
    </w:p>
    <w:p>
      <w:pPr>
        <w:pStyle w:val="BodyText"/>
        <w:spacing w:line="269" w:lineRule="exact"/>
        <w:ind w:left="1260"/>
      </w:pPr>
      <w:r>
        <w:rPr/>
        <w:t>联系人：邹昱</w:t>
      </w:r>
    </w:p>
    <w:p>
      <w:pPr>
        <w:pStyle w:val="BodyText"/>
        <w:rPr>
          <w:sz w:val="20"/>
        </w:rPr>
      </w:pPr>
    </w:p>
    <w:p>
      <w:pPr>
        <w:pStyle w:val="BodyText"/>
        <w:rPr>
          <w:sz w:val="20"/>
        </w:rPr>
      </w:pPr>
    </w:p>
    <w:p>
      <w:pPr>
        <w:pStyle w:val="Heading4"/>
        <w:spacing w:before="154"/>
      </w:pPr>
      <w:r>
        <w:rPr/>
        <w:t>三、律师事务所及经办律师</w:t>
      </w:r>
    </w:p>
    <w:p>
      <w:pPr>
        <w:spacing w:after="0"/>
        <w:sectPr>
          <w:pgSz w:w="11910" w:h="16840"/>
          <w:pgMar w:header="877" w:footer="995" w:top="1100" w:bottom="1180" w:left="960" w:right="900"/>
        </w:sectPr>
      </w:pPr>
    </w:p>
    <w:p>
      <w:pPr>
        <w:pStyle w:val="BodyText"/>
        <w:spacing w:before="4"/>
        <w:rPr>
          <w:b/>
          <w:sz w:val="27"/>
        </w:rPr>
      </w:pPr>
    </w:p>
    <w:p>
      <w:pPr>
        <w:pStyle w:val="BodyText"/>
        <w:spacing w:before="71"/>
        <w:ind w:left="1260"/>
      </w:pPr>
      <w:r>
        <w:rPr/>
        <w:t>名称：北京市金诚同达律师事务所</w:t>
      </w:r>
    </w:p>
    <w:p>
      <w:pPr>
        <w:pStyle w:val="BodyText"/>
        <w:spacing w:before="7"/>
        <w:rPr>
          <w:sz w:val="15"/>
        </w:rPr>
      </w:pPr>
    </w:p>
    <w:p>
      <w:pPr>
        <w:pStyle w:val="BodyText"/>
        <w:spacing w:line="417" w:lineRule="auto"/>
        <w:ind w:left="1260" w:right="4590"/>
      </w:pPr>
      <w:r>
        <w:rPr>
          <w:spacing w:val="-7"/>
        </w:rPr>
        <w:t>住所：北京建国门内大街 </w:t>
      </w:r>
      <w:r>
        <w:rPr>
          <w:rFonts w:ascii="Times New Roman" w:eastAsia="Times New Roman"/>
        </w:rPr>
        <w:t>22 </w:t>
      </w:r>
      <w:r>
        <w:rPr>
          <w:spacing w:val="-11"/>
        </w:rPr>
        <w:t>号华夏银行 </w:t>
      </w:r>
      <w:r>
        <w:rPr>
          <w:rFonts w:ascii="Times New Roman" w:eastAsia="Times New Roman"/>
          <w:spacing w:val="-4"/>
        </w:rPr>
        <w:t>11 </w:t>
      </w:r>
      <w:r>
        <w:rPr/>
        <w:t>层</w:t>
      </w:r>
      <w:r>
        <w:rPr>
          <w:spacing w:val="-2"/>
        </w:rPr>
        <w:t>负责人：田予</w:t>
      </w:r>
    </w:p>
    <w:p>
      <w:pPr>
        <w:pStyle w:val="BodyText"/>
        <w:spacing w:line="417" w:lineRule="auto"/>
        <w:ind w:left="1260" w:right="6681"/>
        <w:rPr>
          <w:rFonts w:ascii="Times New Roman" w:eastAsia="Times New Roman"/>
        </w:rPr>
      </w:pPr>
      <w:r>
        <w:rPr>
          <w:spacing w:val="-37"/>
          <w:w w:val="100"/>
        </w:rPr>
        <w:t>电话：</w:t>
      </w:r>
      <w:r>
        <w:rPr>
          <w:spacing w:val="-3"/>
          <w:w w:val="100"/>
        </w:rPr>
        <w:t>（</w:t>
      </w:r>
      <w:r>
        <w:rPr>
          <w:rFonts w:ascii="Times New Roman" w:eastAsia="Times New Roman"/>
          <w:spacing w:val="-2"/>
          <w:w w:val="100"/>
        </w:rPr>
        <w:t>01</w:t>
      </w:r>
      <w:r>
        <w:rPr>
          <w:rFonts w:ascii="Times New Roman" w:eastAsia="Times New Roman"/>
          <w:spacing w:val="-5"/>
          <w:w w:val="100"/>
        </w:rPr>
        <w:t>0</w:t>
      </w:r>
      <w:r>
        <w:rPr>
          <w:spacing w:val="-2"/>
          <w:w w:val="100"/>
        </w:rPr>
        <w:t>）</w:t>
      </w:r>
      <w:r>
        <w:rPr>
          <w:rFonts w:ascii="Times New Roman" w:eastAsia="Times New Roman"/>
          <w:spacing w:val="-2"/>
          <w:w w:val="100"/>
        </w:rPr>
        <w:t>8</w:t>
      </w:r>
      <w:r>
        <w:rPr>
          <w:rFonts w:ascii="Times New Roman" w:eastAsia="Times New Roman"/>
          <w:spacing w:val="-5"/>
          <w:w w:val="100"/>
        </w:rPr>
        <w:t>5</w:t>
      </w:r>
      <w:r>
        <w:rPr>
          <w:rFonts w:ascii="Times New Roman" w:eastAsia="Times New Roman"/>
          <w:spacing w:val="-2"/>
          <w:w w:val="100"/>
        </w:rPr>
        <w:t>237</w:t>
      </w:r>
      <w:r>
        <w:rPr>
          <w:rFonts w:ascii="Times New Roman" w:eastAsia="Times New Roman"/>
          <w:spacing w:val="-5"/>
          <w:w w:val="100"/>
        </w:rPr>
        <w:t>7</w:t>
      </w:r>
      <w:r>
        <w:rPr>
          <w:rFonts w:ascii="Times New Roman" w:eastAsia="Times New Roman"/>
          <w:spacing w:val="-2"/>
          <w:w w:val="100"/>
        </w:rPr>
        <w:t>6</w:t>
      </w:r>
      <w:r>
        <w:rPr>
          <w:rFonts w:ascii="Times New Roman" w:eastAsia="Times New Roman"/>
          <w:spacing w:val="-2"/>
          <w:w w:val="100"/>
        </w:rPr>
        <w:t>6</w:t>
      </w:r>
      <w:r>
        <w:rPr>
          <w:spacing w:val="-37"/>
          <w:w w:val="100"/>
        </w:rPr>
        <w:t>传真：</w:t>
      </w:r>
      <w:r>
        <w:rPr>
          <w:spacing w:val="-3"/>
          <w:w w:val="100"/>
        </w:rPr>
        <w:t>（</w:t>
      </w:r>
      <w:r>
        <w:rPr>
          <w:rFonts w:ascii="Times New Roman" w:eastAsia="Times New Roman"/>
          <w:spacing w:val="-2"/>
          <w:w w:val="100"/>
        </w:rPr>
        <w:t>01</w:t>
      </w:r>
      <w:r>
        <w:rPr>
          <w:rFonts w:ascii="Times New Roman" w:eastAsia="Times New Roman"/>
          <w:spacing w:val="-5"/>
          <w:w w:val="100"/>
        </w:rPr>
        <w:t>0</w:t>
      </w:r>
      <w:r>
        <w:rPr>
          <w:spacing w:val="-2"/>
          <w:w w:val="100"/>
        </w:rPr>
        <w:t>）</w:t>
      </w:r>
      <w:r>
        <w:rPr>
          <w:rFonts w:ascii="Times New Roman" w:eastAsia="Times New Roman"/>
          <w:spacing w:val="-2"/>
          <w:w w:val="100"/>
        </w:rPr>
        <w:t>6</w:t>
      </w:r>
      <w:r>
        <w:rPr>
          <w:rFonts w:ascii="Times New Roman" w:eastAsia="Times New Roman"/>
          <w:spacing w:val="-5"/>
          <w:w w:val="100"/>
        </w:rPr>
        <w:t>5</w:t>
      </w:r>
      <w:r>
        <w:rPr>
          <w:rFonts w:ascii="Times New Roman" w:eastAsia="Times New Roman"/>
          <w:spacing w:val="-2"/>
          <w:w w:val="100"/>
        </w:rPr>
        <w:t>185</w:t>
      </w:r>
      <w:r>
        <w:rPr>
          <w:rFonts w:ascii="Times New Roman" w:eastAsia="Times New Roman"/>
          <w:spacing w:val="-5"/>
          <w:w w:val="100"/>
        </w:rPr>
        <w:t>0</w:t>
      </w:r>
      <w:r>
        <w:rPr>
          <w:rFonts w:ascii="Times New Roman" w:eastAsia="Times New Roman"/>
          <w:spacing w:val="-2"/>
          <w:w w:val="100"/>
        </w:rPr>
        <w:t>57</w:t>
      </w:r>
    </w:p>
    <w:p>
      <w:pPr>
        <w:pStyle w:val="BodyText"/>
        <w:spacing w:line="269" w:lineRule="exact"/>
        <w:ind w:left="1260"/>
      </w:pPr>
      <w:r>
        <w:rPr/>
        <w:t>经办律师：贺宝银、徐志浩</w:t>
      </w:r>
    </w:p>
    <w:p>
      <w:pPr>
        <w:pStyle w:val="BodyText"/>
        <w:rPr>
          <w:sz w:val="20"/>
        </w:rPr>
      </w:pPr>
    </w:p>
    <w:p>
      <w:pPr>
        <w:pStyle w:val="BodyText"/>
        <w:rPr>
          <w:sz w:val="20"/>
        </w:rPr>
      </w:pPr>
    </w:p>
    <w:p>
      <w:pPr>
        <w:pStyle w:val="Heading4"/>
        <w:spacing w:before="155"/>
        <w:ind w:left="0" w:right="5829"/>
        <w:jc w:val="right"/>
      </w:pPr>
      <w:r>
        <w:rPr/>
        <w:t>四、会计师事务所及经办注册会计师</w:t>
      </w:r>
    </w:p>
    <w:p>
      <w:pPr>
        <w:pStyle w:val="BodyText"/>
        <w:spacing w:before="6"/>
        <w:rPr>
          <w:b/>
          <w:sz w:val="15"/>
        </w:rPr>
      </w:pPr>
    </w:p>
    <w:p>
      <w:pPr>
        <w:pStyle w:val="BodyText"/>
        <w:spacing w:before="1"/>
        <w:ind w:left="1260"/>
      </w:pPr>
      <w:r>
        <w:rPr/>
        <w:t>名称：普华永道中天会计师事务所（特殊普通合伙）</w:t>
      </w:r>
    </w:p>
    <w:p>
      <w:pPr>
        <w:pStyle w:val="BodyText"/>
        <w:spacing w:before="6"/>
        <w:rPr>
          <w:sz w:val="15"/>
        </w:rPr>
      </w:pPr>
    </w:p>
    <w:p>
      <w:pPr>
        <w:pStyle w:val="BodyText"/>
        <w:ind w:left="1260"/>
      </w:pPr>
      <w:r>
        <w:rPr/>
        <w:t>注册地址：上海市浦东新区陆家嘴环路 </w:t>
      </w:r>
      <w:r>
        <w:rPr>
          <w:rFonts w:ascii="Times New Roman" w:eastAsia="Times New Roman"/>
        </w:rPr>
        <w:t>1318 </w:t>
      </w:r>
      <w:r>
        <w:rPr/>
        <w:t>号星展银行大厦 </w:t>
      </w:r>
      <w:r>
        <w:rPr>
          <w:rFonts w:ascii="Times New Roman" w:eastAsia="Times New Roman"/>
        </w:rPr>
        <w:t>6 </w:t>
      </w:r>
      <w:r>
        <w:rPr/>
        <w:t>楼</w:t>
      </w:r>
    </w:p>
    <w:p>
      <w:pPr>
        <w:pStyle w:val="BodyText"/>
        <w:spacing w:before="7"/>
        <w:rPr>
          <w:sz w:val="15"/>
        </w:rPr>
      </w:pPr>
    </w:p>
    <w:p>
      <w:pPr>
        <w:pStyle w:val="BodyText"/>
        <w:spacing w:line="417" w:lineRule="auto"/>
        <w:ind w:left="1260" w:right="4064"/>
      </w:pPr>
      <w:r>
        <w:rPr>
          <w:spacing w:val="-7"/>
        </w:rPr>
        <w:t>办公地址：上海市湖滨路 </w:t>
      </w:r>
      <w:r>
        <w:rPr>
          <w:rFonts w:ascii="Times New Roman" w:eastAsia="Times New Roman"/>
        </w:rPr>
        <w:t>202</w:t>
      </w:r>
      <w:r>
        <w:rPr>
          <w:rFonts w:ascii="Times New Roman" w:eastAsia="Times New Roman"/>
          <w:spacing w:val="7"/>
        </w:rPr>
        <w:t> </w:t>
      </w:r>
      <w:r>
        <w:rPr>
          <w:spacing w:val="-9"/>
        </w:rPr>
        <w:t>号普华永道中心 </w:t>
      </w:r>
      <w:r>
        <w:rPr>
          <w:rFonts w:ascii="Times New Roman" w:eastAsia="Times New Roman"/>
          <w:spacing w:val="-4"/>
        </w:rPr>
        <w:t>11</w:t>
      </w:r>
      <w:r>
        <w:rPr>
          <w:rFonts w:ascii="Times New Roman" w:eastAsia="Times New Roman"/>
          <w:spacing w:val="2"/>
        </w:rPr>
        <w:t> </w:t>
      </w:r>
      <w:r>
        <w:rPr/>
        <w:t>楼</w:t>
      </w:r>
      <w:r>
        <w:rPr>
          <w:spacing w:val="-3"/>
        </w:rPr>
        <w:t>执行事务合伙人：李丹</w:t>
      </w:r>
    </w:p>
    <w:p>
      <w:pPr>
        <w:pStyle w:val="BodyText"/>
        <w:spacing w:line="417" w:lineRule="auto"/>
        <w:ind w:left="1260" w:right="6263"/>
        <w:rPr>
          <w:rFonts w:ascii="Times New Roman" w:eastAsia="Times New Roman"/>
        </w:rPr>
      </w:pPr>
      <w:r>
        <w:rPr>
          <w:spacing w:val="-23"/>
          <w:w w:val="100"/>
        </w:rPr>
        <w:t>联系电话：</w:t>
      </w:r>
      <w:r>
        <w:rPr>
          <w:spacing w:val="-2"/>
          <w:w w:val="100"/>
        </w:rPr>
        <w:t>（</w:t>
      </w:r>
      <w:r>
        <w:rPr>
          <w:rFonts w:ascii="Times New Roman" w:eastAsia="Times New Roman"/>
          <w:spacing w:val="-1"/>
          <w:w w:val="100"/>
        </w:rPr>
        <w:t>02</w:t>
      </w:r>
      <w:r>
        <w:rPr>
          <w:rFonts w:ascii="Times New Roman" w:eastAsia="Times New Roman"/>
          <w:spacing w:val="-4"/>
          <w:w w:val="100"/>
        </w:rPr>
        <w:t>1</w:t>
      </w:r>
      <w:r>
        <w:rPr>
          <w:spacing w:val="-1"/>
          <w:w w:val="100"/>
        </w:rPr>
        <w:t>）</w:t>
      </w:r>
      <w:r>
        <w:rPr>
          <w:rFonts w:ascii="Times New Roman" w:eastAsia="Times New Roman"/>
          <w:spacing w:val="-1"/>
          <w:w w:val="100"/>
        </w:rPr>
        <w:t>2</w:t>
      </w:r>
      <w:r>
        <w:rPr>
          <w:rFonts w:ascii="Times New Roman" w:eastAsia="Times New Roman"/>
          <w:spacing w:val="-4"/>
          <w:w w:val="100"/>
        </w:rPr>
        <w:t>3</w:t>
      </w:r>
      <w:r>
        <w:rPr>
          <w:rFonts w:ascii="Times New Roman" w:eastAsia="Times New Roman"/>
          <w:spacing w:val="-1"/>
          <w:w w:val="100"/>
        </w:rPr>
        <w:t>238</w:t>
      </w:r>
      <w:r>
        <w:rPr>
          <w:rFonts w:ascii="Times New Roman" w:eastAsia="Times New Roman"/>
          <w:spacing w:val="-4"/>
          <w:w w:val="100"/>
        </w:rPr>
        <w:t>88</w:t>
      </w:r>
      <w:r>
        <w:rPr>
          <w:rFonts w:ascii="Times New Roman" w:eastAsia="Times New Roman"/>
          <w:spacing w:val="-1"/>
          <w:w w:val="100"/>
        </w:rPr>
        <w:t>8</w:t>
      </w:r>
      <w:r>
        <w:rPr>
          <w:spacing w:val="-36"/>
          <w:w w:val="100"/>
        </w:rPr>
        <w:t>传真：</w:t>
      </w:r>
      <w:r>
        <w:rPr>
          <w:spacing w:val="-1"/>
          <w:w w:val="100"/>
        </w:rPr>
        <w:t>（</w:t>
      </w:r>
      <w:r>
        <w:rPr>
          <w:rFonts w:ascii="Times New Roman" w:eastAsia="Times New Roman"/>
          <w:w w:val="100"/>
        </w:rPr>
        <w:t>02</w:t>
      </w:r>
      <w:r>
        <w:rPr>
          <w:rFonts w:ascii="Times New Roman" w:eastAsia="Times New Roman"/>
          <w:spacing w:val="-3"/>
          <w:w w:val="100"/>
        </w:rPr>
        <w:t>1</w:t>
      </w:r>
      <w:r>
        <w:rPr>
          <w:w w:val="100"/>
        </w:rPr>
        <w:t>）</w:t>
      </w:r>
      <w:r>
        <w:rPr>
          <w:rFonts w:ascii="Times New Roman" w:eastAsia="Times New Roman"/>
          <w:w w:val="100"/>
        </w:rPr>
        <w:t>2</w:t>
      </w:r>
      <w:r>
        <w:rPr>
          <w:rFonts w:ascii="Times New Roman" w:eastAsia="Times New Roman"/>
          <w:spacing w:val="-3"/>
          <w:w w:val="100"/>
        </w:rPr>
        <w:t>3</w:t>
      </w:r>
      <w:r>
        <w:rPr>
          <w:rFonts w:ascii="Times New Roman" w:eastAsia="Times New Roman"/>
          <w:w w:val="100"/>
        </w:rPr>
        <w:t>238</w:t>
      </w:r>
      <w:r>
        <w:rPr>
          <w:rFonts w:ascii="Times New Roman" w:eastAsia="Times New Roman"/>
          <w:spacing w:val="-3"/>
          <w:w w:val="100"/>
        </w:rPr>
        <w:t>8</w:t>
      </w:r>
      <w:r>
        <w:rPr>
          <w:rFonts w:ascii="Times New Roman" w:eastAsia="Times New Roman"/>
          <w:w w:val="100"/>
        </w:rPr>
        <w:t>00</w:t>
      </w:r>
    </w:p>
    <w:p>
      <w:pPr>
        <w:pStyle w:val="BodyText"/>
        <w:ind w:right="5838"/>
        <w:jc w:val="right"/>
      </w:pPr>
      <w:r>
        <w:rPr/>
        <w:t>经办注册会计师：单峰、陈薇瑶</w:t>
      </w:r>
    </w:p>
    <w:p>
      <w:pPr>
        <w:spacing w:after="0"/>
        <w:jc w:val="right"/>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60"/>
      </w:pPr>
      <w:bookmarkStart w:name="_TOC_250018" w:id="6"/>
      <w:bookmarkEnd w:id="6"/>
      <w:r>
        <w:rPr/>
        <w:t>六、基金的申购、赎回、转换及其他注册登记业务</w:t>
      </w:r>
    </w:p>
    <w:p>
      <w:pPr>
        <w:pStyle w:val="BodyText"/>
        <w:spacing w:before="12"/>
        <w:rPr>
          <w:rFonts w:ascii="黑体"/>
          <w:b/>
          <w:sz w:val="41"/>
        </w:rPr>
      </w:pPr>
    </w:p>
    <w:p>
      <w:pPr>
        <w:pStyle w:val="BodyText"/>
        <w:spacing w:line="417" w:lineRule="auto"/>
        <w:ind w:left="840" w:right="894" w:firstLine="419"/>
      </w:pPr>
      <w:r>
        <w:rPr>
          <w:spacing w:val="-27"/>
        </w:rPr>
        <w:t>本基金由基金管理人依照《基金法》、《运作办法》、《销售办法》、基金合同及其他有关</w:t>
      </w:r>
      <w:r>
        <w:rPr>
          <w:spacing w:val="-13"/>
        </w:rPr>
        <w:t>规定，并经中国证监会 </w:t>
      </w:r>
      <w:r>
        <w:rPr/>
        <w:t>2006</w:t>
      </w:r>
      <w:r>
        <w:rPr>
          <w:spacing w:val="-36"/>
        </w:rPr>
        <w:t> 年 </w:t>
      </w:r>
      <w:r>
        <w:rPr/>
        <w:t>5</w:t>
      </w:r>
      <w:r>
        <w:rPr>
          <w:spacing w:val="-35"/>
        </w:rPr>
        <w:t> 月 </w:t>
      </w:r>
      <w:r>
        <w:rPr/>
        <w:t>11</w:t>
      </w:r>
      <w:r>
        <w:rPr>
          <w:spacing w:val="-10"/>
        </w:rPr>
        <w:t> 日证监基金字</w:t>
      </w:r>
      <w:r>
        <w:rPr/>
        <w:t>[2006]89</w:t>
      </w:r>
      <w:r>
        <w:rPr>
          <w:spacing w:val="-9"/>
        </w:rPr>
        <w:t> 号文核准募集。</w:t>
      </w:r>
    </w:p>
    <w:p>
      <w:pPr>
        <w:pStyle w:val="BodyText"/>
        <w:spacing w:line="269" w:lineRule="exact"/>
        <w:ind w:left="1260"/>
      </w:pPr>
      <w:r>
        <w:rPr/>
        <w:t>本基金为契约型开放式基金。基金存续期限为不定期。</w:t>
      </w:r>
    </w:p>
    <w:p>
      <w:pPr>
        <w:pStyle w:val="BodyText"/>
        <w:rPr>
          <w:sz w:val="20"/>
        </w:rPr>
      </w:pPr>
    </w:p>
    <w:p>
      <w:pPr>
        <w:pStyle w:val="BodyText"/>
        <w:rPr>
          <w:sz w:val="20"/>
        </w:rPr>
      </w:pPr>
    </w:p>
    <w:p>
      <w:pPr>
        <w:pStyle w:val="Heading4"/>
        <w:spacing w:before="155"/>
      </w:pPr>
      <w:r>
        <w:rPr/>
        <w:t>一、基金投资者范围</w:t>
      </w:r>
    </w:p>
    <w:p>
      <w:pPr>
        <w:pStyle w:val="BodyText"/>
        <w:spacing w:before="6"/>
        <w:rPr>
          <w:b/>
          <w:sz w:val="15"/>
        </w:rPr>
      </w:pPr>
    </w:p>
    <w:p>
      <w:pPr>
        <w:pStyle w:val="BodyText"/>
        <w:spacing w:line="417" w:lineRule="auto" w:before="1"/>
        <w:ind w:left="840" w:right="891" w:firstLine="419"/>
      </w:pPr>
      <w:r>
        <w:rPr>
          <w:spacing w:val="-8"/>
        </w:rPr>
        <w:t>中华人民共和国境内的个人投资者和机构投资者</w:t>
      </w:r>
      <w:r>
        <w:rPr/>
        <w:t>（</w:t>
      </w:r>
      <w:r>
        <w:rPr>
          <w:spacing w:val="-3"/>
        </w:rPr>
        <w:t>法律法规禁止投资证券投资基金的除外）及合格境外机构投资者。</w:t>
      </w:r>
    </w:p>
    <w:p>
      <w:pPr>
        <w:pStyle w:val="BodyText"/>
        <w:rPr>
          <w:sz w:val="20"/>
        </w:rPr>
      </w:pPr>
    </w:p>
    <w:p>
      <w:pPr>
        <w:pStyle w:val="BodyText"/>
        <w:spacing w:before="6"/>
        <w:rPr>
          <w:sz w:val="16"/>
        </w:rPr>
      </w:pPr>
    </w:p>
    <w:p>
      <w:pPr>
        <w:pStyle w:val="Heading4"/>
      </w:pPr>
      <w:r>
        <w:rPr/>
        <w:t>二、申购、赎回与转换场所</w:t>
      </w:r>
    </w:p>
    <w:p>
      <w:pPr>
        <w:pStyle w:val="BodyText"/>
        <w:spacing w:before="7"/>
        <w:rPr>
          <w:b/>
          <w:sz w:val="15"/>
        </w:rPr>
      </w:pPr>
    </w:p>
    <w:p>
      <w:pPr>
        <w:pStyle w:val="BodyText"/>
        <w:ind w:left="1260"/>
      </w:pPr>
      <w:r>
        <w:rPr/>
        <w:t>本基金的销售机构包括基金管理人和基金管理人委托的代销机构。</w:t>
      </w:r>
    </w:p>
    <w:p>
      <w:pPr>
        <w:pStyle w:val="BodyText"/>
        <w:spacing w:before="6"/>
        <w:rPr>
          <w:sz w:val="15"/>
        </w:rPr>
      </w:pPr>
    </w:p>
    <w:p>
      <w:pPr>
        <w:pStyle w:val="BodyText"/>
        <w:spacing w:line="417" w:lineRule="auto" w:before="1"/>
        <w:ind w:left="840" w:right="797" w:firstLine="419"/>
      </w:pPr>
      <w:r>
        <w:rPr>
          <w:spacing w:val="-8"/>
        </w:rPr>
        <w:t>基金管理人可根据情况变更或增减销售机构，并在管理人网站公示。基金投资者应当在</w:t>
      </w:r>
      <w:r>
        <w:rPr>
          <w:spacing w:val="-5"/>
        </w:rPr>
        <w:t>销售机构办理基金销售业务的营业场所或按销售机构提供的其他方式办理基金份额的申购、</w:t>
      </w:r>
      <w:r>
        <w:rPr>
          <w:spacing w:val="-4"/>
        </w:rPr>
        <w:t>赎回与转换。</w:t>
      </w:r>
    </w:p>
    <w:p>
      <w:pPr>
        <w:pStyle w:val="BodyText"/>
        <w:rPr>
          <w:sz w:val="20"/>
        </w:rPr>
      </w:pPr>
    </w:p>
    <w:p>
      <w:pPr>
        <w:pStyle w:val="BodyText"/>
        <w:spacing w:before="6"/>
        <w:rPr>
          <w:sz w:val="16"/>
        </w:rPr>
      </w:pPr>
    </w:p>
    <w:p>
      <w:pPr>
        <w:pStyle w:val="Heading4"/>
      </w:pPr>
      <w:r>
        <w:rPr/>
        <w:t>三、申购与赎回的开放日及时间</w:t>
      </w:r>
    </w:p>
    <w:p>
      <w:pPr>
        <w:pStyle w:val="BodyText"/>
        <w:spacing w:before="7"/>
        <w:rPr>
          <w:b/>
          <w:sz w:val="15"/>
        </w:rPr>
      </w:pPr>
    </w:p>
    <w:p>
      <w:pPr>
        <w:pStyle w:val="BodyText"/>
        <w:ind w:left="1260"/>
      </w:pPr>
      <w:r>
        <w:rPr/>
        <w:t>本基金于 2006 年 6 月 28 日起基金合同生效，已于 2006 年 8 月 4 日起开始办理日常申</w:t>
      </w:r>
    </w:p>
    <w:p>
      <w:pPr>
        <w:pStyle w:val="BodyText"/>
        <w:spacing w:before="7"/>
        <w:rPr>
          <w:sz w:val="15"/>
        </w:rPr>
      </w:pPr>
    </w:p>
    <w:p>
      <w:pPr>
        <w:pStyle w:val="BodyText"/>
        <w:spacing w:line="417" w:lineRule="auto"/>
        <w:ind w:left="840" w:right="895"/>
      </w:pPr>
      <w:r>
        <w:rPr>
          <w:spacing w:val="-10"/>
        </w:rPr>
        <w:t>购业务，从 </w:t>
      </w:r>
      <w:r>
        <w:rPr/>
        <w:t>2006</w:t>
      </w:r>
      <w:r>
        <w:rPr>
          <w:spacing w:val="-35"/>
        </w:rPr>
        <w:t> 年 </w:t>
      </w:r>
      <w:r>
        <w:rPr/>
        <w:t>8</w:t>
      </w:r>
      <w:r>
        <w:rPr>
          <w:spacing w:val="-34"/>
        </w:rPr>
        <w:t> 月 </w:t>
      </w:r>
      <w:r>
        <w:rPr/>
        <w:t>29</w:t>
      </w:r>
      <w:r>
        <w:rPr>
          <w:spacing w:val="-12"/>
        </w:rPr>
        <w:t> 日起开始办理日常赎回业务, 并于 </w:t>
      </w:r>
      <w:r>
        <w:rPr/>
        <w:t>2009</w:t>
      </w:r>
      <w:r>
        <w:rPr>
          <w:spacing w:val="-34"/>
        </w:rPr>
        <w:t> 年 </w:t>
      </w:r>
      <w:r>
        <w:rPr/>
        <w:t>10</w:t>
      </w:r>
      <w:r>
        <w:rPr>
          <w:spacing w:val="-36"/>
        </w:rPr>
        <w:t> 月 </w:t>
      </w:r>
      <w:r>
        <w:rPr/>
        <w:t>30</w:t>
      </w:r>
      <w:r>
        <w:rPr>
          <w:spacing w:val="-10"/>
        </w:rPr>
        <w:t> 日开通了本</w:t>
      </w:r>
      <w:r>
        <w:rPr>
          <w:spacing w:val="-5"/>
        </w:rPr>
        <w:t>基金与基金管理人旗下部分基金在直销机构和部分代销机构的基金转换业务。</w:t>
      </w:r>
    </w:p>
    <w:p>
      <w:pPr>
        <w:pStyle w:val="BodyText"/>
        <w:spacing w:line="417" w:lineRule="auto"/>
        <w:ind w:left="840" w:right="785" w:firstLine="419"/>
      </w:pPr>
      <w:r>
        <w:rPr>
          <w:spacing w:val="-9"/>
        </w:rPr>
        <w:t>投资者应当在开放日办理申购、赎回与转换申请。本基金为投资者办理申购、赎回与转</w:t>
      </w:r>
      <w:r>
        <w:rPr>
          <w:spacing w:val="-6"/>
        </w:rPr>
        <w:t>换等基金业务的时间</w:t>
      </w:r>
      <w:r>
        <w:rPr/>
        <w:t>（</w:t>
      </w:r>
      <w:r>
        <w:rPr>
          <w:spacing w:val="-2"/>
        </w:rPr>
        <w:t>开放日</w:t>
      </w:r>
      <w:r>
        <w:rPr>
          <w:spacing w:val="-27"/>
        </w:rPr>
        <w:t>）</w:t>
      </w:r>
      <w:r>
        <w:rPr>
          <w:spacing w:val="-7"/>
        </w:rPr>
        <w:t>为上海证券交易所、深圳证券交易所的交易日。开放日的具</w:t>
      </w:r>
      <w:r>
        <w:rPr>
          <w:spacing w:val="-10"/>
        </w:rPr>
        <w:t>体业务办理时间为上海证券交易所、深圳证券交易所的交易时间。投资者在基金合同约定之</w:t>
      </w:r>
      <w:r>
        <w:rPr>
          <w:spacing w:val="-15"/>
        </w:rPr>
        <w:t>外的日期和时间提出申购、赎回或者转换申请且注册登记机构确认接收的，其基金份额申购、</w:t>
      </w:r>
      <w:r>
        <w:rPr>
          <w:spacing w:val="-7"/>
        </w:rPr>
        <w:t>赎回、转换价格为下一开放日的相应价格。</w:t>
      </w:r>
    </w:p>
    <w:p>
      <w:pPr>
        <w:pStyle w:val="BodyText"/>
        <w:spacing w:line="417" w:lineRule="auto"/>
        <w:ind w:left="840" w:right="891" w:firstLine="419"/>
        <w:jc w:val="both"/>
      </w:pPr>
      <w:r>
        <w:rPr/>
        <w:t>若出现新的证券交易市场或交易所交易时间更改或实际情况需要，基金管理人可对申</w:t>
      </w:r>
      <w:r>
        <w:rPr>
          <w:spacing w:val="-10"/>
        </w:rPr>
        <w:t>购、赎回与转换交易时间进行调整，并应当依照《信息披露办法》的有关规定中国证监会指</w:t>
      </w:r>
      <w:r>
        <w:rPr>
          <w:spacing w:val="-5"/>
        </w:rPr>
        <w:t>定媒介公告。</w:t>
      </w:r>
    </w:p>
    <w:p>
      <w:pPr>
        <w:spacing w:after="0" w:line="417" w:lineRule="auto"/>
        <w:jc w:val="both"/>
        <w:sectPr>
          <w:pgSz w:w="11910" w:h="16840"/>
          <w:pgMar w:header="877" w:footer="995" w:top="1100" w:bottom="1180" w:left="960" w:right="900"/>
        </w:sectPr>
      </w:pPr>
    </w:p>
    <w:p>
      <w:pPr>
        <w:pStyle w:val="BodyText"/>
        <w:spacing w:before="4"/>
        <w:rPr>
          <w:sz w:val="27"/>
        </w:rPr>
      </w:pPr>
    </w:p>
    <w:p>
      <w:pPr>
        <w:pStyle w:val="Heading4"/>
        <w:spacing w:before="71"/>
      </w:pPr>
      <w:r>
        <w:rPr/>
        <w:t>四、申购、赎回与转换的原则</w:t>
      </w:r>
    </w:p>
    <w:p>
      <w:pPr>
        <w:pStyle w:val="BodyText"/>
        <w:spacing w:before="7"/>
        <w:rPr>
          <w:b/>
          <w:sz w:val="15"/>
        </w:rPr>
      </w:pPr>
    </w:p>
    <w:p>
      <w:pPr>
        <w:pStyle w:val="BodyText"/>
        <w:spacing w:line="417" w:lineRule="auto"/>
        <w:ind w:left="840" w:right="891" w:firstLine="419"/>
      </w:pPr>
      <w:r>
        <w:rPr>
          <w:rFonts w:ascii="Times New Roman" w:hAnsi="Times New Roman" w:eastAsia="Times New Roman"/>
        </w:rPr>
        <w:t>1</w:t>
      </w:r>
      <w:r>
        <w:rPr>
          <w:spacing w:val="-17"/>
        </w:rPr>
        <w:t>、“未知价”原则，即申购、赎回、转换价格以申请当日的基金份额净值为基准进行计算；</w:t>
      </w:r>
    </w:p>
    <w:p>
      <w:pPr>
        <w:pStyle w:val="BodyText"/>
        <w:spacing w:line="269" w:lineRule="exact"/>
        <w:ind w:left="1260"/>
      </w:pPr>
      <w:r>
        <w:rPr>
          <w:rFonts w:ascii="Times New Roman" w:hAnsi="Times New Roman" w:eastAsia="Times New Roman"/>
        </w:rPr>
        <w:t>2</w:t>
      </w:r>
      <w:r>
        <w:rPr/>
        <w:t>、“金额申购、份额赎回”原则，即申购以金额申请，赎回、转换以份额申请；</w:t>
      </w:r>
    </w:p>
    <w:p>
      <w:pPr>
        <w:pStyle w:val="BodyText"/>
        <w:spacing w:before="7"/>
        <w:rPr>
          <w:sz w:val="15"/>
        </w:rPr>
      </w:pPr>
    </w:p>
    <w:p>
      <w:pPr>
        <w:pStyle w:val="BodyText"/>
        <w:spacing w:line="417" w:lineRule="auto"/>
        <w:ind w:left="840" w:right="893" w:firstLine="419"/>
      </w:pPr>
      <w:r>
        <w:rPr>
          <w:rFonts w:ascii="Times New Roman" w:eastAsia="Times New Roman"/>
        </w:rPr>
        <w:t>3</w:t>
      </w:r>
      <w:r>
        <w:rPr/>
        <w:t>、当日的申购、赎回与转换申请可以在当日业务办理时间结束前撤销，在当日的业务办理时间结束后不得撤销；</w:t>
      </w:r>
    </w:p>
    <w:p>
      <w:pPr>
        <w:pStyle w:val="BodyText"/>
        <w:spacing w:line="417" w:lineRule="auto"/>
        <w:ind w:left="840" w:right="893" w:firstLine="419"/>
        <w:jc w:val="both"/>
      </w:pPr>
      <w:r>
        <w:rPr>
          <w:rFonts w:ascii="Times New Roman" w:eastAsia="Times New Roman"/>
        </w:rPr>
        <w:t>4</w:t>
      </w:r>
      <w:r>
        <w:rPr>
          <w:spacing w:val="-7"/>
        </w:rPr>
        <w:t>、投资者提交赎回、转换申请时，由系统自动识别先前认购</w:t>
      </w:r>
      <w:r>
        <w:rPr>
          <w:rFonts w:ascii="Times New Roman" w:eastAsia="Times New Roman"/>
        </w:rPr>
        <w:t>/</w:t>
      </w:r>
      <w:r>
        <w:rPr>
          <w:spacing w:val="-5"/>
        </w:rPr>
        <w:t>申购基金份额的时间，按每笔交易的具体时间来计算持有期限，系统会采取先进先出法，即先认购</w:t>
      </w:r>
      <w:r>
        <w:rPr>
          <w:rFonts w:ascii="Times New Roman" w:eastAsia="Times New Roman"/>
        </w:rPr>
        <w:t>/</w:t>
      </w:r>
      <w:r>
        <w:rPr>
          <w:spacing w:val="-2"/>
        </w:rPr>
        <w:t>申购的基金份额</w:t>
      </w:r>
      <w:r>
        <w:rPr>
          <w:spacing w:val="-3"/>
        </w:rPr>
        <w:t>会先赎回或转换，按不同的持有期限分别计算收取赎回费；</w:t>
      </w:r>
    </w:p>
    <w:p>
      <w:pPr>
        <w:pStyle w:val="BodyText"/>
        <w:spacing w:line="417" w:lineRule="auto"/>
        <w:ind w:left="840" w:right="785" w:firstLine="419"/>
      </w:pPr>
      <w:r>
        <w:rPr>
          <w:rFonts w:ascii="Times New Roman" w:eastAsia="Times New Roman"/>
        </w:rPr>
        <w:t>5</w:t>
      </w:r>
      <w:r>
        <w:rPr>
          <w:spacing w:val="-12"/>
        </w:rPr>
        <w:t>、投资者可在同时代理转出基金及转入目标基金销售的销售机构处办理基金转换业务。</w:t>
      </w:r>
      <w:r>
        <w:rPr>
          <w:spacing w:val="-10"/>
        </w:rPr>
        <w:t>转换的两只基金必须都是该销售机构代理的同一基金管理人管理的、在同一注册登记人处注</w:t>
      </w:r>
      <w:r>
        <w:rPr>
          <w:spacing w:val="-5"/>
        </w:rPr>
        <w:t>册登记的基金；</w:t>
      </w:r>
    </w:p>
    <w:p>
      <w:pPr>
        <w:pStyle w:val="BodyText"/>
        <w:spacing w:line="417" w:lineRule="auto"/>
        <w:ind w:left="840" w:right="891" w:firstLine="419"/>
        <w:jc w:val="both"/>
      </w:pPr>
      <w:r>
        <w:rPr>
          <w:rFonts w:ascii="Times New Roman" w:eastAsia="Times New Roman"/>
        </w:rPr>
        <w:t>6</w:t>
      </w:r>
      <w:r>
        <w:rPr>
          <w:spacing w:val="-3"/>
        </w:rPr>
        <w:t>、基金转换转出后剩余份额不产生强制赎回；基金转换转入金额不受转入基金首次申</w:t>
      </w:r>
      <w:r>
        <w:rPr>
          <w:spacing w:val="-10"/>
        </w:rPr>
        <w:t>购及追加数额限制，基金转换转出后，原持有时间将不延续计算，若转换申请当日同时有赎</w:t>
      </w:r>
      <w:r>
        <w:rPr>
          <w:spacing w:val="-5"/>
        </w:rPr>
        <w:t>回申请，则遵循先赎回后转换的处理原则；</w:t>
      </w:r>
    </w:p>
    <w:p>
      <w:pPr>
        <w:pStyle w:val="BodyText"/>
        <w:spacing w:line="417" w:lineRule="auto"/>
        <w:ind w:left="840" w:right="893" w:firstLine="419"/>
        <w:jc w:val="both"/>
      </w:pPr>
      <w:r>
        <w:rPr>
          <w:rFonts w:ascii="Times New Roman" w:eastAsia="Times New Roman"/>
        </w:rPr>
        <w:t>7</w:t>
      </w:r>
      <w:r>
        <w:rPr>
          <w:spacing w:val="-3"/>
        </w:rPr>
        <w:t>、基金管理人可根据基金运作的实际情况并在不影响基金份额持有人实质利益的前提</w:t>
      </w:r>
      <w:r>
        <w:rPr>
          <w:spacing w:val="-10"/>
        </w:rPr>
        <w:t>下调整上述原则。基金管理人应当依照《信息披露办法》的有关规定在中国证监会指定媒介</w:t>
      </w:r>
      <w:r>
        <w:rPr/>
        <w:t>公告。</w:t>
      </w:r>
    </w:p>
    <w:p>
      <w:pPr>
        <w:pStyle w:val="BodyText"/>
        <w:rPr>
          <w:sz w:val="20"/>
        </w:rPr>
      </w:pPr>
    </w:p>
    <w:p>
      <w:pPr>
        <w:pStyle w:val="BodyText"/>
        <w:spacing w:before="5"/>
        <w:rPr>
          <w:sz w:val="16"/>
        </w:rPr>
      </w:pPr>
    </w:p>
    <w:p>
      <w:pPr>
        <w:pStyle w:val="Heading4"/>
      </w:pPr>
      <w:r>
        <w:rPr/>
        <w:t>五、申购、赎回与转换的程序</w:t>
      </w:r>
    </w:p>
    <w:p>
      <w:pPr>
        <w:pStyle w:val="BodyText"/>
        <w:spacing w:before="7"/>
        <w:rPr>
          <w:b/>
          <w:sz w:val="15"/>
        </w:rPr>
      </w:pPr>
    </w:p>
    <w:p>
      <w:pPr>
        <w:pStyle w:val="BodyText"/>
        <w:ind w:left="840"/>
      </w:pPr>
      <w:r>
        <w:rPr>
          <w:rFonts w:ascii="Times New Roman" w:eastAsia="Times New Roman"/>
        </w:rPr>
        <w:t>1</w:t>
      </w:r>
      <w:r>
        <w:rPr/>
        <w:t>、申购、赎回与转换的申请方式</w:t>
      </w:r>
    </w:p>
    <w:p>
      <w:pPr>
        <w:pStyle w:val="BodyText"/>
        <w:spacing w:before="7"/>
        <w:rPr>
          <w:sz w:val="15"/>
        </w:rPr>
      </w:pPr>
    </w:p>
    <w:p>
      <w:pPr>
        <w:pStyle w:val="BodyText"/>
        <w:spacing w:line="417" w:lineRule="auto"/>
        <w:ind w:left="840" w:right="891" w:firstLine="419"/>
      </w:pPr>
      <w:r>
        <w:rPr>
          <w:spacing w:val="-8"/>
        </w:rPr>
        <w:t>基金投资者必须根据基金销售机构规定的程序，在开放日的业务办理时间向基金销售机</w:t>
      </w:r>
      <w:r>
        <w:rPr>
          <w:spacing w:val="-5"/>
        </w:rPr>
        <w:t>构提出申购、赎回或转换的申请。</w:t>
      </w:r>
    </w:p>
    <w:p>
      <w:pPr>
        <w:pStyle w:val="BodyText"/>
        <w:spacing w:line="417" w:lineRule="auto"/>
        <w:ind w:left="840" w:right="891" w:firstLine="419"/>
        <w:jc w:val="both"/>
      </w:pPr>
      <w:r>
        <w:rPr>
          <w:spacing w:val="-7"/>
        </w:rPr>
        <w:t>投资者在申购本基金时须按销售机构规定的方式备足申购资金，投资者在提交赎回、转</w:t>
      </w:r>
      <w:r>
        <w:rPr>
          <w:spacing w:val="-12"/>
        </w:rPr>
        <w:t>换申请时，必须有足够的基金份额余额，否则所提交的申购、赎回、转换申请无效而不予成交。</w:t>
      </w:r>
    </w:p>
    <w:p>
      <w:pPr>
        <w:pStyle w:val="BodyText"/>
        <w:spacing w:line="269" w:lineRule="exact"/>
        <w:ind w:left="840"/>
      </w:pPr>
      <w:r>
        <w:rPr>
          <w:rFonts w:ascii="Times New Roman" w:eastAsia="Times New Roman"/>
        </w:rPr>
        <w:t>2</w:t>
      </w:r>
      <w:r>
        <w:rPr/>
        <w:t>、申购、赎回与转换申请的确认</w:t>
      </w:r>
    </w:p>
    <w:p>
      <w:pPr>
        <w:pStyle w:val="BodyText"/>
        <w:spacing w:before="7"/>
        <w:rPr>
          <w:sz w:val="15"/>
        </w:rPr>
      </w:pPr>
    </w:p>
    <w:p>
      <w:pPr>
        <w:pStyle w:val="BodyText"/>
        <w:spacing w:line="417" w:lineRule="auto"/>
        <w:ind w:left="840" w:right="891" w:firstLine="419"/>
        <w:jc w:val="both"/>
      </w:pPr>
      <w:r>
        <w:rPr>
          <w:rFonts w:ascii="Times New Roman" w:eastAsia="Times New Roman"/>
        </w:rPr>
        <w:t>T </w:t>
      </w:r>
      <w:r>
        <w:rPr>
          <w:spacing w:val="-13"/>
        </w:rPr>
        <w:t>日规定时间受理的申请，正常情况下，基金注册登记机构在 </w:t>
      </w:r>
      <w:r>
        <w:rPr>
          <w:rFonts w:ascii="Times New Roman" w:eastAsia="Times New Roman"/>
        </w:rPr>
        <w:t>T+1 </w:t>
      </w:r>
      <w:r>
        <w:rPr>
          <w:spacing w:val="-3"/>
        </w:rPr>
        <w:t>日内为投资者对该交</w:t>
      </w:r>
      <w:r>
        <w:rPr/>
        <w:t>易的有效性进行确认，在</w:t>
      </w:r>
      <w:r>
        <w:rPr>
          <w:rFonts w:ascii="Times New Roman" w:eastAsia="Times New Roman"/>
        </w:rPr>
        <w:t>T</w:t>
      </w:r>
      <w:r>
        <w:rPr/>
        <w:t>＋</w:t>
      </w:r>
      <w:r>
        <w:rPr>
          <w:rFonts w:ascii="Times New Roman" w:eastAsia="Times New Roman"/>
        </w:rPr>
        <w:t>2 </w:t>
      </w:r>
      <w:r>
        <w:rPr>
          <w:spacing w:val="-4"/>
        </w:rPr>
        <w:t>日后</w:t>
      </w:r>
      <w:r>
        <w:rPr/>
        <w:t>（</w:t>
      </w:r>
      <w:r>
        <w:rPr>
          <w:spacing w:val="-3"/>
        </w:rPr>
        <w:t>包括该日</w:t>
      </w:r>
      <w:r>
        <w:rPr>
          <w:spacing w:val="-5"/>
        </w:rPr>
        <w:t>）</w:t>
      </w:r>
      <w:r>
        <w:rPr>
          <w:spacing w:val="-3"/>
        </w:rPr>
        <w:t>投资者可向销售机构或以销售机构规定的其他方式查询申购、赎回与转换的成交情况。</w:t>
      </w:r>
    </w:p>
    <w:p>
      <w:pPr>
        <w:spacing w:after="0" w:line="417" w:lineRule="auto"/>
        <w:jc w:val="both"/>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firstLine="419"/>
      </w:pPr>
      <w:r>
        <w:rPr>
          <w:spacing w:val="-7"/>
        </w:rPr>
        <w:t>基金销售机构对申请的受理并不代表该申请一定成功，而仅代表销售机构确实收到该笔</w:t>
      </w:r>
      <w:r>
        <w:rPr>
          <w:spacing w:val="-5"/>
        </w:rPr>
        <w:t>申请。申请的确认以基金注册登记机构的确认结果为准。</w:t>
      </w:r>
    </w:p>
    <w:p>
      <w:pPr>
        <w:pStyle w:val="BodyText"/>
        <w:spacing w:line="269" w:lineRule="exact"/>
        <w:ind w:left="840"/>
      </w:pPr>
      <w:r>
        <w:rPr>
          <w:rFonts w:ascii="Times New Roman" w:eastAsia="Times New Roman"/>
        </w:rPr>
        <w:t>3</w:t>
      </w:r>
      <w:r>
        <w:rPr/>
        <w:t>、申购和赎回的款项支付</w:t>
      </w:r>
    </w:p>
    <w:p>
      <w:pPr>
        <w:pStyle w:val="BodyText"/>
        <w:spacing w:before="7"/>
        <w:rPr>
          <w:sz w:val="15"/>
        </w:rPr>
      </w:pPr>
    </w:p>
    <w:p>
      <w:pPr>
        <w:pStyle w:val="BodyText"/>
        <w:spacing w:line="417" w:lineRule="auto"/>
        <w:ind w:left="840" w:right="891" w:firstLine="419"/>
      </w:pPr>
      <w:r>
        <w:rPr>
          <w:spacing w:val="-10"/>
        </w:rPr>
        <w:t>申购采用全额缴款方式，若申购资金在规定时间内未全额到账则申购不成功，若申购不</w:t>
      </w:r>
      <w:r>
        <w:rPr>
          <w:spacing w:val="-5"/>
        </w:rPr>
        <w:t>成功或无效，申购款项将退回投资者账户。</w:t>
      </w:r>
    </w:p>
    <w:p>
      <w:pPr>
        <w:pStyle w:val="BodyText"/>
        <w:spacing w:line="417" w:lineRule="auto"/>
        <w:ind w:left="840" w:right="891" w:firstLine="419"/>
        <w:jc w:val="both"/>
      </w:pPr>
      <w:r>
        <w:rPr>
          <w:spacing w:val="-6"/>
        </w:rPr>
        <w:t>投资者赎回申请成功后，基金管理人将通过注册登记人在 </w:t>
      </w:r>
      <w:r>
        <w:rPr>
          <w:rFonts w:ascii="Times New Roman" w:eastAsia="Times New Roman"/>
        </w:rPr>
        <w:t>T</w:t>
      </w:r>
      <w:r>
        <w:rPr/>
        <w:t>＋</w:t>
      </w:r>
      <w:r>
        <w:rPr>
          <w:rFonts w:ascii="Times New Roman" w:eastAsia="Times New Roman"/>
        </w:rPr>
        <w:t>7 </w:t>
      </w:r>
      <w:r>
        <w:rPr>
          <w:spacing w:val="-5"/>
        </w:rPr>
        <w:t>日</w:t>
      </w:r>
      <w:r>
        <w:rPr/>
        <w:t>（</w:t>
      </w:r>
      <w:r>
        <w:rPr>
          <w:spacing w:val="-3"/>
        </w:rPr>
        <w:t>包括该日</w:t>
      </w:r>
      <w:r>
        <w:rPr>
          <w:spacing w:val="-5"/>
        </w:rPr>
        <w:t>）</w:t>
      </w:r>
      <w:r>
        <w:rPr>
          <w:spacing w:val="-2"/>
        </w:rPr>
        <w:t>内将赎</w:t>
      </w:r>
      <w:r>
        <w:rPr>
          <w:spacing w:val="-8"/>
        </w:rPr>
        <w:t>回款项划往基金份额持有人账户。在发生巨额赎回的情形时，款项的支付办法参照《基金合</w:t>
      </w:r>
      <w:r>
        <w:rPr>
          <w:spacing w:val="-5"/>
        </w:rPr>
        <w:t>同》的有关条款处理。</w:t>
      </w:r>
    </w:p>
    <w:p>
      <w:pPr>
        <w:pStyle w:val="BodyText"/>
        <w:rPr>
          <w:sz w:val="20"/>
        </w:rPr>
      </w:pPr>
    </w:p>
    <w:p>
      <w:pPr>
        <w:pStyle w:val="BodyText"/>
        <w:spacing w:before="6"/>
        <w:rPr>
          <w:sz w:val="16"/>
        </w:rPr>
      </w:pPr>
    </w:p>
    <w:p>
      <w:pPr>
        <w:pStyle w:val="Heading4"/>
        <w:spacing w:before="1"/>
      </w:pPr>
      <w:r>
        <w:rPr/>
        <w:t>六、申购、赎回、转换的数额限制</w:t>
      </w:r>
    </w:p>
    <w:p>
      <w:pPr>
        <w:pStyle w:val="BodyText"/>
        <w:spacing w:before="6"/>
        <w:rPr>
          <w:b/>
          <w:sz w:val="15"/>
        </w:rPr>
      </w:pPr>
    </w:p>
    <w:p>
      <w:pPr>
        <w:pStyle w:val="BodyText"/>
        <w:spacing w:line="417" w:lineRule="auto"/>
        <w:ind w:left="840" w:right="891" w:firstLine="419"/>
        <w:jc w:val="both"/>
      </w:pPr>
      <w:r>
        <w:rPr>
          <w:rFonts w:ascii="Times New Roman" w:eastAsia="Times New Roman"/>
        </w:rPr>
        <w:t>1</w:t>
      </w:r>
      <w:r>
        <w:rPr>
          <w:spacing w:val="-5"/>
        </w:rPr>
        <w:t>、本基金首次申购、定期定额申购最低限额均为 </w:t>
      </w:r>
      <w:r>
        <w:rPr>
          <w:rFonts w:ascii="Times New Roman" w:eastAsia="Times New Roman"/>
        </w:rPr>
        <w:t>1 </w:t>
      </w:r>
      <w:r>
        <w:rPr>
          <w:spacing w:val="-3"/>
        </w:rPr>
        <w:t>元，追加申购不受首次申购最低金</w:t>
      </w:r>
      <w:r>
        <w:rPr>
          <w:spacing w:val="-15"/>
        </w:rPr>
        <w:t>额的限制</w:t>
      </w:r>
      <w:r>
        <w:rPr>
          <w:spacing w:val="-3"/>
        </w:rPr>
        <w:t>（</w:t>
      </w:r>
      <w:r>
        <w:rPr>
          <w:spacing w:val="-5"/>
        </w:rPr>
        <w:t>本公司直销及各销售机构可根据业务情况设置高于或等于前述的交易限额，具体</w:t>
      </w:r>
      <w:r>
        <w:rPr>
          <w:spacing w:val="-9"/>
        </w:rPr>
        <w:t>以本公司及各家销售机构公告为准，投资者在提交基金申购及定期定额投资申请时，应遵循</w:t>
      </w:r>
      <w:r>
        <w:rPr>
          <w:spacing w:val="-5"/>
        </w:rPr>
        <w:t>本公司及各销售机构的相关业务规则</w:t>
      </w:r>
      <w:r>
        <w:rPr>
          <w:spacing w:val="-106"/>
        </w:rPr>
        <w:t>）</w:t>
      </w:r>
      <w:r>
        <w:rPr>
          <w:spacing w:val="-3"/>
        </w:rPr>
        <w:t>。本基金对单个基金份额持有人持有本基金的数量不设上限。</w:t>
      </w:r>
    </w:p>
    <w:p>
      <w:pPr>
        <w:pStyle w:val="BodyText"/>
        <w:spacing w:line="417" w:lineRule="auto"/>
        <w:ind w:left="840" w:right="891" w:firstLine="419"/>
        <w:jc w:val="both"/>
      </w:pPr>
      <w:r>
        <w:rPr>
          <w:rFonts w:ascii="Times New Roman" w:eastAsia="Times New Roman"/>
        </w:rPr>
        <w:t>2</w:t>
      </w:r>
      <w:r>
        <w:rPr>
          <w:spacing w:val="-9"/>
        </w:rPr>
        <w:t>、本基金不设最低赎回份额</w:t>
      </w:r>
      <w:r>
        <w:rPr/>
        <w:t>（</w:t>
      </w:r>
      <w:r>
        <w:rPr>
          <w:spacing w:val="-6"/>
        </w:rPr>
        <w:t>代销网点另有规定的，从其规定</w:t>
      </w:r>
      <w:r>
        <w:rPr>
          <w:spacing w:val="-66"/>
        </w:rPr>
        <w:t>）</w:t>
      </w:r>
      <w:r>
        <w:rPr>
          <w:spacing w:val="-10"/>
        </w:rPr>
        <w:t>，但某笔赎回导致基金</w:t>
      </w:r>
      <w:r>
        <w:rPr>
          <w:spacing w:val="-8"/>
        </w:rPr>
        <w:t>份额持有人持有的基金份额余额不足 </w:t>
      </w:r>
      <w:r>
        <w:rPr>
          <w:rFonts w:ascii="Times New Roman" w:eastAsia="Times New Roman"/>
        </w:rPr>
        <w:t>1 </w:t>
      </w:r>
      <w:r>
        <w:rPr>
          <w:spacing w:val="-3"/>
        </w:rPr>
        <w:t>份时，余额部分基金份额必须一同全部赎回。</w:t>
      </w:r>
    </w:p>
    <w:p>
      <w:pPr>
        <w:pStyle w:val="BodyText"/>
        <w:spacing w:line="417" w:lineRule="auto"/>
        <w:ind w:left="840" w:right="893" w:firstLine="419"/>
        <w:jc w:val="both"/>
      </w:pPr>
      <w:r>
        <w:rPr>
          <w:rFonts w:ascii="Times New Roman" w:eastAsia="Times New Roman"/>
        </w:rPr>
        <w:t>3</w:t>
      </w:r>
      <w:r>
        <w:rPr>
          <w:spacing w:val="-5"/>
        </w:rPr>
        <w:t>、本基金单笔转换转出的最低申请份额为 </w:t>
      </w:r>
      <w:r>
        <w:rPr>
          <w:rFonts w:ascii="Times New Roman" w:eastAsia="Times New Roman"/>
        </w:rPr>
        <w:t>1 </w:t>
      </w:r>
      <w:r>
        <w:rPr>
          <w:spacing w:val="-3"/>
        </w:rPr>
        <w:t>份，基金转换转出后剩余份额不产生强制赎回。</w:t>
      </w:r>
    </w:p>
    <w:p>
      <w:pPr>
        <w:pStyle w:val="BodyText"/>
        <w:spacing w:line="417" w:lineRule="auto"/>
        <w:ind w:left="840" w:right="787" w:firstLine="419"/>
      </w:pPr>
      <w:r>
        <w:rPr>
          <w:rFonts w:ascii="Times New Roman" w:eastAsia="Times New Roman"/>
        </w:rPr>
        <w:t>4</w:t>
      </w:r>
      <w:r>
        <w:rPr>
          <w:spacing w:val="-3"/>
        </w:rPr>
        <w:t>、基金管理人可在法律法规允许的情况下，调整上述对申购金额和赎回、转换份额的</w:t>
      </w:r>
      <w:r>
        <w:rPr>
          <w:spacing w:val="-18"/>
        </w:rPr>
        <w:t>数量限制，基金管理人应当依照《信息披露办法》的有关规定在中国证监会指定的媒介公告。</w:t>
      </w:r>
    </w:p>
    <w:p>
      <w:pPr>
        <w:pStyle w:val="BodyText"/>
        <w:spacing w:line="417" w:lineRule="auto"/>
        <w:ind w:left="840" w:right="891" w:firstLine="419"/>
        <w:jc w:val="both"/>
      </w:pPr>
      <w:r>
        <w:rPr>
          <w:rFonts w:ascii="Times New Roman" w:eastAsia="Times New Roman"/>
        </w:rPr>
        <w:t>5</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12"/>
        </w:rPr>
        <w:t>金申购等措施，切实保护存量基金份额持有人的合法权益。基金管理人基于投资运作与风险</w:t>
      </w:r>
      <w:r>
        <w:rPr>
          <w:spacing w:val="-6"/>
        </w:rPr>
        <w:t>控制的需要，可采取上述措施对基金规模予以控制。具体请参见相关公告。</w:t>
      </w:r>
    </w:p>
    <w:p>
      <w:pPr>
        <w:pStyle w:val="BodyText"/>
        <w:rPr>
          <w:sz w:val="20"/>
        </w:rPr>
      </w:pPr>
    </w:p>
    <w:p>
      <w:pPr>
        <w:pStyle w:val="BodyText"/>
        <w:spacing w:before="5"/>
        <w:rPr>
          <w:sz w:val="16"/>
        </w:rPr>
      </w:pPr>
    </w:p>
    <w:p>
      <w:pPr>
        <w:pStyle w:val="Heading4"/>
        <w:spacing w:before="1"/>
      </w:pPr>
      <w:r>
        <w:rPr/>
        <w:t>七、申购费用、赎回费用和转换费用</w:t>
      </w:r>
    </w:p>
    <w:p>
      <w:pPr>
        <w:pStyle w:val="BodyText"/>
        <w:spacing w:before="6"/>
        <w:rPr>
          <w:b/>
          <w:sz w:val="15"/>
        </w:rPr>
      </w:pPr>
    </w:p>
    <w:p>
      <w:pPr>
        <w:pStyle w:val="BodyText"/>
        <w:spacing w:line="417" w:lineRule="auto"/>
        <w:ind w:left="840" w:right="894" w:firstLine="419"/>
      </w:pPr>
      <w:r>
        <w:rPr>
          <w:rFonts w:ascii="Times New Roman" w:eastAsia="Times New Roman"/>
        </w:rPr>
        <w:t>1</w:t>
      </w:r>
      <w:r>
        <w:rPr/>
        <w:t>、本基金的申购费用由基金申购人承担，不列入基金财产，主要用于本基金的市场推广、销售、注册登记等各项费用。</w:t>
      </w:r>
    </w:p>
    <w:p>
      <w:pPr>
        <w:pStyle w:val="BodyText"/>
        <w:ind w:left="1260"/>
      </w:pPr>
      <w:r>
        <w:rPr/>
        <w:t>本基金的申购费率不高于 </w:t>
      </w:r>
      <w:r>
        <w:rPr>
          <w:rFonts w:ascii="Times New Roman" w:eastAsia="Times New Roman"/>
        </w:rPr>
        <w:t>1.50%</w:t>
      </w:r>
      <w:r>
        <w:rPr/>
        <w:t>，随申购金额的增加而递减，适用以下前端收费费率标</w:t>
      </w:r>
    </w:p>
    <w:p>
      <w:pPr>
        <w:spacing w:after="0"/>
        <w:sectPr>
          <w:pgSz w:w="11910" w:h="16840"/>
          <w:pgMar w:header="877" w:footer="995" w:top="1100" w:bottom="1180" w:left="960" w:right="900"/>
        </w:sectPr>
      </w:pPr>
    </w:p>
    <w:p>
      <w:pPr>
        <w:pStyle w:val="BodyText"/>
        <w:spacing w:before="4"/>
        <w:rPr>
          <w:sz w:val="27"/>
        </w:rPr>
      </w:pPr>
    </w:p>
    <w:p>
      <w:pPr>
        <w:pStyle w:val="BodyText"/>
        <w:spacing w:before="71"/>
        <w:ind w:left="840"/>
      </w:pPr>
      <w:r>
        <w:rPr/>
        <w:t>准：</w:t>
      </w:r>
    </w:p>
    <w:p>
      <w:pPr>
        <w:pStyle w:val="BodyText"/>
        <w:spacing w:before="10"/>
        <w:rPr>
          <w:sz w:val="7"/>
        </w:r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7"/>
        <w:gridCol w:w="3988"/>
      </w:tblGrid>
      <w:tr>
        <w:trPr>
          <w:trHeight w:val="467" w:hRule="atLeast"/>
        </w:trPr>
        <w:tc>
          <w:tcPr>
            <w:tcW w:w="4537" w:type="dxa"/>
          </w:tcPr>
          <w:p>
            <w:pPr>
              <w:pStyle w:val="TableParagraph"/>
              <w:spacing w:before="99"/>
              <w:ind w:left="1565" w:right="1556"/>
              <w:jc w:val="center"/>
              <w:rPr>
                <w:sz w:val="21"/>
              </w:rPr>
            </w:pPr>
            <w:r>
              <w:rPr>
                <w:sz w:val="21"/>
              </w:rPr>
              <w:t>申购金额（M）</w:t>
            </w:r>
          </w:p>
        </w:tc>
        <w:tc>
          <w:tcPr>
            <w:tcW w:w="3988" w:type="dxa"/>
          </w:tcPr>
          <w:p>
            <w:pPr>
              <w:pStyle w:val="TableParagraph"/>
              <w:spacing w:before="99"/>
              <w:ind w:left="922" w:right="915"/>
              <w:jc w:val="center"/>
              <w:rPr>
                <w:sz w:val="21"/>
              </w:rPr>
            </w:pPr>
            <w:r>
              <w:rPr>
                <w:sz w:val="21"/>
              </w:rPr>
              <w:t>申购费率</w:t>
            </w:r>
          </w:p>
        </w:tc>
      </w:tr>
      <w:tr>
        <w:trPr>
          <w:trHeight w:val="467" w:hRule="atLeast"/>
        </w:trPr>
        <w:tc>
          <w:tcPr>
            <w:tcW w:w="4537" w:type="dxa"/>
          </w:tcPr>
          <w:p>
            <w:pPr>
              <w:pStyle w:val="TableParagraph"/>
              <w:spacing w:before="99"/>
              <w:ind w:left="1565" w:right="1554"/>
              <w:jc w:val="center"/>
              <w:rPr>
                <w:sz w:val="21"/>
              </w:rPr>
            </w:pPr>
            <w:r>
              <w:rPr>
                <w:sz w:val="21"/>
              </w:rPr>
              <w:t>M＜100 万</w:t>
            </w:r>
          </w:p>
        </w:tc>
        <w:tc>
          <w:tcPr>
            <w:tcW w:w="3988" w:type="dxa"/>
          </w:tcPr>
          <w:p>
            <w:pPr>
              <w:pStyle w:val="TableParagraph"/>
              <w:spacing w:before="99"/>
              <w:ind w:left="921" w:right="916"/>
              <w:jc w:val="center"/>
              <w:rPr>
                <w:sz w:val="21"/>
              </w:rPr>
            </w:pPr>
            <w:r>
              <w:rPr>
                <w:sz w:val="21"/>
              </w:rPr>
              <w:t>1.50%</w:t>
            </w:r>
          </w:p>
        </w:tc>
      </w:tr>
      <w:tr>
        <w:trPr>
          <w:trHeight w:val="467" w:hRule="atLeast"/>
        </w:trPr>
        <w:tc>
          <w:tcPr>
            <w:tcW w:w="4537" w:type="dxa"/>
          </w:tcPr>
          <w:p>
            <w:pPr>
              <w:pStyle w:val="TableParagraph"/>
              <w:spacing w:before="99"/>
              <w:ind w:right="1414"/>
              <w:jc w:val="right"/>
              <w:rPr>
                <w:sz w:val="21"/>
              </w:rPr>
            </w:pPr>
            <w:r>
              <w:rPr>
                <w:sz w:val="21"/>
              </w:rPr>
              <w:t>100 万≤M＜500 万</w:t>
            </w:r>
          </w:p>
        </w:tc>
        <w:tc>
          <w:tcPr>
            <w:tcW w:w="3988" w:type="dxa"/>
          </w:tcPr>
          <w:p>
            <w:pPr>
              <w:pStyle w:val="TableParagraph"/>
              <w:spacing w:before="99"/>
              <w:ind w:left="921" w:right="916"/>
              <w:jc w:val="center"/>
              <w:rPr>
                <w:sz w:val="21"/>
              </w:rPr>
            </w:pPr>
            <w:r>
              <w:rPr>
                <w:sz w:val="21"/>
              </w:rPr>
              <w:t>1.20%</w:t>
            </w:r>
          </w:p>
        </w:tc>
      </w:tr>
      <w:tr>
        <w:trPr>
          <w:trHeight w:val="470" w:hRule="atLeast"/>
        </w:trPr>
        <w:tc>
          <w:tcPr>
            <w:tcW w:w="4537" w:type="dxa"/>
          </w:tcPr>
          <w:p>
            <w:pPr>
              <w:pStyle w:val="TableParagraph"/>
              <w:spacing w:before="101"/>
              <w:ind w:right="1361"/>
              <w:jc w:val="right"/>
              <w:rPr>
                <w:sz w:val="21"/>
              </w:rPr>
            </w:pPr>
            <w:r>
              <w:rPr>
                <w:sz w:val="21"/>
              </w:rPr>
              <w:t>500 万≤M＜1000 万</w:t>
            </w:r>
          </w:p>
        </w:tc>
        <w:tc>
          <w:tcPr>
            <w:tcW w:w="3988" w:type="dxa"/>
          </w:tcPr>
          <w:p>
            <w:pPr>
              <w:pStyle w:val="TableParagraph"/>
              <w:spacing w:before="101"/>
              <w:ind w:left="921" w:right="916"/>
              <w:jc w:val="center"/>
              <w:rPr>
                <w:sz w:val="21"/>
              </w:rPr>
            </w:pPr>
            <w:r>
              <w:rPr>
                <w:sz w:val="21"/>
              </w:rPr>
              <w:t>1.00%</w:t>
            </w:r>
          </w:p>
        </w:tc>
      </w:tr>
      <w:tr>
        <w:trPr>
          <w:trHeight w:val="467" w:hRule="atLeast"/>
        </w:trPr>
        <w:tc>
          <w:tcPr>
            <w:tcW w:w="4537" w:type="dxa"/>
          </w:tcPr>
          <w:p>
            <w:pPr>
              <w:pStyle w:val="TableParagraph"/>
              <w:spacing w:before="99"/>
              <w:ind w:left="1565" w:right="1554"/>
              <w:jc w:val="center"/>
              <w:rPr>
                <w:sz w:val="21"/>
              </w:rPr>
            </w:pPr>
            <w:r>
              <w:rPr>
                <w:sz w:val="21"/>
              </w:rPr>
              <w:t>M≥1000 万</w:t>
            </w:r>
          </w:p>
        </w:tc>
        <w:tc>
          <w:tcPr>
            <w:tcW w:w="3988" w:type="dxa"/>
          </w:tcPr>
          <w:p>
            <w:pPr>
              <w:pStyle w:val="TableParagraph"/>
              <w:spacing w:before="99"/>
              <w:ind w:left="922" w:right="916"/>
              <w:jc w:val="center"/>
              <w:rPr>
                <w:sz w:val="21"/>
              </w:rPr>
            </w:pPr>
            <w:r>
              <w:rPr>
                <w:sz w:val="21"/>
              </w:rPr>
              <w:t>按笔收取，1000 元/笔</w:t>
            </w:r>
          </w:p>
        </w:tc>
      </w:tr>
    </w:tbl>
    <w:p>
      <w:pPr>
        <w:pStyle w:val="BodyText"/>
        <w:spacing w:line="417" w:lineRule="auto" w:before="100"/>
        <w:ind w:left="840" w:right="797" w:firstLine="419"/>
      </w:pPr>
      <w:r>
        <w:rPr/>
        <w:t>2</w:t>
      </w:r>
      <w:r>
        <w:rPr>
          <w:spacing w:val="-3"/>
        </w:rPr>
        <w:t>、本基金的赎回费用在投资人赎回本基金份额时收取，扣除用于市场推广、注册登记</w:t>
      </w:r>
      <w:r>
        <w:rPr>
          <w:spacing w:val="-9"/>
        </w:rPr>
        <w:t>费和其他手续费后的余额归基金财产。本基金的赎回费用由赎回基金份额的基金份额持有人</w:t>
      </w:r>
      <w:r>
        <w:rPr>
          <w:spacing w:val="-11"/>
        </w:rPr>
        <w:t>承担，对于持续持有期少于 </w:t>
      </w:r>
      <w:r>
        <w:rPr/>
        <w:t>7</w:t>
      </w:r>
      <w:r>
        <w:rPr>
          <w:spacing w:val="-13"/>
        </w:rPr>
        <w:t> 日的投资者，本基金将收取不低于 </w:t>
      </w:r>
      <w:r>
        <w:rPr/>
        <w:t>1.50</w:t>
      </w:r>
      <w:r>
        <w:rPr>
          <w:spacing w:val="-3"/>
        </w:rPr>
        <w:t>%的赎回费并全额计入</w:t>
      </w:r>
      <w:r>
        <w:rPr>
          <w:spacing w:val="-6"/>
        </w:rPr>
        <w:t>基金财产。对于持续持有期不少于 </w:t>
      </w:r>
      <w:r>
        <w:rPr/>
        <w:t>7</w:t>
      </w:r>
      <w:r>
        <w:rPr>
          <w:spacing w:val="-7"/>
        </w:rPr>
        <w:t> 日的投资者，不低于赎回费总额的 </w:t>
      </w:r>
      <w:r>
        <w:rPr/>
        <w:t>25</w:t>
      </w:r>
      <w:r>
        <w:rPr>
          <w:spacing w:val="-3"/>
        </w:rPr>
        <w:t>%应归基金财产， 未归入基金财产的部分用于支付登记费和其他必要的手续费。</w:t>
      </w:r>
    </w:p>
    <w:p>
      <w:pPr>
        <w:pStyle w:val="BodyText"/>
        <w:spacing w:line="269" w:lineRule="exact"/>
        <w:ind w:left="1260"/>
      </w:pPr>
      <w:r>
        <w:rPr/>
        <w:t>本基金的赎回费率随持有期限的增加而递减。</w:t>
      </w:r>
    </w:p>
    <w:p>
      <w:pPr>
        <w:pStyle w:val="BodyText"/>
        <w:spacing w:before="9"/>
        <w:rPr>
          <w:sz w:val="7"/>
        </w:r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0"/>
        <w:gridCol w:w="3768"/>
      </w:tblGrid>
      <w:tr>
        <w:trPr>
          <w:trHeight w:val="467" w:hRule="atLeast"/>
        </w:trPr>
        <w:tc>
          <w:tcPr>
            <w:tcW w:w="4760" w:type="dxa"/>
          </w:tcPr>
          <w:p>
            <w:pPr>
              <w:pStyle w:val="TableParagraph"/>
              <w:spacing w:before="99"/>
              <w:ind w:left="1310" w:right="1299"/>
              <w:jc w:val="center"/>
              <w:rPr>
                <w:sz w:val="21"/>
              </w:rPr>
            </w:pPr>
            <w:r>
              <w:rPr>
                <w:sz w:val="21"/>
              </w:rPr>
              <w:t>持有期</w:t>
            </w:r>
          </w:p>
        </w:tc>
        <w:tc>
          <w:tcPr>
            <w:tcW w:w="3768" w:type="dxa"/>
          </w:tcPr>
          <w:p>
            <w:pPr>
              <w:pStyle w:val="TableParagraph"/>
              <w:spacing w:before="99"/>
              <w:ind w:left="1445" w:right="1433"/>
              <w:jc w:val="center"/>
              <w:rPr>
                <w:sz w:val="21"/>
              </w:rPr>
            </w:pPr>
            <w:r>
              <w:rPr>
                <w:sz w:val="21"/>
              </w:rPr>
              <w:t>赎回费率</w:t>
            </w:r>
          </w:p>
        </w:tc>
      </w:tr>
      <w:tr>
        <w:trPr>
          <w:trHeight w:val="467" w:hRule="atLeast"/>
        </w:trPr>
        <w:tc>
          <w:tcPr>
            <w:tcW w:w="4760" w:type="dxa"/>
          </w:tcPr>
          <w:p>
            <w:pPr>
              <w:pStyle w:val="TableParagraph"/>
              <w:spacing w:before="99"/>
              <w:ind w:left="1308" w:right="1299"/>
              <w:jc w:val="center"/>
              <w:rPr>
                <w:sz w:val="21"/>
              </w:rPr>
            </w:pPr>
            <w:r>
              <w:rPr>
                <w:sz w:val="21"/>
              </w:rPr>
              <w:t>7 日以内</w:t>
            </w:r>
          </w:p>
        </w:tc>
        <w:tc>
          <w:tcPr>
            <w:tcW w:w="3768" w:type="dxa"/>
          </w:tcPr>
          <w:p>
            <w:pPr>
              <w:pStyle w:val="TableParagraph"/>
              <w:spacing w:before="99"/>
              <w:ind w:left="1442" w:right="1433"/>
              <w:jc w:val="center"/>
              <w:rPr>
                <w:sz w:val="21"/>
              </w:rPr>
            </w:pPr>
            <w:r>
              <w:rPr>
                <w:sz w:val="21"/>
              </w:rPr>
              <w:t>1.50%</w:t>
            </w:r>
          </w:p>
        </w:tc>
      </w:tr>
      <w:tr>
        <w:trPr>
          <w:trHeight w:val="467" w:hRule="atLeast"/>
        </w:trPr>
        <w:tc>
          <w:tcPr>
            <w:tcW w:w="4760" w:type="dxa"/>
          </w:tcPr>
          <w:p>
            <w:pPr>
              <w:pStyle w:val="TableParagraph"/>
              <w:spacing w:before="100"/>
              <w:ind w:left="1310" w:right="1299"/>
              <w:jc w:val="center"/>
              <w:rPr>
                <w:sz w:val="21"/>
              </w:rPr>
            </w:pPr>
            <w:r>
              <w:rPr>
                <w:sz w:val="21"/>
              </w:rPr>
              <w:t>7 日（含）-1 年</w:t>
            </w:r>
          </w:p>
        </w:tc>
        <w:tc>
          <w:tcPr>
            <w:tcW w:w="3768" w:type="dxa"/>
          </w:tcPr>
          <w:p>
            <w:pPr>
              <w:pStyle w:val="TableParagraph"/>
              <w:spacing w:before="100"/>
              <w:ind w:left="1442" w:right="1433"/>
              <w:jc w:val="center"/>
              <w:rPr>
                <w:sz w:val="21"/>
              </w:rPr>
            </w:pPr>
            <w:r>
              <w:rPr>
                <w:sz w:val="21"/>
              </w:rPr>
              <w:t>0.50%</w:t>
            </w:r>
          </w:p>
        </w:tc>
      </w:tr>
      <w:tr>
        <w:trPr>
          <w:trHeight w:val="470" w:hRule="atLeast"/>
        </w:trPr>
        <w:tc>
          <w:tcPr>
            <w:tcW w:w="4760" w:type="dxa"/>
          </w:tcPr>
          <w:p>
            <w:pPr>
              <w:pStyle w:val="TableParagraph"/>
              <w:spacing w:before="102"/>
              <w:ind w:left="1310" w:right="1299"/>
              <w:jc w:val="center"/>
              <w:rPr>
                <w:sz w:val="21"/>
              </w:rPr>
            </w:pPr>
            <w:r>
              <w:rPr>
                <w:sz w:val="21"/>
              </w:rPr>
              <w:t>1 年以上（含）－2 年</w:t>
            </w:r>
          </w:p>
        </w:tc>
        <w:tc>
          <w:tcPr>
            <w:tcW w:w="3768" w:type="dxa"/>
          </w:tcPr>
          <w:p>
            <w:pPr>
              <w:pStyle w:val="TableParagraph"/>
              <w:spacing w:before="102"/>
              <w:ind w:left="1442" w:right="1433"/>
              <w:jc w:val="center"/>
              <w:rPr>
                <w:sz w:val="21"/>
              </w:rPr>
            </w:pPr>
            <w:r>
              <w:rPr>
                <w:sz w:val="21"/>
              </w:rPr>
              <w:t>0.25%</w:t>
            </w:r>
          </w:p>
        </w:tc>
      </w:tr>
      <w:tr>
        <w:trPr>
          <w:trHeight w:val="467" w:hRule="atLeast"/>
        </w:trPr>
        <w:tc>
          <w:tcPr>
            <w:tcW w:w="4760" w:type="dxa"/>
          </w:tcPr>
          <w:p>
            <w:pPr>
              <w:pStyle w:val="TableParagraph"/>
              <w:spacing w:before="99"/>
              <w:ind w:left="1310" w:right="1299"/>
              <w:jc w:val="center"/>
              <w:rPr>
                <w:sz w:val="21"/>
              </w:rPr>
            </w:pPr>
            <w:r>
              <w:rPr>
                <w:sz w:val="21"/>
              </w:rPr>
              <w:t>2 年以上（含）</w:t>
            </w:r>
          </w:p>
        </w:tc>
        <w:tc>
          <w:tcPr>
            <w:tcW w:w="3768" w:type="dxa"/>
          </w:tcPr>
          <w:p>
            <w:pPr>
              <w:pStyle w:val="TableParagraph"/>
              <w:spacing w:before="99"/>
              <w:ind w:left="9"/>
              <w:jc w:val="center"/>
              <w:rPr>
                <w:sz w:val="21"/>
              </w:rPr>
            </w:pPr>
            <w:r>
              <w:rPr>
                <w:w w:val="100"/>
                <w:sz w:val="21"/>
              </w:rPr>
              <w:t>0</w:t>
            </w:r>
          </w:p>
        </w:tc>
      </w:tr>
    </w:tbl>
    <w:p>
      <w:pPr>
        <w:spacing w:before="118"/>
        <w:ind w:left="840" w:right="0" w:firstLine="0"/>
        <w:jc w:val="left"/>
        <w:rPr>
          <w:sz w:val="18"/>
        </w:rPr>
      </w:pPr>
      <w:r>
        <w:rPr>
          <w:sz w:val="18"/>
        </w:rPr>
        <w:t>注：就赎回费及归基金资产比例而言，每 1 年指 365 天。</w:t>
      </w:r>
    </w:p>
    <w:p>
      <w:pPr>
        <w:pStyle w:val="BodyText"/>
        <w:spacing w:before="1"/>
        <w:rPr>
          <w:sz w:val="17"/>
        </w:rPr>
      </w:pPr>
    </w:p>
    <w:p>
      <w:pPr>
        <w:pStyle w:val="BodyText"/>
        <w:spacing w:line="417" w:lineRule="auto"/>
        <w:ind w:left="840" w:right="891"/>
        <w:jc w:val="both"/>
      </w:pPr>
      <w:r>
        <w:rPr>
          <w:rFonts w:ascii="Times New Roman" w:eastAsia="Times New Roman"/>
        </w:rPr>
        <w:t>3</w:t>
      </w:r>
      <w:r>
        <w:rPr>
          <w:spacing w:val="-3"/>
        </w:rPr>
        <w:t>、本基金的转换费用由赎回费和申购补差费组成，转出时收取赎回费，转入时收取申购补</w:t>
      </w:r>
      <w:r>
        <w:rPr>
          <w:spacing w:val="-9"/>
        </w:rPr>
        <w:t>差费。其中赎回费的收取标准遵循本招募说明书的约定，申购补差费的收取标准为：申购补差费</w:t>
      </w:r>
      <w:r>
        <w:rPr>
          <w:rFonts w:ascii="Times New Roman" w:eastAsia="Times New Roman"/>
          <w:spacing w:val="13"/>
        </w:rPr>
        <w:t>= </w:t>
      </w:r>
      <w:r>
        <w:rPr>
          <w:rFonts w:ascii="Times New Roman" w:eastAsia="Times New Roman"/>
        </w:rPr>
        <w:t>MAX</w:t>
      </w:r>
      <w:r>
        <w:rPr>
          <w:spacing w:val="-4"/>
        </w:rPr>
        <w:t>【转出净额在转入基金中对应的申购费用－转出净额在转出基金中对应的申购</w:t>
      </w:r>
      <w:r>
        <w:rPr/>
        <w:t>费用，</w:t>
      </w:r>
      <w:r>
        <w:rPr>
          <w:rFonts w:ascii="Times New Roman" w:eastAsia="Times New Roman"/>
        </w:rPr>
        <w:t>0</w:t>
      </w:r>
      <w:r>
        <w:rPr>
          <w:spacing w:val="-106"/>
        </w:rPr>
        <w:t>】。</w:t>
      </w:r>
    </w:p>
    <w:p>
      <w:pPr>
        <w:pStyle w:val="BodyText"/>
        <w:spacing w:line="417" w:lineRule="auto"/>
        <w:ind w:left="840" w:right="797" w:firstLine="419"/>
      </w:pPr>
      <w:r>
        <w:rPr>
          <w:rFonts w:ascii="Times New Roman" w:eastAsia="Times New Roman"/>
        </w:rPr>
        <w:t>4</w:t>
      </w:r>
      <w:r>
        <w:rPr>
          <w:spacing w:val="-3"/>
        </w:rPr>
        <w:t>、本基金的申购费率、赎回费率最高不得超过法律法规规定的限额。基金管理人可以在《基金合同》约定的范围内调整费率或收费方式，基金管理人应当依照《信息披露办法》的有关规定在中国证监会指定的媒介公告。</w:t>
      </w:r>
    </w:p>
    <w:p>
      <w:pPr>
        <w:pStyle w:val="BodyText"/>
        <w:spacing w:line="417" w:lineRule="auto"/>
        <w:ind w:left="840" w:right="894" w:firstLine="419"/>
      </w:pPr>
      <w:r>
        <w:rPr>
          <w:rFonts w:ascii="Times New Roman" w:eastAsia="Times New Roman"/>
        </w:rPr>
        <w:t>5</w:t>
      </w:r>
      <w:r>
        <w:rPr>
          <w:spacing w:val="-3"/>
        </w:rPr>
        <w:t>、基金管理人可以在不违背法律法规规定及《基金合同》约定的情形下根据市场情况</w:t>
      </w:r>
      <w:r>
        <w:rPr>
          <w:spacing w:val="-10"/>
        </w:rPr>
        <w:t>制定基金促销计划，针对特定地域范围、特定行业、特定职业的投资者以及以特定交易方式</w:t>
      </w:r>
    </w:p>
    <w:p>
      <w:pPr>
        <w:pStyle w:val="BodyText"/>
        <w:spacing w:line="417" w:lineRule="auto"/>
        <w:ind w:left="840" w:right="795"/>
      </w:pPr>
      <w:r>
        <w:rPr/>
        <w:t>（如网上交易、电话交易等）等进行基金交易的投资者定期或不定期地开展基金促销活动。在基金促销活动期间，基金管理人可以适当调低基金申购费率和基金赎回费率。</w:t>
      </w:r>
    </w:p>
    <w:p>
      <w:pPr>
        <w:spacing w:after="0" w:line="417" w:lineRule="auto"/>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firstLine="419"/>
        <w:jc w:val="both"/>
      </w:pPr>
      <w:r>
        <w:rPr/>
        <w:t>6</w:t>
      </w:r>
      <w:r>
        <w:rPr>
          <w:spacing w:val="-3"/>
        </w:rPr>
        <w:t>、当发生大额申购或赎回情形时，在履行适当程序后，在基金管理人可以采用摆动定</w:t>
      </w:r>
      <w:r>
        <w:rPr>
          <w:spacing w:val="-12"/>
        </w:rPr>
        <w:t>价机制，以确保基金估值的公平性。具体处理原则与操作规范遵循相关法律法规以及监管部</w:t>
      </w:r>
      <w:r>
        <w:rPr>
          <w:spacing w:val="-6"/>
        </w:rPr>
        <w:t>门、自律规则的规定。</w:t>
      </w:r>
    </w:p>
    <w:p>
      <w:pPr>
        <w:pStyle w:val="BodyText"/>
        <w:rPr>
          <w:sz w:val="20"/>
        </w:rPr>
      </w:pPr>
    </w:p>
    <w:p>
      <w:pPr>
        <w:pStyle w:val="BodyText"/>
        <w:spacing w:before="6"/>
        <w:rPr>
          <w:sz w:val="16"/>
        </w:rPr>
      </w:pPr>
    </w:p>
    <w:p>
      <w:pPr>
        <w:spacing w:line="417" w:lineRule="auto" w:before="1"/>
        <w:ind w:left="840" w:right="4775" w:firstLine="0"/>
        <w:jc w:val="left"/>
        <w:rPr>
          <w:sz w:val="21"/>
        </w:rPr>
      </w:pPr>
      <w:r>
        <w:rPr>
          <w:b/>
          <w:sz w:val="21"/>
        </w:rPr>
        <w:t>八、申购份额、赎回金额与转换交易的计算方式</w:t>
      </w:r>
      <w:r>
        <w:rPr>
          <w:sz w:val="21"/>
        </w:rPr>
        <w:t>1、基金申购费用及申购份额的计算</w:t>
      </w:r>
    </w:p>
    <w:p>
      <w:pPr>
        <w:pStyle w:val="BodyText"/>
        <w:spacing w:line="269" w:lineRule="exact"/>
        <w:ind w:left="1260"/>
      </w:pPr>
      <w:r>
        <w:rPr/>
        <w:t>本基金的申购费用及申购份额的计算公式如下：</w:t>
      </w:r>
    </w:p>
    <w:p>
      <w:pPr>
        <w:pStyle w:val="BodyText"/>
        <w:spacing w:before="7"/>
        <w:rPr>
          <w:sz w:val="15"/>
        </w:rPr>
      </w:pPr>
    </w:p>
    <w:p>
      <w:pPr>
        <w:pStyle w:val="BodyText"/>
        <w:spacing w:line="417" w:lineRule="auto"/>
        <w:ind w:left="1260" w:right="3949"/>
      </w:pPr>
      <w:r>
        <w:rPr>
          <w:spacing w:val="-4"/>
        </w:rPr>
        <w:t>基金的申购金额包括申购费用和净申购金额，其中： </w:t>
      </w:r>
      <w:r>
        <w:rPr>
          <w:spacing w:val="-3"/>
          <w:w w:val="100"/>
        </w:rPr>
        <w:t>净申购金额=申购金额</w:t>
      </w:r>
      <w:r>
        <w:rPr>
          <w:w w:val="100"/>
        </w:rPr>
        <w:t>/</w:t>
      </w:r>
      <w:r>
        <w:rPr>
          <w:spacing w:val="-3"/>
          <w:w w:val="100"/>
        </w:rPr>
        <w:t>（1</w:t>
      </w:r>
      <w:r>
        <w:rPr>
          <w:spacing w:val="-1"/>
          <w:w w:val="100"/>
        </w:rPr>
        <w:t>+申购费率</w:t>
      </w:r>
      <w:r>
        <w:rPr>
          <w:spacing w:val="-108"/>
          <w:w w:val="100"/>
        </w:rPr>
        <w:t>）</w:t>
      </w:r>
      <w:r>
        <w:rPr>
          <w:w w:val="100"/>
        </w:rPr>
        <w:t>；</w:t>
      </w:r>
    </w:p>
    <w:p>
      <w:pPr>
        <w:pStyle w:val="BodyText"/>
        <w:spacing w:line="269" w:lineRule="exact"/>
        <w:ind w:left="1260"/>
      </w:pPr>
      <w:r>
        <w:rPr/>
        <w:t>申购费用=申购金额-净申购金额；</w:t>
      </w:r>
    </w:p>
    <w:p>
      <w:pPr>
        <w:pStyle w:val="BodyText"/>
        <w:spacing w:before="7"/>
        <w:rPr>
          <w:sz w:val="15"/>
        </w:rPr>
      </w:pPr>
    </w:p>
    <w:p>
      <w:pPr>
        <w:pStyle w:val="BodyText"/>
        <w:ind w:left="1260"/>
      </w:pPr>
      <w:r>
        <w:rPr/>
        <w:t>申购份额=净申购金额/T 日基金份额净值。</w:t>
      </w:r>
    </w:p>
    <w:p>
      <w:pPr>
        <w:pStyle w:val="BodyText"/>
        <w:spacing w:before="6"/>
        <w:rPr>
          <w:sz w:val="15"/>
        </w:rPr>
      </w:pPr>
    </w:p>
    <w:p>
      <w:pPr>
        <w:pStyle w:val="BodyText"/>
        <w:spacing w:line="417" w:lineRule="auto"/>
        <w:ind w:left="840" w:right="891" w:firstLine="419"/>
      </w:pPr>
      <w:r>
        <w:rPr>
          <w:spacing w:val="-5"/>
        </w:rPr>
        <w:t>基金申购的有效份额保留到小数点后 </w:t>
      </w:r>
      <w:r>
        <w:rPr>
          <w:rFonts w:ascii="Times New Roman" w:eastAsia="Times New Roman"/>
        </w:rPr>
        <w:t>2 </w:t>
      </w:r>
      <w:r>
        <w:rPr>
          <w:spacing w:val="-12"/>
        </w:rPr>
        <w:t>位，小数点后两位以后的部分四舍五入，由此产</w:t>
      </w:r>
      <w:r>
        <w:rPr>
          <w:spacing w:val="-6"/>
        </w:rPr>
        <w:t>生的误差计入基金财产。</w:t>
      </w:r>
    </w:p>
    <w:p>
      <w:pPr>
        <w:pStyle w:val="BodyText"/>
        <w:spacing w:line="417" w:lineRule="auto"/>
        <w:ind w:left="840" w:right="891" w:firstLine="419"/>
      </w:pPr>
      <w:r>
        <w:rPr>
          <w:spacing w:val="-8"/>
        </w:rPr>
        <w:t>例：某投资者投资 </w:t>
      </w:r>
      <w:r>
        <w:rPr>
          <w:rFonts w:ascii="Times New Roman" w:eastAsia="Times New Roman"/>
        </w:rPr>
        <w:t>5,000 </w:t>
      </w:r>
      <w:r>
        <w:rPr>
          <w:spacing w:val="-6"/>
        </w:rPr>
        <w:t>元申购本基金，申购费率为 </w:t>
      </w:r>
      <w:r>
        <w:rPr>
          <w:rFonts w:ascii="Times New Roman" w:eastAsia="Times New Roman"/>
        </w:rPr>
        <w:t>1.50%</w:t>
      </w:r>
      <w:r>
        <w:rPr>
          <w:spacing w:val="-3"/>
        </w:rPr>
        <w:t>，假设申购当日基金份额净</w:t>
      </w:r>
      <w:r>
        <w:rPr>
          <w:spacing w:val="-20"/>
        </w:rPr>
        <w:t>值为 </w:t>
      </w:r>
      <w:r>
        <w:rPr>
          <w:rFonts w:ascii="Times New Roman" w:eastAsia="Times New Roman"/>
        </w:rPr>
        <w:t>1.128 </w:t>
      </w:r>
      <w:r>
        <w:rPr>
          <w:spacing w:val="-3"/>
        </w:rPr>
        <w:t>元，则其可得到的申购份额为：</w:t>
      </w:r>
    </w:p>
    <w:p>
      <w:pPr>
        <w:pStyle w:val="BodyText"/>
        <w:spacing w:line="417" w:lineRule="auto"/>
        <w:ind w:left="1260" w:right="4571"/>
      </w:pPr>
      <w:r>
        <w:rPr/>
        <w:t>净申购金额=5000/（1+1.50%）=4926.11 元； 申购费用=5000-4926.11=73.89 元；</w:t>
      </w:r>
    </w:p>
    <w:p>
      <w:pPr>
        <w:pStyle w:val="BodyText"/>
        <w:spacing w:line="269" w:lineRule="exact"/>
        <w:ind w:left="1260"/>
      </w:pPr>
      <w:r>
        <w:rPr/>
        <w:t>申购份额=4926.11/1.128=4367.12 份</w:t>
      </w:r>
    </w:p>
    <w:p>
      <w:pPr>
        <w:pStyle w:val="BodyText"/>
        <w:spacing w:before="7"/>
        <w:rPr>
          <w:sz w:val="15"/>
        </w:rPr>
      </w:pPr>
    </w:p>
    <w:p>
      <w:pPr>
        <w:pStyle w:val="BodyText"/>
        <w:ind w:left="1260"/>
      </w:pPr>
      <w:r>
        <w:rPr/>
        <w:t>即：投资者投资 </w:t>
      </w:r>
      <w:r>
        <w:rPr>
          <w:rFonts w:ascii="Times New Roman" w:eastAsia="Times New Roman"/>
        </w:rPr>
        <w:t>5,000 </w:t>
      </w:r>
      <w:r>
        <w:rPr/>
        <w:t>元申购本基金，假设申购当日的基金份额净值为 </w:t>
      </w:r>
      <w:r>
        <w:rPr>
          <w:rFonts w:ascii="Times New Roman" w:eastAsia="Times New Roman"/>
        </w:rPr>
        <w:t>1.128 </w:t>
      </w:r>
      <w:r>
        <w:rPr/>
        <w:t>元，可得</w:t>
      </w:r>
    </w:p>
    <w:p>
      <w:pPr>
        <w:pStyle w:val="BodyText"/>
        <w:spacing w:before="6"/>
        <w:rPr>
          <w:sz w:val="15"/>
        </w:rPr>
      </w:pPr>
    </w:p>
    <w:p>
      <w:pPr>
        <w:pStyle w:val="BodyText"/>
        <w:spacing w:before="1"/>
        <w:ind w:left="840"/>
      </w:pPr>
      <w:r>
        <w:rPr/>
        <w:t>到 4367.12 份基金份额。</w:t>
      </w:r>
    </w:p>
    <w:p>
      <w:pPr>
        <w:pStyle w:val="BodyText"/>
        <w:spacing w:before="6"/>
        <w:rPr>
          <w:sz w:val="15"/>
        </w:rPr>
      </w:pPr>
    </w:p>
    <w:p>
      <w:pPr>
        <w:pStyle w:val="BodyText"/>
        <w:ind w:left="840"/>
      </w:pPr>
      <w:r>
        <w:rPr>
          <w:rFonts w:ascii="Times New Roman" w:eastAsia="Times New Roman"/>
        </w:rPr>
        <w:t>2</w:t>
      </w:r>
      <w:r>
        <w:rPr/>
        <w:t>、本基金赎回金额的计算</w:t>
      </w:r>
    </w:p>
    <w:p>
      <w:pPr>
        <w:pStyle w:val="BodyText"/>
        <w:spacing w:before="8"/>
        <w:rPr>
          <w:sz w:val="15"/>
        </w:rPr>
      </w:pPr>
    </w:p>
    <w:p>
      <w:pPr>
        <w:pStyle w:val="BodyText"/>
        <w:spacing w:line="417" w:lineRule="auto"/>
        <w:ind w:left="840" w:right="891" w:firstLine="419"/>
      </w:pPr>
      <w:r>
        <w:rPr/>
        <w:t>本基金采用“份额赎回”方式，赎回价格以 </w:t>
      </w:r>
      <w:r>
        <w:rPr>
          <w:rFonts w:ascii="Times New Roman" w:hAnsi="Times New Roman" w:eastAsia="Times New Roman"/>
        </w:rPr>
        <w:t>T </w:t>
      </w:r>
      <w:r>
        <w:rPr/>
        <w:t>日的基金份额净值为基准进行计算，计算公式：</w:t>
      </w:r>
    </w:p>
    <w:p>
      <w:pPr>
        <w:pStyle w:val="BodyText"/>
        <w:spacing w:line="417" w:lineRule="auto"/>
        <w:ind w:left="1260" w:right="4460"/>
      </w:pPr>
      <w:r>
        <w:rPr/>
        <w:t>赎回总额 </w:t>
      </w:r>
      <w:r>
        <w:rPr>
          <w:rFonts w:ascii="Times New Roman" w:hAnsi="Times New Roman" w:eastAsia="Times New Roman"/>
          <w:spacing w:val="5"/>
        </w:rPr>
        <w:t>= </w:t>
      </w:r>
      <w:r>
        <w:rPr>
          <w:spacing w:val="-4"/>
        </w:rPr>
        <w:t>赎回份额×赎回当日基金份额净值</w:t>
      </w:r>
      <w:r>
        <w:rPr>
          <w:spacing w:val="-1"/>
        </w:rPr>
        <w:t>赎回费用 </w:t>
      </w:r>
      <w:r>
        <w:rPr>
          <w:rFonts w:ascii="Times New Roman" w:hAnsi="Times New Roman" w:eastAsia="Times New Roman"/>
        </w:rPr>
        <w:t>= </w:t>
      </w:r>
      <w:r>
        <w:rPr>
          <w:spacing w:val="-3"/>
        </w:rPr>
        <w:t>赎回总额×赎回费率</w:t>
      </w:r>
    </w:p>
    <w:p>
      <w:pPr>
        <w:pStyle w:val="BodyText"/>
        <w:spacing w:line="269" w:lineRule="exact"/>
        <w:ind w:left="1260"/>
      </w:pPr>
      <w:r>
        <w:rPr/>
        <w:t>赎回金额 </w:t>
      </w:r>
      <w:r>
        <w:rPr>
          <w:rFonts w:ascii="Times New Roman" w:eastAsia="Times New Roman"/>
          <w:spacing w:val="2"/>
        </w:rPr>
        <w:t>=  </w:t>
      </w:r>
      <w:r>
        <w:rPr>
          <w:spacing w:val="-3"/>
        </w:rPr>
        <w:t>赎回总额－赎回费用</w:t>
      </w:r>
    </w:p>
    <w:p>
      <w:pPr>
        <w:pStyle w:val="BodyText"/>
        <w:spacing w:before="6"/>
        <w:rPr>
          <w:sz w:val="15"/>
        </w:rPr>
      </w:pPr>
    </w:p>
    <w:p>
      <w:pPr>
        <w:pStyle w:val="BodyText"/>
        <w:ind w:left="1260"/>
      </w:pPr>
      <w:r>
        <w:rPr/>
        <w:t>例：某投资者持有本基金 </w:t>
      </w:r>
      <w:r>
        <w:rPr>
          <w:rFonts w:ascii="Times New Roman" w:eastAsia="Times New Roman"/>
        </w:rPr>
        <w:t>10,000 </w:t>
      </w:r>
      <w:r>
        <w:rPr/>
        <w:t>份基金份额 </w:t>
      </w:r>
      <w:r>
        <w:rPr>
          <w:rFonts w:ascii="Times New Roman" w:eastAsia="Times New Roman"/>
        </w:rPr>
        <w:t>18 </w:t>
      </w:r>
      <w:r>
        <w:rPr/>
        <w:t>个月，赎回费率为 </w:t>
      </w:r>
      <w:r>
        <w:rPr>
          <w:rFonts w:ascii="Times New Roman" w:eastAsia="Times New Roman"/>
        </w:rPr>
        <w:t>0.25%</w:t>
      </w:r>
      <w:r>
        <w:rPr/>
        <w:t>，假设赎回当</w:t>
      </w:r>
    </w:p>
    <w:p>
      <w:pPr>
        <w:pStyle w:val="BodyText"/>
        <w:spacing w:before="7"/>
        <w:rPr>
          <w:sz w:val="15"/>
        </w:rPr>
      </w:pPr>
    </w:p>
    <w:p>
      <w:pPr>
        <w:pStyle w:val="BodyText"/>
        <w:ind w:left="840"/>
      </w:pPr>
      <w:r>
        <w:rPr/>
        <w:t>日基金份额净值是 </w:t>
      </w:r>
      <w:r>
        <w:rPr>
          <w:rFonts w:ascii="Times New Roman" w:eastAsia="Times New Roman"/>
        </w:rPr>
        <w:t>1.148 </w:t>
      </w:r>
      <w:r>
        <w:rPr/>
        <w:t>元，则可得到的赎回金额为：</w:t>
      </w:r>
    </w:p>
    <w:p>
      <w:pPr>
        <w:pStyle w:val="BodyText"/>
        <w:spacing w:before="7"/>
        <w:rPr>
          <w:sz w:val="15"/>
        </w:rPr>
      </w:pPr>
    </w:p>
    <w:p>
      <w:pPr>
        <w:pStyle w:val="BodyText"/>
        <w:ind w:left="1260"/>
      </w:pPr>
      <w:r>
        <w:rPr>
          <w:spacing w:val="-2"/>
        </w:rPr>
        <w:t>赎回总额 </w:t>
      </w:r>
      <w:r>
        <w:rPr>
          <w:rFonts w:ascii="Times New Roman" w:hAnsi="Times New Roman" w:eastAsia="Times New Roman"/>
        </w:rPr>
        <w:t>= 1.148</w:t>
      </w:r>
      <w:r>
        <w:rPr>
          <w:rFonts w:ascii="Times New Roman" w:hAnsi="Times New Roman" w:eastAsia="Times New Roman"/>
          <w:spacing w:val="51"/>
        </w:rPr>
        <w:t> </w:t>
      </w:r>
      <w:r>
        <w:rPr/>
        <w:t>× </w:t>
      </w:r>
      <w:r>
        <w:rPr>
          <w:rFonts w:ascii="Times New Roman" w:hAnsi="Times New Roman" w:eastAsia="Times New Roman"/>
        </w:rPr>
        <w:t>10,000</w:t>
      </w:r>
      <w:r>
        <w:rPr>
          <w:rFonts w:ascii="Times New Roman" w:hAnsi="Times New Roman" w:eastAsia="Times New Roman"/>
          <w:spacing w:val="-1"/>
        </w:rPr>
        <w:t> = </w:t>
      </w:r>
      <w:r>
        <w:rPr>
          <w:rFonts w:ascii="Times New Roman" w:hAnsi="Times New Roman" w:eastAsia="Times New Roman"/>
          <w:spacing w:val="-3"/>
        </w:rPr>
        <w:t>11480 </w:t>
      </w:r>
      <w:r>
        <w:rPr/>
        <w:t>元</w:t>
      </w:r>
    </w:p>
    <w:p>
      <w:pPr>
        <w:pStyle w:val="BodyText"/>
        <w:spacing w:before="7"/>
        <w:rPr>
          <w:sz w:val="15"/>
        </w:rPr>
      </w:pPr>
    </w:p>
    <w:p>
      <w:pPr>
        <w:pStyle w:val="BodyText"/>
        <w:ind w:left="1260"/>
      </w:pPr>
      <w:r>
        <w:rPr>
          <w:spacing w:val="-2"/>
        </w:rPr>
        <w:t>赎回费用 </w:t>
      </w:r>
      <w:r>
        <w:rPr>
          <w:rFonts w:ascii="Times New Roman" w:hAnsi="Times New Roman" w:eastAsia="Times New Roman"/>
        </w:rPr>
        <w:t>= 11480 </w:t>
      </w:r>
      <w:r>
        <w:rPr>
          <w:spacing w:val="-1"/>
        </w:rPr>
        <w:t>× </w:t>
      </w:r>
      <w:r>
        <w:rPr>
          <w:rFonts w:ascii="Times New Roman" w:hAnsi="Times New Roman" w:eastAsia="Times New Roman"/>
        </w:rPr>
        <w:t>0.25</w:t>
      </w:r>
      <w:r>
        <w:rPr>
          <w:rFonts w:ascii="Times New Roman" w:hAnsi="Times New Roman" w:eastAsia="Times New Roman"/>
          <w:spacing w:val="-1"/>
        </w:rPr>
        <w:t>% = </w:t>
      </w:r>
      <w:r>
        <w:rPr>
          <w:rFonts w:ascii="Times New Roman" w:hAnsi="Times New Roman" w:eastAsia="Times New Roman"/>
        </w:rPr>
        <w:t>28.7 </w:t>
      </w:r>
      <w:r>
        <w:rPr/>
        <w:t>元</w:t>
      </w:r>
    </w:p>
    <w:p>
      <w:pPr>
        <w:spacing w:after="0"/>
        <w:sectPr>
          <w:pgSz w:w="11910" w:h="16840"/>
          <w:pgMar w:header="877" w:footer="995" w:top="1100" w:bottom="1180" w:left="960" w:right="900"/>
        </w:sectPr>
      </w:pPr>
    </w:p>
    <w:p>
      <w:pPr>
        <w:pStyle w:val="BodyText"/>
        <w:spacing w:before="10"/>
        <w:rPr>
          <w:sz w:val="26"/>
        </w:rPr>
      </w:pPr>
    </w:p>
    <w:p>
      <w:pPr>
        <w:pStyle w:val="BodyText"/>
        <w:spacing w:before="78"/>
        <w:ind w:left="1260"/>
      </w:pPr>
      <w:r>
        <w:rPr>
          <w:spacing w:val="-2"/>
        </w:rPr>
        <w:t>赎回金额 </w:t>
      </w:r>
      <w:r>
        <w:rPr>
          <w:rFonts w:ascii="Times New Roman" w:eastAsia="Times New Roman"/>
        </w:rPr>
        <w:t>= 11480</w:t>
      </w:r>
      <w:r>
        <w:rPr>
          <w:rFonts w:ascii="Times New Roman" w:eastAsia="Times New Roman"/>
          <w:spacing w:val="51"/>
        </w:rPr>
        <w:t> </w:t>
      </w:r>
      <w:r>
        <w:rPr>
          <w:spacing w:val="-2"/>
        </w:rPr>
        <w:t>－ </w:t>
      </w:r>
      <w:r>
        <w:rPr>
          <w:rFonts w:ascii="Times New Roman" w:eastAsia="Times New Roman"/>
        </w:rPr>
        <w:t>28.7= 11451.3 </w:t>
      </w:r>
      <w:r>
        <w:rPr/>
        <w:t>元</w:t>
      </w:r>
    </w:p>
    <w:p>
      <w:pPr>
        <w:pStyle w:val="BodyText"/>
        <w:spacing w:before="7"/>
        <w:rPr>
          <w:sz w:val="15"/>
        </w:rPr>
      </w:pPr>
    </w:p>
    <w:p>
      <w:pPr>
        <w:pStyle w:val="BodyText"/>
        <w:ind w:left="1260"/>
      </w:pPr>
      <w:r>
        <w:rPr/>
        <w:t>即：投资者赎回 </w:t>
      </w:r>
      <w:r>
        <w:rPr>
          <w:rFonts w:ascii="Times New Roman" w:eastAsia="Times New Roman"/>
        </w:rPr>
        <w:t>10,000 </w:t>
      </w:r>
      <w:r>
        <w:rPr/>
        <w:t>份本基金，假设赎回当日的基金份额净值为 </w:t>
      </w:r>
      <w:r>
        <w:rPr>
          <w:rFonts w:ascii="Times New Roman" w:eastAsia="Times New Roman"/>
        </w:rPr>
        <w:t>1.148 </w:t>
      </w:r>
      <w:r>
        <w:rPr/>
        <w:t>元，则可得到</w:t>
      </w:r>
    </w:p>
    <w:p>
      <w:pPr>
        <w:pStyle w:val="BodyText"/>
        <w:spacing w:before="6"/>
        <w:rPr>
          <w:sz w:val="15"/>
        </w:rPr>
      </w:pPr>
    </w:p>
    <w:p>
      <w:pPr>
        <w:pStyle w:val="BodyText"/>
        <w:spacing w:before="1"/>
        <w:ind w:left="840"/>
      </w:pPr>
      <w:r>
        <w:rPr>
          <w:rFonts w:ascii="Times New Roman" w:eastAsia="Times New Roman"/>
        </w:rPr>
        <w:t>11451.3 </w:t>
      </w:r>
      <w:r>
        <w:rPr/>
        <w:t>元净赎回金额。</w:t>
      </w:r>
    </w:p>
    <w:p>
      <w:pPr>
        <w:pStyle w:val="BodyText"/>
        <w:spacing w:before="6"/>
        <w:rPr>
          <w:sz w:val="15"/>
        </w:rPr>
      </w:pPr>
    </w:p>
    <w:p>
      <w:pPr>
        <w:pStyle w:val="BodyText"/>
        <w:ind w:left="840"/>
      </w:pPr>
      <w:r>
        <w:rPr>
          <w:rFonts w:ascii="Times New Roman" w:eastAsia="Times New Roman"/>
        </w:rPr>
        <w:t>3</w:t>
      </w:r>
      <w:r>
        <w:rPr/>
        <w:t>、本基金转换交易的计算</w:t>
      </w:r>
    </w:p>
    <w:p>
      <w:pPr>
        <w:pStyle w:val="BodyText"/>
        <w:spacing w:before="7"/>
        <w:rPr>
          <w:sz w:val="15"/>
        </w:rPr>
      </w:pPr>
    </w:p>
    <w:p>
      <w:pPr>
        <w:pStyle w:val="BodyText"/>
        <w:ind w:left="1274"/>
      </w:pPr>
      <w:r>
        <w:rPr/>
        <w:t>本基金的转换交易包括了基金转出和基金转入，其中：</w:t>
      </w:r>
    </w:p>
    <w:p>
      <w:pPr>
        <w:pStyle w:val="BodyText"/>
        <w:spacing w:before="7"/>
        <w:rPr>
          <w:sz w:val="15"/>
        </w:rPr>
      </w:pPr>
    </w:p>
    <w:p>
      <w:pPr>
        <w:pStyle w:val="BodyText"/>
        <w:spacing w:line="417" w:lineRule="auto"/>
        <w:ind w:left="1260" w:right="6050"/>
      </w:pPr>
      <w:r>
        <w:rPr>
          <w:spacing w:val="-4"/>
        </w:rPr>
        <w:t>①基金转出时赎回费的计算： </w:t>
      </w:r>
      <w:r>
        <w:rPr>
          <w:spacing w:val="-3"/>
        </w:rPr>
        <w:t>由股票基金转出时：</w:t>
      </w:r>
    </w:p>
    <w:p>
      <w:pPr>
        <w:pStyle w:val="BodyText"/>
        <w:spacing w:line="417" w:lineRule="auto"/>
        <w:ind w:left="1260" w:right="4158"/>
      </w:pPr>
      <w:r>
        <w:rPr>
          <w:spacing w:val="-1"/>
        </w:rPr>
        <w:t>转出总额</w:t>
      </w:r>
      <w:r>
        <w:rPr>
          <w:spacing w:val="-3"/>
        </w:rPr>
        <w:t>＝</w:t>
      </w:r>
      <w:r>
        <w:rPr>
          <w:spacing w:val="-4"/>
        </w:rPr>
        <w:t>转出份额×转出基金当日基金份额净值</w:t>
      </w:r>
      <w:r>
        <w:rPr>
          <w:spacing w:val="-3"/>
        </w:rPr>
        <w:t>由货币基金转出时：</w:t>
      </w:r>
    </w:p>
    <w:p>
      <w:pPr>
        <w:pStyle w:val="BodyText"/>
        <w:spacing w:line="417" w:lineRule="auto"/>
        <w:ind w:left="1260" w:right="1520"/>
      </w:pPr>
      <w:r>
        <w:rPr/>
        <w:t>转出总额＝转出份额×转出基金当日基金份额净值</w:t>
      </w:r>
      <w:r>
        <w:rPr>
          <w:rFonts w:ascii="Times New Roman" w:hAnsi="Times New Roman" w:eastAsia="Times New Roman"/>
        </w:rPr>
        <w:t>+</w:t>
      </w:r>
      <w:r>
        <w:rPr/>
        <w:t>待结转收益（全额转出时） 赎回费用＝转出总额×转出基金赎回费率</w:t>
      </w:r>
    </w:p>
    <w:p>
      <w:pPr>
        <w:pStyle w:val="BodyText"/>
        <w:spacing w:line="269" w:lineRule="exact"/>
        <w:ind w:left="1260"/>
      </w:pPr>
      <w:r>
        <w:rPr/>
        <w:t>转出净额＝转出总额－赎回费用</w:t>
      </w:r>
    </w:p>
    <w:p>
      <w:pPr>
        <w:pStyle w:val="BodyText"/>
        <w:spacing w:before="6"/>
        <w:rPr>
          <w:sz w:val="15"/>
        </w:rPr>
      </w:pPr>
    </w:p>
    <w:p>
      <w:pPr>
        <w:pStyle w:val="BodyText"/>
        <w:spacing w:line="417" w:lineRule="auto" w:before="1"/>
        <w:ind w:left="1260" w:right="5418"/>
      </w:pPr>
      <w:r>
        <w:rPr>
          <w:spacing w:val="-3"/>
        </w:rPr>
        <w:t>②基金转入时申购补差费的计算： 净转入金额</w:t>
      </w:r>
      <w:r>
        <w:rPr/>
        <w:t>＝</w:t>
      </w:r>
      <w:r>
        <w:rPr>
          <w:spacing w:val="-4"/>
        </w:rPr>
        <w:t>转出净额－申购补差费</w:t>
      </w:r>
    </w:p>
    <w:p>
      <w:pPr>
        <w:pStyle w:val="BodyText"/>
        <w:spacing w:line="417" w:lineRule="auto"/>
        <w:ind w:left="840" w:right="894" w:firstLine="419"/>
      </w:pPr>
      <w:r>
        <w:rPr/>
        <w:t>其中，申购补差费</w:t>
      </w:r>
      <w:r>
        <w:rPr>
          <w:rFonts w:ascii="Times New Roman" w:eastAsia="Times New Roman"/>
        </w:rPr>
        <w:t>= MAX</w:t>
      </w:r>
      <w:r>
        <w:rPr/>
        <w:t>【转出净额在转入基金中对应的申购费用－转出净额在转出基金中对应的申购费用，</w:t>
      </w:r>
      <w:r>
        <w:rPr>
          <w:rFonts w:ascii="Times New Roman" w:eastAsia="Times New Roman"/>
        </w:rPr>
        <w:t>0</w:t>
      </w:r>
      <w:r>
        <w:rPr/>
        <w:t>】</w:t>
      </w:r>
    </w:p>
    <w:p>
      <w:pPr>
        <w:pStyle w:val="BodyText"/>
        <w:spacing w:line="269" w:lineRule="exact"/>
        <w:ind w:left="1260"/>
      </w:pPr>
      <w:r>
        <w:rPr>
          <w:spacing w:val="-1"/>
        </w:rPr>
        <w:t>转入份额</w:t>
      </w:r>
      <w:r>
        <w:rPr>
          <w:spacing w:val="-3"/>
        </w:rPr>
        <w:t>＝净转入金额 </w:t>
      </w:r>
      <w:r>
        <w:rPr>
          <w:rFonts w:ascii="Times New Roman" w:eastAsia="Times New Roman"/>
        </w:rPr>
        <w:t>/ </w:t>
      </w:r>
      <w:r>
        <w:rPr>
          <w:spacing w:val="-3"/>
        </w:rPr>
        <w:t>转入基金当日基金份额净值</w:t>
      </w:r>
    </w:p>
    <w:p>
      <w:pPr>
        <w:pStyle w:val="BodyText"/>
        <w:spacing w:before="6"/>
        <w:rPr>
          <w:sz w:val="15"/>
        </w:rPr>
      </w:pPr>
    </w:p>
    <w:p>
      <w:pPr>
        <w:pStyle w:val="BodyText"/>
        <w:ind w:left="1260"/>
        <w:jc w:val="both"/>
      </w:pPr>
      <w:r>
        <w:rPr/>
        <w:t>例：投资者申请将持有的本基金 </w:t>
      </w:r>
      <w:r>
        <w:rPr>
          <w:rFonts w:ascii="Times New Roman" w:eastAsia="Times New Roman"/>
        </w:rPr>
        <w:t>10,000 </w:t>
      </w:r>
      <w:r>
        <w:rPr/>
        <w:t>份转换为景顺长城内需增长贰号股票型证券投</w:t>
      </w:r>
    </w:p>
    <w:p>
      <w:pPr>
        <w:pStyle w:val="BodyText"/>
        <w:spacing w:before="7"/>
        <w:rPr>
          <w:sz w:val="15"/>
        </w:rPr>
      </w:pPr>
    </w:p>
    <w:p>
      <w:pPr>
        <w:pStyle w:val="BodyText"/>
        <w:spacing w:line="417" w:lineRule="auto"/>
        <w:ind w:left="840" w:right="891"/>
        <w:jc w:val="both"/>
      </w:pPr>
      <w:r>
        <w:rPr>
          <w:spacing w:val="-5"/>
        </w:rPr>
        <w:t>资基金，假设转换当日本基金的基金份额净值为 </w:t>
      </w:r>
      <w:r>
        <w:rPr>
          <w:rFonts w:ascii="Times New Roman" w:eastAsia="Times New Roman"/>
        </w:rPr>
        <w:t>1.148 </w:t>
      </w:r>
      <w:r>
        <w:rPr>
          <w:spacing w:val="-6"/>
        </w:rPr>
        <w:t>元，投资者持有该基金 </w:t>
      </w:r>
      <w:r>
        <w:rPr>
          <w:rFonts w:ascii="Times New Roman" w:eastAsia="Times New Roman"/>
        </w:rPr>
        <w:t>18 </w:t>
      </w:r>
      <w:r>
        <w:rPr>
          <w:spacing w:val="-1"/>
        </w:rPr>
        <w:t>个月，对</w:t>
      </w:r>
      <w:r>
        <w:rPr>
          <w:spacing w:val="-10"/>
        </w:rPr>
        <w:t>应赎回费为 </w:t>
      </w:r>
      <w:r>
        <w:rPr>
          <w:rFonts w:ascii="Times New Roman" w:eastAsia="Times New Roman"/>
          <w:spacing w:val="-4"/>
        </w:rPr>
        <w:t>0.25</w:t>
      </w:r>
      <w:r>
        <w:rPr>
          <w:spacing w:val="-9"/>
        </w:rPr>
        <w:t>％，申购费为 </w:t>
      </w:r>
      <w:r>
        <w:rPr>
          <w:rFonts w:ascii="Times New Roman" w:eastAsia="Times New Roman"/>
          <w:spacing w:val="-4"/>
        </w:rPr>
        <w:t>1.50</w:t>
      </w:r>
      <w:r>
        <w:rPr>
          <w:spacing w:val="-6"/>
        </w:rPr>
        <w:t>％，内需增长贰号基金的基金份额净值为 </w:t>
      </w:r>
      <w:r>
        <w:rPr>
          <w:rFonts w:ascii="Times New Roman" w:eastAsia="Times New Roman"/>
        </w:rPr>
        <w:t>1.163 </w:t>
      </w:r>
      <w:r>
        <w:rPr>
          <w:spacing w:val="-6"/>
        </w:rPr>
        <w:t>元，申购</w:t>
      </w:r>
      <w:r>
        <w:rPr>
          <w:spacing w:val="-22"/>
        </w:rPr>
        <w:t>费为 </w:t>
      </w:r>
      <w:r>
        <w:rPr>
          <w:rFonts w:ascii="Times New Roman" w:eastAsia="Times New Roman"/>
        </w:rPr>
        <w:t>1.50</w:t>
      </w:r>
      <w:r>
        <w:rPr>
          <w:spacing w:val="-3"/>
        </w:rPr>
        <w:t>％，则投资者转换后可得到的内需增长贰号基金份额为：</w:t>
      </w:r>
    </w:p>
    <w:p>
      <w:pPr>
        <w:pStyle w:val="BodyText"/>
        <w:ind w:left="1260"/>
      </w:pPr>
      <w:r>
        <w:rPr>
          <w:spacing w:val="-1"/>
        </w:rPr>
        <w:t>转出总额</w:t>
      </w:r>
      <w:r>
        <w:rPr/>
        <w:t>＝</w:t>
      </w:r>
      <w:r>
        <w:rPr>
          <w:rFonts w:ascii="Times New Roman" w:hAnsi="Times New Roman" w:eastAsia="Times New Roman"/>
        </w:rPr>
        <w:t>10,000</w:t>
      </w:r>
      <w:r>
        <w:rPr/>
        <w:t>×</w:t>
      </w:r>
      <w:r>
        <w:rPr>
          <w:rFonts w:ascii="Times New Roman" w:hAnsi="Times New Roman" w:eastAsia="Times New Roman"/>
        </w:rPr>
        <w:t>1.148</w:t>
      </w:r>
      <w:r>
        <w:rPr/>
        <w:t>＝</w:t>
      </w:r>
      <w:r>
        <w:rPr>
          <w:rFonts w:ascii="Times New Roman" w:hAnsi="Times New Roman" w:eastAsia="Times New Roman"/>
        </w:rPr>
        <w:t>11,480</w:t>
      </w:r>
      <w:r>
        <w:rPr>
          <w:rFonts w:ascii="Times New Roman" w:hAnsi="Times New Roman" w:eastAsia="Times New Roman"/>
          <w:spacing w:val="-8"/>
        </w:rPr>
        <w:t> </w:t>
      </w:r>
      <w:r>
        <w:rPr/>
        <w:t>元</w:t>
      </w:r>
    </w:p>
    <w:p>
      <w:pPr>
        <w:pStyle w:val="BodyText"/>
        <w:spacing w:before="7"/>
        <w:rPr>
          <w:sz w:val="15"/>
        </w:rPr>
      </w:pPr>
    </w:p>
    <w:p>
      <w:pPr>
        <w:pStyle w:val="BodyText"/>
        <w:spacing w:line="417" w:lineRule="auto"/>
        <w:ind w:left="1260" w:right="5423"/>
      </w:pPr>
      <w:r>
        <w:rPr>
          <w:spacing w:val="-1"/>
        </w:rPr>
        <w:t>赎回费用</w:t>
      </w:r>
      <w:r>
        <w:rPr/>
        <w:t>＝</w:t>
      </w:r>
      <w:r>
        <w:rPr>
          <w:rFonts w:ascii="Times New Roman" w:hAnsi="Times New Roman" w:eastAsia="Times New Roman"/>
        </w:rPr>
        <w:t>11,480</w:t>
      </w:r>
      <w:r>
        <w:rPr/>
        <w:t>×</w:t>
      </w:r>
      <w:r>
        <w:rPr>
          <w:rFonts w:ascii="Times New Roman" w:hAnsi="Times New Roman" w:eastAsia="Times New Roman"/>
        </w:rPr>
        <w:t>0.25</w:t>
      </w:r>
      <w:r>
        <w:rPr/>
        <w:t>％＝</w:t>
      </w:r>
      <w:r>
        <w:rPr>
          <w:rFonts w:ascii="Times New Roman" w:hAnsi="Times New Roman" w:eastAsia="Times New Roman"/>
        </w:rPr>
        <w:t>28.7</w:t>
      </w:r>
      <w:r>
        <w:rPr>
          <w:rFonts w:ascii="Times New Roman" w:hAnsi="Times New Roman" w:eastAsia="Times New Roman"/>
          <w:spacing w:val="-5"/>
        </w:rPr>
        <w:t> </w:t>
      </w:r>
      <w:r>
        <w:rPr/>
        <w:t>元</w:t>
      </w:r>
      <w:r>
        <w:rPr>
          <w:spacing w:val="-1"/>
        </w:rPr>
        <w:t>转出净额</w:t>
      </w:r>
      <w:r>
        <w:rPr/>
        <w:t>＝</w:t>
      </w:r>
      <w:r>
        <w:rPr>
          <w:rFonts w:ascii="Times New Roman" w:hAnsi="Times New Roman" w:eastAsia="Times New Roman"/>
        </w:rPr>
        <w:t>11,480</w:t>
      </w:r>
      <w:r>
        <w:rPr/>
        <w:t>－</w:t>
      </w:r>
      <w:r>
        <w:rPr>
          <w:rFonts w:ascii="Times New Roman" w:hAnsi="Times New Roman" w:eastAsia="Times New Roman"/>
        </w:rPr>
        <w:t>28.7</w:t>
      </w:r>
      <w:r>
        <w:rPr>
          <w:rFonts w:ascii="Times New Roman" w:hAnsi="Times New Roman" w:eastAsia="Times New Roman"/>
          <w:spacing w:val="-4"/>
        </w:rPr>
        <w:t>= </w:t>
      </w:r>
      <w:r>
        <w:rPr>
          <w:rFonts w:ascii="Times New Roman" w:hAnsi="Times New Roman" w:eastAsia="Times New Roman"/>
        </w:rPr>
        <w:t>11,451.3</w:t>
      </w:r>
      <w:r>
        <w:rPr>
          <w:rFonts w:ascii="Times New Roman" w:hAnsi="Times New Roman" w:eastAsia="Times New Roman"/>
          <w:spacing w:val="-9"/>
        </w:rPr>
        <w:t> </w:t>
      </w:r>
      <w:r>
        <w:rPr>
          <w:spacing w:val="-11"/>
        </w:rPr>
        <w:t>元</w:t>
      </w:r>
    </w:p>
    <w:p>
      <w:pPr>
        <w:pStyle w:val="BodyText"/>
        <w:spacing w:line="417" w:lineRule="auto"/>
        <w:ind w:left="1260" w:right="2374"/>
      </w:pPr>
      <w:r>
        <w:rPr/>
        <w:t>转出净额在转入基金中对应的净申购金额</w:t>
      </w:r>
      <w:r>
        <w:rPr>
          <w:rFonts w:ascii="Times New Roman" w:eastAsia="Times New Roman"/>
        </w:rPr>
        <w:t>=11,451.3/1.015=11,282.07 </w:t>
      </w:r>
      <w:r>
        <w:rPr/>
        <w:t>元转出净额在转入基金中对应的申购费用</w:t>
      </w:r>
      <w:r>
        <w:rPr>
          <w:rFonts w:ascii="Times New Roman" w:eastAsia="Times New Roman"/>
        </w:rPr>
        <w:t>=11,451.3-11,282.07=169.23 </w:t>
      </w:r>
      <w:r>
        <w:rPr/>
        <w:t>元转出净额在转出基金中对应的净申购金额</w:t>
      </w:r>
      <w:r>
        <w:rPr>
          <w:rFonts w:ascii="Times New Roman" w:eastAsia="Times New Roman"/>
        </w:rPr>
        <w:t>=11,451.3/1.015=11,282.07 </w:t>
      </w:r>
      <w:r>
        <w:rPr/>
        <w:t>元转出净额在转出基金中对应的申购费用</w:t>
      </w:r>
      <w:r>
        <w:rPr>
          <w:rFonts w:ascii="Times New Roman" w:eastAsia="Times New Roman"/>
        </w:rPr>
        <w:t>=11,451.3-11,282.07=169.23 </w:t>
      </w:r>
      <w:r>
        <w:rPr/>
        <w:t>元净转入金额＝</w:t>
      </w:r>
      <w:r>
        <w:rPr>
          <w:rFonts w:ascii="Times New Roman" w:eastAsia="Times New Roman"/>
        </w:rPr>
        <w:t>11,451.3</w:t>
      </w:r>
      <w:r>
        <w:rPr/>
        <w:t>－</w:t>
      </w:r>
      <w:r>
        <w:rPr>
          <w:rFonts w:ascii="Times New Roman" w:eastAsia="Times New Roman"/>
        </w:rPr>
        <w:t>MAX</w:t>
      </w:r>
      <w:r>
        <w:rPr/>
        <w:t>【</w:t>
      </w:r>
      <w:r>
        <w:rPr>
          <w:rFonts w:ascii="Times New Roman" w:eastAsia="Times New Roman"/>
        </w:rPr>
        <w:t>169.23</w:t>
      </w:r>
      <w:r>
        <w:rPr/>
        <w:t>－</w:t>
      </w:r>
      <w:r>
        <w:rPr>
          <w:rFonts w:ascii="Times New Roman" w:eastAsia="Times New Roman"/>
        </w:rPr>
        <w:t>169.23</w:t>
      </w:r>
      <w:r>
        <w:rPr/>
        <w:t>，</w:t>
      </w:r>
      <w:r>
        <w:rPr>
          <w:rFonts w:ascii="Times New Roman" w:eastAsia="Times New Roman"/>
        </w:rPr>
        <w:t>0</w:t>
      </w:r>
      <w:r>
        <w:rPr/>
        <w:t>】</w:t>
      </w:r>
      <w:r>
        <w:rPr>
          <w:rFonts w:ascii="Times New Roman" w:eastAsia="Times New Roman"/>
        </w:rPr>
        <w:t>=11,451.3 </w:t>
      </w:r>
      <w:r>
        <w:rPr/>
        <w:t>元</w:t>
      </w:r>
    </w:p>
    <w:p>
      <w:pPr>
        <w:pStyle w:val="BodyText"/>
        <w:spacing w:line="269" w:lineRule="exact"/>
        <w:ind w:left="1260"/>
      </w:pPr>
      <w:r>
        <w:rPr/>
        <w:t>转入份额＝</w:t>
      </w:r>
      <w:r>
        <w:rPr>
          <w:rFonts w:ascii="Times New Roman" w:eastAsia="Times New Roman"/>
        </w:rPr>
        <w:t>11,451.3 / 1.163</w:t>
      </w:r>
      <w:r>
        <w:rPr/>
        <w:t>＝</w:t>
      </w:r>
      <w:r>
        <w:rPr>
          <w:rFonts w:ascii="Times New Roman" w:eastAsia="Times New Roman"/>
        </w:rPr>
        <w:t>9,846.34 </w:t>
      </w:r>
      <w:r>
        <w:rPr/>
        <w:t>份</w:t>
      </w:r>
    </w:p>
    <w:p>
      <w:pPr>
        <w:spacing w:after="0" w:line="269" w:lineRule="exact"/>
        <w:sectPr>
          <w:pgSz w:w="11910" w:h="16840"/>
          <w:pgMar w:header="877" w:footer="995" w:top="1100" w:bottom="1180" w:left="960" w:right="900"/>
        </w:sectPr>
      </w:pPr>
    </w:p>
    <w:p>
      <w:pPr>
        <w:pStyle w:val="BodyText"/>
        <w:spacing w:before="10"/>
        <w:rPr>
          <w:sz w:val="26"/>
        </w:rPr>
      </w:pPr>
    </w:p>
    <w:p>
      <w:pPr>
        <w:pStyle w:val="BodyText"/>
        <w:spacing w:before="78"/>
        <w:ind w:left="840"/>
      </w:pPr>
      <w:r>
        <w:rPr>
          <w:rFonts w:ascii="Times New Roman" w:eastAsia="Times New Roman"/>
        </w:rPr>
        <w:t>4</w:t>
      </w:r>
      <w:r>
        <w:rPr/>
        <w:t>、本基金份额净值的计算</w:t>
      </w:r>
    </w:p>
    <w:p>
      <w:pPr>
        <w:pStyle w:val="BodyText"/>
        <w:spacing w:before="7"/>
        <w:rPr>
          <w:sz w:val="15"/>
        </w:rPr>
      </w:pPr>
    </w:p>
    <w:p>
      <w:pPr>
        <w:pStyle w:val="BodyText"/>
        <w:spacing w:line="417" w:lineRule="auto"/>
        <w:ind w:left="840" w:right="891" w:firstLine="419"/>
      </w:pPr>
      <w:r>
        <w:rPr>
          <w:rFonts w:ascii="Times New Roman" w:eastAsia="Times New Roman"/>
        </w:rPr>
        <w:t>T </w:t>
      </w:r>
      <w:r>
        <w:rPr>
          <w:spacing w:val="-7"/>
        </w:rPr>
        <w:t>日的基金份额净值在当天收市后计算，并在 </w:t>
      </w:r>
      <w:r>
        <w:rPr>
          <w:rFonts w:ascii="Times New Roman" w:eastAsia="Times New Roman"/>
        </w:rPr>
        <w:t>T+1 </w:t>
      </w:r>
      <w:r>
        <w:rPr>
          <w:spacing w:val="-10"/>
        </w:rPr>
        <w:t>日内公告。遇特殊情况，经中国证监</w:t>
      </w:r>
      <w:r>
        <w:rPr>
          <w:spacing w:val="-12"/>
        </w:rPr>
        <w:t>会同意，可以适当延迟计算或公告。本基金份额净值的计算，保留到小数点后 </w:t>
      </w:r>
      <w:r>
        <w:rPr>
          <w:rFonts w:ascii="Times New Roman" w:eastAsia="Times New Roman"/>
        </w:rPr>
        <w:t>3 </w:t>
      </w:r>
      <w:r>
        <w:rPr>
          <w:spacing w:val="-8"/>
        </w:rPr>
        <w:t>位，小数点</w:t>
      </w:r>
    </w:p>
    <w:p>
      <w:pPr>
        <w:pStyle w:val="BodyText"/>
        <w:spacing w:line="269" w:lineRule="exact"/>
        <w:ind w:left="840"/>
      </w:pPr>
      <w:r>
        <w:rPr/>
        <w:t>后第 </w:t>
      </w:r>
      <w:r>
        <w:rPr>
          <w:rFonts w:ascii="Times New Roman" w:eastAsia="Times New Roman"/>
        </w:rPr>
        <w:t>4 </w:t>
      </w:r>
      <w:r>
        <w:rPr/>
        <w:t>位四舍五入。</w:t>
      </w:r>
    </w:p>
    <w:p>
      <w:pPr>
        <w:pStyle w:val="BodyText"/>
        <w:spacing w:before="6"/>
        <w:rPr>
          <w:sz w:val="15"/>
        </w:rPr>
      </w:pPr>
    </w:p>
    <w:p>
      <w:pPr>
        <w:pStyle w:val="BodyText"/>
        <w:spacing w:before="1"/>
        <w:ind w:left="840"/>
      </w:pPr>
      <w:r>
        <w:rPr>
          <w:rFonts w:ascii="Times New Roman" w:eastAsia="Times New Roman"/>
        </w:rPr>
        <w:t>5</w:t>
      </w:r>
      <w:r>
        <w:rPr/>
        <w:t>、申购、转入份额的处理方式</w:t>
      </w:r>
    </w:p>
    <w:p>
      <w:pPr>
        <w:pStyle w:val="BodyText"/>
        <w:spacing w:before="6"/>
        <w:rPr>
          <w:sz w:val="15"/>
        </w:rPr>
      </w:pPr>
    </w:p>
    <w:p>
      <w:pPr>
        <w:pStyle w:val="BodyText"/>
        <w:spacing w:line="417" w:lineRule="auto"/>
        <w:ind w:left="840" w:right="891" w:firstLine="419"/>
        <w:jc w:val="both"/>
      </w:pPr>
      <w:r>
        <w:rPr>
          <w:spacing w:val="-6"/>
        </w:rPr>
        <w:t>本基金申购的有效份额为按实际确认的申购金额在扣除相应的费用后，以当日基金份额</w:t>
      </w:r>
      <w:r>
        <w:rPr>
          <w:spacing w:val="-10"/>
        </w:rPr>
        <w:t>净值为基准计算，计算结果保留到小数点后 </w:t>
      </w:r>
      <w:r>
        <w:rPr>
          <w:rFonts w:ascii="Times New Roman" w:eastAsia="Times New Roman"/>
        </w:rPr>
        <w:t>2 </w:t>
      </w:r>
      <w:r>
        <w:rPr>
          <w:spacing w:val="-9"/>
        </w:rPr>
        <w:t>位，小数点后两位以后的部分四舍五入，由此</w:t>
      </w:r>
      <w:r>
        <w:rPr>
          <w:spacing w:val="-5"/>
        </w:rPr>
        <w:t>产生的误差计入基金财产。</w:t>
      </w:r>
    </w:p>
    <w:p>
      <w:pPr>
        <w:pStyle w:val="BodyText"/>
        <w:spacing w:before="1"/>
        <w:ind w:left="840"/>
      </w:pPr>
      <w:r>
        <w:rPr>
          <w:rFonts w:ascii="Times New Roman" w:eastAsia="Times New Roman"/>
        </w:rPr>
        <w:t>6</w:t>
      </w:r>
      <w:r>
        <w:rPr/>
        <w:t>、赎回、转换金额的处理方式</w:t>
      </w:r>
    </w:p>
    <w:p>
      <w:pPr>
        <w:pStyle w:val="BodyText"/>
        <w:spacing w:before="6"/>
        <w:rPr>
          <w:sz w:val="15"/>
        </w:rPr>
      </w:pPr>
    </w:p>
    <w:p>
      <w:pPr>
        <w:pStyle w:val="BodyText"/>
        <w:spacing w:line="417" w:lineRule="auto"/>
        <w:ind w:left="840" w:right="891" w:firstLine="419"/>
        <w:jc w:val="both"/>
      </w:pPr>
      <w:r>
        <w:rPr>
          <w:spacing w:val="-10"/>
        </w:rPr>
        <w:t>本基金的赎回、转换金额为按实际确认的有效赎回、转出份额以当日基金份额净值为基</w:t>
      </w:r>
      <w:r>
        <w:rPr>
          <w:spacing w:val="-11"/>
        </w:rPr>
        <w:t>准计算并扣除相应的费用，计算结果保留到小数点后 </w:t>
      </w:r>
      <w:r>
        <w:rPr>
          <w:rFonts w:ascii="Times New Roman" w:eastAsia="Times New Roman"/>
        </w:rPr>
        <w:t>2 </w:t>
      </w:r>
      <w:r>
        <w:rPr>
          <w:spacing w:val="-9"/>
        </w:rPr>
        <w:t>位，小数点后两位以后的部分四舍五</w:t>
      </w:r>
      <w:r>
        <w:rPr>
          <w:spacing w:val="-5"/>
        </w:rPr>
        <w:t>入，由此产生的误差计入基金财产。</w:t>
      </w:r>
    </w:p>
    <w:p>
      <w:pPr>
        <w:pStyle w:val="BodyText"/>
        <w:rPr>
          <w:sz w:val="20"/>
        </w:rPr>
      </w:pPr>
    </w:p>
    <w:p>
      <w:pPr>
        <w:pStyle w:val="BodyText"/>
        <w:spacing w:before="6"/>
        <w:rPr>
          <w:sz w:val="16"/>
        </w:rPr>
      </w:pPr>
    </w:p>
    <w:p>
      <w:pPr>
        <w:pStyle w:val="Heading4"/>
        <w:spacing w:before="1"/>
      </w:pPr>
      <w:r>
        <w:rPr/>
        <w:t>九、申购、赎回和转换的注册登记</w:t>
      </w:r>
    </w:p>
    <w:p>
      <w:pPr>
        <w:pStyle w:val="BodyText"/>
        <w:spacing w:before="6"/>
        <w:rPr>
          <w:b/>
          <w:sz w:val="15"/>
        </w:rPr>
      </w:pPr>
    </w:p>
    <w:p>
      <w:pPr>
        <w:pStyle w:val="BodyText"/>
        <w:spacing w:line="417" w:lineRule="auto" w:before="1"/>
        <w:ind w:left="840" w:right="713" w:firstLine="419"/>
      </w:pPr>
      <w:r>
        <w:rPr/>
        <w:t>投资者申购基金成功后，注册登记人在 </w:t>
      </w:r>
      <w:r>
        <w:rPr>
          <w:rFonts w:ascii="Times New Roman" w:eastAsia="Times New Roman"/>
        </w:rPr>
        <w:t>T+1 </w:t>
      </w:r>
      <w:r>
        <w:rPr/>
        <w:t>日为投资者登记权益并办理注册登记手续， 投资者自</w:t>
      </w:r>
      <w:r>
        <w:rPr>
          <w:rFonts w:ascii="Times New Roman" w:eastAsia="Times New Roman"/>
        </w:rPr>
        <w:t>T+2 </w:t>
      </w:r>
      <w:r>
        <w:rPr/>
        <w:t>日（含该日）后有权赎回该部分基金份额。</w:t>
      </w:r>
    </w:p>
    <w:p>
      <w:pPr>
        <w:pStyle w:val="BodyText"/>
        <w:spacing w:line="417" w:lineRule="auto"/>
        <w:ind w:left="1260" w:right="788"/>
      </w:pPr>
      <w:r>
        <w:rPr>
          <w:spacing w:val="-8"/>
        </w:rPr>
        <w:t>投资者赎回基金成功后，注册登记人在 </w:t>
      </w:r>
      <w:r>
        <w:rPr>
          <w:rFonts w:ascii="Times New Roman" w:eastAsia="Times New Roman"/>
        </w:rPr>
        <w:t>T+1 </w:t>
      </w:r>
      <w:r>
        <w:rPr>
          <w:spacing w:val="-3"/>
        </w:rPr>
        <w:t>日为投资者办理扣除权益的注册登记手续。投资者转换基金成功后，注册登记人在 </w:t>
      </w:r>
      <w:r>
        <w:rPr>
          <w:rFonts w:ascii="Times New Roman" w:eastAsia="Times New Roman"/>
        </w:rPr>
        <w:t>T+1</w:t>
      </w:r>
      <w:r>
        <w:rPr>
          <w:rFonts w:ascii="Times New Roman" w:eastAsia="Times New Roman"/>
          <w:spacing w:val="51"/>
        </w:rPr>
        <w:t> </w:t>
      </w:r>
      <w:r>
        <w:rPr>
          <w:spacing w:val="-3"/>
        </w:rPr>
        <w:t>日为投资者办理扣减转出基金权益的注册</w:t>
      </w:r>
    </w:p>
    <w:p>
      <w:pPr>
        <w:pStyle w:val="BodyText"/>
        <w:spacing w:line="417" w:lineRule="auto"/>
        <w:ind w:left="840" w:right="893"/>
      </w:pPr>
      <w:r>
        <w:rPr/>
        <w:t>登记手续，并同时为投资者办理登记转入基金权益的注册登记手续，投资者可在 </w:t>
      </w:r>
      <w:r>
        <w:rPr>
          <w:rFonts w:ascii="Times New Roman" w:eastAsia="Times New Roman"/>
        </w:rPr>
        <w:t>T+2 </w:t>
      </w:r>
      <w:r>
        <w:rPr/>
        <w:t>日向销售机构查询确认结果且自 </w:t>
      </w:r>
      <w:r>
        <w:rPr>
          <w:rFonts w:ascii="Times New Roman" w:eastAsia="Times New Roman"/>
        </w:rPr>
        <w:t>T+2 </w:t>
      </w:r>
      <w:r>
        <w:rPr/>
        <w:t>日（含该日）起转入基金份额可用。</w:t>
      </w:r>
    </w:p>
    <w:p>
      <w:pPr>
        <w:pStyle w:val="BodyText"/>
        <w:spacing w:line="417" w:lineRule="auto"/>
        <w:ind w:left="840" w:right="891" w:firstLine="419"/>
      </w:pPr>
      <w:r>
        <w:rPr>
          <w:spacing w:val="-8"/>
        </w:rPr>
        <w:t>基金管理人可以在法律法规允许的范围内，对上述注册登记办理时间进行调整，但不得</w:t>
      </w:r>
      <w:r>
        <w:rPr>
          <w:spacing w:val="-5"/>
        </w:rPr>
        <w:t>实质影响投资者的合法权益，并应当依照《信息披露办法》的有关规定在指定媒介公告。</w:t>
      </w:r>
    </w:p>
    <w:p>
      <w:pPr>
        <w:pStyle w:val="BodyText"/>
        <w:rPr>
          <w:sz w:val="20"/>
        </w:rPr>
      </w:pPr>
    </w:p>
    <w:p>
      <w:pPr>
        <w:pStyle w:val="BodyText"/>
        <w:spacing w:before="5"/>
        <w:rPr>
          <w:sz w:val="16"/>
        </w:rPr>
      </w:pPr>
    </w:p>
    <w:p>
      <w:pPr>
        <w:pStyle w:val="Heading4"/>
        <w:spacing w:before="1"/>
      </w:pPr>
      <w:r>
        <w:rPr/>
        <w:t>十、拒绝或暂停申购的情形及处理方式</w:t>
      </w:r>
    </w:p>
    <w:p>
      <w:pPr>
        <w:pStyle w:val="BodyText"/>
        <w:spacing w:before="6"/>
        <w:rPr>
          <w:b/>
          <w:sz w:val="15"/>
        </w:rPr>
      </w:pPr>
    </w:p>
    <w:p>
      <w:pPr>
        <w:pStyle w:val="BodyText"/>
        <w:ind w:left="1260"/>
      </w:pPr>
      <w:r>
        <w:rPr/>
        <w:t>除非出现如下情形，基金管理人不得拒绝或暂停基金投资者的申购申请：</w:t>
      </w:r>
    </w:p>
    <w:p>
      <w:pPr>
        <w:pStyle w:val="BodyText"/>
        <w:spacing w:before="7"/>
        <w:rPr>
          <w:sz w:val="15"/>
        </w:rPr>
      </w:pPr>
    </w:p>
    <w:p>
      <w:pPr>
        <w:pStyle w:val="BodyText"/>
        <w:ind w:left="1260"/>
      </w:pPr>
      <w:r>
        <w:rPr>
          <w:rFonts w:ascii="Times New Roman" w:eastAsia="Times New Roman"/>
        </w:rPr>
        <w:t>1</w:t>
      </w:r>
      <w:r>
        <w:rPr/>
        <w:t>、不可抗力的原因导致基金无法正常运作；</w:t>
      </w:r>
    </w:p>
    <w:p>
      <w:pPr>
        <w:pStyle w:val="BodyText"/>
        <w:spacing w:before="7"/>
        <w:rPr>
          <w:sz w:val="15"/>
        </w:rPr>
      </w:pPr>
    </w:p>
    <w:p>
      <w:pPr>
        <w:pStyle w:val="BodyText"/>
        <w:spacing w:line="417" w:lineRule="auto"/>
        <w:ind w:left="840" w:right="891" w:firstLine="419"/>
        <w:jc w:val="both"/>
      </w:pPr>
      <w:r>
        <w:rPr>
          <w:rFonts w:ascii="Times New Roman" w:eastAsia="Times New Roman"/>
        </w:rPr>
        <w:t>2</w:t>
      </w:r>
      <w:r>
        <w:rPr>
          <w:spacing w:val="-3"/>
        </w:rPr>
        <w:t>、发生基金合同规定的暂停基金资产估值情况时，基金管理人可暂停接受投资人的申</w:t>
      </w:r>
      <w:r>
        <w:rPr>
          <w:spacing w:val="-1"/>
        </w:rPr>
        <w:t>购申请。当前一估值日基金资产净值 </w:t>
      </w:r>
      <w:r>
        <w:rPr>
          <w:rFonts w:ascii="Times New Roman" w:eastAsia="Times New Roman"/>
        </w:rPr>
        <w:t>50%</w:t>
      </w:r>
      <w:r>
        <w:rPr>
          <w:spacing w:val="-1"/>
        </w:rPr>
        <w:t>以上的资产出现无可参考的活跃市场价格且采用</w:t>
      </w:r>
      <w:r>
        <w:rPr>
          <w:spacing w:val="-8"/>
        </w:rPr>
        <w:t>估值技术仍导致公允价值存在重大不确定性，经与基金托管人协商确定后，基金管理人应当</w:t>
      </w:r>
      <w:r>
        <w:rPr>
          <w:spacing w:val="-5"/>
        </w:rPr>
        <w:t>暂停接受申购申请；</w:t>
      </w:r>
    </w:p>
    <w:p>
      <w:pPr>
        <w:spacing w:after="0" w:line="417" w:lineRule="auto"/>
        <w:jc w:val="both"/>
        <w:sectPr>
          <w:pgSz w:w="11910" w:h="16840"/>
          <w:pgMar w:header="877" w:footer="995" w:top="1100" w:bottom="1180" w:left="960" w:right="900"/>
        </w:sectPr>
      </w:pPr>
    </w:p>
    <w:p>
      <w:pPr>
        <w:pStyle w:val="BodyText"/>
        <w:spacing w:before="10"/>
        <w:rPr>
          <w:sz w:val="26"/>
        </w:rPr>
      </w:pPr>
    </w:p>
    <w:p>
      <w:pPr>
        <w:pStyle w:val="BodyText"/>
        <w:spacing w:before="78"/>
        <w:ind w:left="1260"/>
      </w:pPr>
      <w:r>
        <w:rPr>
          <w:rFonts w:ascii="Times New Roman" w:eastAsia="Times New Roman"/>
        </w:rPr>
        <w:t>3</w:t>
      </w:r>
      <w:r>
        <w:rPr/>
        <w:t>、证券交易场所在交易时间非正常停市，导致当日基金资产净值无法计算；</w:t>
      </w:r>
    </w:p>
    <w:p>
      <w:pPr>
        <w:pStyle w:val="BodyText"/>
        <w:spacing w:before="7"/>
        <w:rPr>
          <w:sz w:val="15"/>
        </w:rPr>
      </w:pPr>
    </w:p>
    <w:p>
      <w:pPr>
        <w:pStyle w:val="BodyText"/>
        <w:spacing w:line="417" w:lineRule="auto"/>
        <w:ind w:left="840" w:right="894" w:firstLine="419"/>
      </w:pPr>
      <w:r>
        <w:rPr>
          <w:rFonts w:ascii="Times New Roman" w:eastAsia="Times New Roman"/>
        </w:rPr>
        <w:t>4</w:t>
      </w:r>
      <w:r>
        <w:rPr/>
        <w:t>、基金资产规模过大，使基金管理人无法找到合适的投资品种，或可能对基金业绩产生负面影响，从而损害现有基金份额持有人的利益；</w:t>
      </w:r>
    </w:p>
    <w:p>
      <w:pPr>
        <w:pStyle w:val="BodyText"/>
        <w:spacing w:line="269" w:lineRule="exact"/>
        <w:ind w:left="1260"/>
      </w:pPr>
      <w:r>
        <w:rPr>
          <w:rFonts w:ascii="Times New Roman" w:eastAsia="Times New Roman"/>
        </w:rPr>
        <w:t>5</w:t>
      </w:r>
      <w:r>
        <w:rPr/>
        <w:t>、法律、法规规定或中国证监会认定的其他可暂停申购的情形；</w:t>
      </w:r>
    </w:p>
    <w:p>
      <w:pPr>
        <w:pStyle w:val="BodyText"/>
        <w:spacing w:before="6"/>
        <w:rPr>
          <w:sz w:val="15"/>
        </w:rPr>
      </w:pPr>
    </w:p>
    <w:p>
      <w:pPr>
        <w:pStyle w:val="BodyText"/>
        <w:spacing w:line="417" w:lineRule="auto" w:before="1"/>
        <w:ind w:left="840" w:right="894" w:firstLine="419"/>
      </w:pPr>
      <w:r>
        <w:rPr>
          <w:rFonts w:ascii="Times New Roman" w:eastAsia="Times New Roman"/>
        </w:rPr>
        <w:t>6</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269" w:lineRule="exact"/>
        <w:ind w:left="1260"/>
      </w:pPr>
      <w:r>
        <w:rPr>
          <w:rFonts w:ascii="Times New Roman" w:eastAsia="Times New Roman"/>
        </w:rPr>
        <w:t>7</w:t>
      </w:r>
      <w:r>
        <w:rPr/>
        <w:t>、基金管理人认为有必要拒绝或暂停接受的某笔申购申请。</w:t>
      </w:r>
    </w:p>
    <w:p>
      <w:pPr>
        <w:pStyle w:val="BodyText"/>
        <w:spacing w:before="7"/>
        <w:rPr>
          <w:sz w:val="15"/>
        </w:rPr>
      </w:pPr>
    </w:p>
    <w:p>
      <w:pPr>
        <w:pStyle w:val="BodyText"/>
        <w:spacing w:line="417" w:lineRule="auto"/>
        <w:ind w:left="840" w:right="891" w:firstLine="419"/>
      </w:pPr>
      <w:r>
        <w:rPr>
          <w:spacing w:val="-8"/>
        </w:rPr>
        <w:t>发生上述情形之一且基金管理人决定暂停申购的，申购款项将全部或部分相应退还投资</w:t>
      </w:r>
      <w:r>
        <w:rPr>
          <w:spacing w:val="-3"/>
        </w:rPr>
        <w:t>者。发生上述 </w:t>
      </w:r>
      <w:r>
        <w:rPr>
          <w:rFonts w:ascii="Times New Roman" w:eastAsia="Times New Roman"/>
        </w:rPr>
        <w:t>1 </w:t>
      </w:r>
      <w:r>
        <w:rPr>
          <w:spacing w:val="6"/>
        </w:rPr>
        <w:t>到 </w:t>
      </w:r>
      <w:r>
        <w:rPr>
          <w:rFonts w:ascii="Times New Roman" w:eastAsia="Times New Roman"/>
        </w:rPr>
        <w:t>5 </w:t>
      </w:r>
      <w:r>
        <w:rPr>
          <w:spacing w:val="-3"/>
        </w:rPr>
        <w:t>项暂停申购情形时，基金管理人应当在指定媒介刊登暂停申购公告。</w:t>
      </w:r>
    </w:p>
    <w:p>
      <w:pPr>
        <w:pStyle w:val="BodyText"/>
        <w:rPr>
          <w:sz w:val="22"/>
        </w:rPr>
      </w:pPr>
    </w:p>
    <w:p>
      <w:pPr>
        <w:pStyle w:val="Heading4"/>
        <w:spacing w:before="186"/>
      </w:pPr>
      <w:r>
        <w:rPr/>
        <w:t>十一、暂停赎回或者延缓支付赎回款项的情形及处理方式</w:t>
      </w:r>
    </w:p>
    <w:p>
      <w:pPr>
        <w:pStyle w:val="BodyText"/>
        <w:spacing w:before="6"/>
        <w:rPr>
          <w:b/>
          <w:sz w:val="15"/>
        </w:rPr>
      </w:pPr>
    </w:p>
    <w:p>
      <w:pPr>
        <w:pStyle w:val="BodyText"/>
        <w:spacing w:line="417" w:lineRule="auto" w:before="1"/>
        <w:ind w:left="840" w:right="891" w:firstLine="419"/>
      </w:pPr>
      <w:r>
        <w:rPr>
          <w:spacing w:val="-12"/>
        </w:rPr>
        <w:t>除非出现如下情形，基金管理人不得拒绝接受或暂停基金份额持有人的赎回申请或者延</w:t>
      </w:r>
      <w:r>
        <w:rPr>
          <w:spacing w:val="-6"/>
        </w:rPr>
        <w:t>缓支付赎回款项：</w:t>
      </w:r>
    </w:p>
    <w:p>
      <w:pPr>
        <w:pStyle w:val="BodyText"/>
        <w:spacing w:line="269" w:lineRule="exact"/>
        <w:ind w:left="1260"/>
      </w:pPr>
      <w:r>
        <w:rPr>
          <w:rFonts w:ascii="Times New Roman" w:eastAsia="Times New Roman"/>
        </w:rPr>
        <w:t>1</w:t>
      </w:r>
      <w:r>
        <w:rPr/>
        <w:t>、不可抗力的原因导致基金无法正常运作；</w:t>
      </w:r>
    </w:p>
    <w:p>
      <w:pPr>
        <w:pStyle w:val="BodyText"/>
        <w:spacing w:before="7"/>
        <w:rPr>
          <w:sz w:val="15"/>
        </w:rPr>
      </w:pPr>
    </w:p>
    <w:p>
      <w:pPr>
        <w:pStyle w:val="BodyText"/>
        <w:spacing w:line="417" w:lineRule="auto"/>
        <w:ind w:left="840" w:right="891" w:firstLine="419"/>
        <w:jc w:val="both"/>
      </w:pPr>
      <w:r>
        <w:rPr>
          <w:rFonts w:ascii="Times New Roman" w:eastAsia="Times New Roman"/>
        </w:rPr>
        <w:t>2</w:t>
      </w:r>
      <w:r>
        <w:rPr>
          <w:spacing w:val="-3"/>
        </w:rPr>
        <w:t>、发生基金合同规定的暂停基金资产估值情况时，基金管理人可暂停接受投资人的赎</w:t>
      </w:r>
      <w:r>
        <w:rPr>
          <w:spacing w:val="-2"/>
        </w:rPr>
        <w:t>回申请或延缓支付赎回款项。当前一估值日基金资产净值 </w:t>
      </w:r>
      <w:r>
        <w:rPr>
          <w:rFonts w:ascii="Times New Roman" w:eastAsia="Times New Roman"/>
        </w:rPr>
        <w:t>50%</w:t>
      </w:r>
      <w:r>
        <w:rPr>
          <w:spacing w:val="-1"/>
        </w:rPr>
        <w:t>以上的资产出现无可参考的</w:t>
      </w:r>
      <w:r>
        <w:rPr>
          <w:spacing w:val="-7"/>
        </w:rPr>
        <w:t>活跃市场价格且采用估值技术仍导致公允价值存在重大不确定性，经与基金托管人协商确定</w:t>
      </w:r>
      <w:r>
        <w:rPr>
          <w:spacing w:val="-5"/>
        </w:rPr>
        <w:t>后，基金管理人应当暂停接受赎回申请或延缓支付赎回款项；</w:t>
      </w:r>
    </w:p>
    <w:p>
      <w:pPr>
        <w:pStyle w:val="BodyText"/>
        <w:spacing w:line="268" w:lineRule="exact"/>
        <w:ind w:left="1260"/>
      </w:pPr>
      <w:r>
        <w:rPr>
          <w:rFonts w:ascii="Times New Roman" w:eastAsia="Times New Roman"/>
        </w:rPr>
        <w:t>3</w:t>
      </w:r>
      <w:r>
        <w:rPr/>
        <w:t>、证券交易场所交易时间非正常停市，导致当日基金资产净值无法计算；</w:t>
      </w:r>
    </w:p>
    <w:p>
      <w:pPr>
        <w:pStyle w:val="BodyText"/>
        <w:spacing w:before="6"/>
        <w:rPr>
          <w:sz w:val="15"/>
        </w:rPr>
      </w:pPr>
    </w:p>
    <w:p>
      <w:pPr>
        <w:pStyle w:val="BodyText"/>
        <w:ind w:left="1260"/>
      </w:pPr>
      <w:r>
        <w:rPr>
          <w:rFonts w:ascii="Times New Roman" w:eastAsia="Times New Roman"/>
        </w:rPr>
        <w:t>4</w:t>
      </w:r>
      <w:r>
        <w:rPr/>
        <w:t>、因市场剧烈波动或其他原因而出现巨额赎回，导致本基金的现金支付出现困难；</w:t>
      </w:r>
    </w:p>
    <w:p>
      <w:pPr>
        <w:pStyle w:val="BodyText"/>
        <w:spacing w:before="7"/>
        <w:rPr>
          <w:sz w:val="15"/>
        </w:rPr>
      </w:pPr>
    </w:p>
    <w:p>
      <w:pPr>
        <w:pStyle w:val="BodyText"/>
        <w:ind w:left="1260"/>
      </w:pPr>
      <w:r>
        <w:rPr>
          <w:rFonts w:ascii="Times New Roman" w:eastAsia="Times New Roman"/>
        </w:rPr>
        <w:t>5</w:t>
      </w:r>
      <w:r>
        <w:rPr/>
        <w:t>、法律、法规规定或中国证监会认定的其他情形。</w:t>
      </w:r>
    </w:p>
    <w:p>
      <w:pPr>
        <w:pStyle w:val="BodyText"/>
        <w:spacing w:before="7"/>
        <w:rPr>
          <w:sz w:val="15"/>
        </w:rPr>
      </w:pPr>
    </w:p>
    <w:p>
      <w:pPr>
        <w:pStyle w:val="BodyText"/>
        <w:spacing w:line="417" w:lineRule="auto" w:before="1"/>
        <w:ind w:left="840" w:right="891" w:firstLine="419"/>
        <w:jc w:val="both"/>
      </w:pPr>
      <w:r>
        <w:rPr>
          <w:spacing w:val="-10"/>
        </w:rPr>
        <w:t>发生上述情形之一的，基金管理人应在当日立即向中国证监会报告备案。已接受的赎回</w:t>
      </w:r>
      <w:r>
        <w:rPr>
          <w:spacing w:val="-11"/>
        </w:rPr>
        <w:t>申请，基金管理人将足额支付；如暂时不能足额支付的，可支付部分按每个赎回申请人已被</w:t>
      </w:r>
      <w:r>
        <w:rPr>
          <w:spacing w:val="-10"/>
        </w:rPr>
        <w:t>接受的赎回申请量占已接受赎回申请总量的比例分配给赎回申请人，未支付部分由基金管理</w:t>
      </w:r>
      <w:r>
        <w:rPr>
          <w:spacing w:val="-5"/>
        </w:rPr>
        <w:t>人按照发生的情况制定相应的处理办法在后续开放日予以支付。</w:t>
      </w:r>
    </w:p>
    <w:p>
      <w:pPr>
        <w:pStyle w:val="BodyText"/>
        <w:spacing w:line="417" w:lineRule="auto"/>
        <w:ind w:left="840" w:right="891" w:firstLine="419"/>
        <w:jc w:val="both"/>
      </w:pPr>
      <w:r>
        <w:rPr>
          <w:spacing w:val="-8"/>
        </w:rPr>
        <w:t>同时在出现连续巨额赎回的情形时，对已接受的赎回申请可延期支付赎回款项，最长不超过正常支付时间 </w:t>
      </w:r>
      <w:r>
        <w:rPr>
          <w:rFonts w:ascii="Times New Roman" w:eastAsia="Times New Roman"/>
        </w:rPr>
        <w:t>20 </w:t>
      </w:r>
      <w:r>
        <w:rPr>
          <w:spacing w:val="-3"/>
        </w:rPr>
        <w:t>个工作日，并在指定媒介公告。投资者在申请赎回时可事先选择将当日可能未获受理部分予以撤销。</w:t>
      </w:r>
    </w:p>
    <w:p>
      <w:pPr>
        <w:pStyle w:val="BodyText"/>
        <w:spacing w:line="417" w:lineRule="auto"/>
        <w:ind w:left="1260" w:right="2266"/>
      </w:pPr>
      <w:r>
        <w:rPr/>
        <w:t>暂停基金的赎回，基金管理人应及时在指定媒介上刊登暂停赎回公告。在暂停赎回的情况消除时，基金管理人应及时恢复赎回业务的办理。</w:t>
      </w:r>
    </w:p>
    <w:p>
      <w:pPr>
        <w:spacing w:after="0" w:line="417" w:lineRule="auto"/>
        <w:sectPr>
          <w:pgSz w:w="11910" w:h="16840"/>
          <w:pgMar w:header="877" w:footer="995" w:top="1100" w:bottom="1180" w:left="960" w:right="900"/>
        </w:sectPr>
      </w:pPr>
    </w:p>
    <w:p>
      <w:pPr>
        <w:pStyle w:val="BodyText"/>
        <w:rPr>
          <w:sz w:val="20"/>
        </w:rPr>
      </w:pPr>
    </w:p>
    <w:p>
      <w:pPr>
        <w:pStyle w:val="BodyText"/>
        <w:rPr>
          <w:sz w:val="20"/>
        </w:rPr>
      </w:pPr>
    </w:p>
    <w:p>
      <w:pPr>
        <w:pStyle w:val="BodyText"/>
        <w:spacing w:before="10"/>
        <w:rPr>
          <w:sz w:val="23"/>
        </w:rPr>
      </w:pPr>
    </w:p>
    <w:p>
      <w:pPr>
        <w:pStyle w:val="Heading4"/>
        <w:spacing w:before="72"/>
      </w:pPr>
      <w:r>
        <w:rPr/>
        <w:t>十二、暂停基金转换的情形及处理方式</w:t>
      </w:r>
    </w:p>
    <w:p>
      <w:pPr>
        <w:pStyle w:val="BodyText"/>
        <w:spacing w:before="7"/>
        <w:rPr>
          <w:b/>
          <w:sz w:val="15"/>
        </w:rPr>
      </w:pPr>
    </w:p>
    <w:p>
      <w:pPr>
        <w:pStyle w:val="BodyText"/>
        <w:ind w:left="1260"/>
      </w:pPr>
      <w:r>
        <w:rPr/>
        <w:t>出现下列情况之一时，本公司可以暂停接受基金持有人的基金转换申请：</w:t>
      </w:r>
    </w:p>
    <w:p>
      <w:pPr>
        <w:pStyle w:val="BodyText"/>
        <w:spacing w:before="6"/>
        <w:rPr>
          <w:sz w:val="15"/>
        </w:rPr>
      </w:pPr>
    </w:p>
    <w:p>
      <w:pPr>
        <w:pStyle w:val="BodyText"/>
        <w:spacing w:before="1"/>
        <w:ind w:left="1260"/>
      </w:pPr>
      <w:r>
        <w:rPr>
          <w:rFonts w:ascii="Times New Roman" w:eastAsia="Times New Roman"/>
        </w:rPr>
        <w:t>1</w:t>
      </w:r>
      <w:r>
        <w:rPr/>
        <w:t>、不可抗力的原因导致转出或转入基金无法正常运作。</w:t>
      </w:r>
    </w:p>
    <w:p>
      <w:pPr>
        <w:pStyle w:val="BodyText"/>
        <w:spacing w:before="6"/>
        <w:rPr>
          <w:sz w:val="15"/>
        </w:rPr>
      </w:pPr>
    </w:p>
    <w:p>
      <w:pPr>
        <w:pStyle w:val="BodyText"/>
        <w:spacing w:line="417" w:lineRule="auto"/>
        <w:ind w:left="840" w:right="894" w:firstLine="419"/>
      </w:pPr>
      <w:r>
        <w:rPr>
          <w:rFonts w:ascii="Times New Roman" w:eastAsia="Times New Roman"/>
        </w:rPr>
        <w:t>2</w:t>
      </w:r>
      <w:r>
        <w:rPr/>
        <w:t>、证券交易场所在交易时间非正常停市，导致本公司无法计算当日转出或转入基金资产净值。</w:t>
      </w:r>
    </w:p>
    <w:p>
      <w:pPr>
        <w:pStyle w:val="BodyText"/>
        <w:spacing w:line="417" w:lineRule="auto"/>
        <w:ind w:left="840" w:right="894" w:firstLine="419"/>
      </w:pPr>
      <w:r>
        <w:rPr>
          <w:rFonts w:ascii="Times New Roman" w:eastAsia="Times New Roman"/>
        </w:rPr>
        <w:t>3</w:t>
      </w:r>
      <w:r>
        <w:rPr/>
        <w:t>、因市场剧烈波动或其它原因而出现连续巨额赎回，本公司认为有必要暂停接受该基金份额的转出申请。</w:t>
      </w:r>
    </w:p>
    <w:p>
      <w:pPr>
        <w:pStyle w:val="BodyText"/>
        <w:spacing w:line="417" w:lineRule="auto"/>
        <w:ind w:left="840" w:right="894" w:firstLine="419"/>
      </w:pPr>
      <w:r>
        <w:rPr>
          <w:rFonts w:ascii="Times New Roman" w:eastAsia="Times New Roman"/>
        </w:rPr>
        <w:t>4</w:t>
      </w:r>
      <w:r>
        <w:rPr>
          <w:spacing w:val="-11"/>
        </w:rPr>
        <w:t>、法律、法规、规章规定的其他情形或其他在《基金合同》、《招募说明书》已载明并</w:t>
      </w:r>
      <w:r>
        <w:rPr>
          <w:spacing w:val="-6"/>
        </w:rPr>
        <w:t>获中国证监会批准的特殊情形。</w:t>
      </w:r>
    </w:p>
    <w:p>
      <w:pPr>
        <w:pStyle w:val="BodyText"/>
        <w:spacing w:line="417" w:lineRule="auto"/>
        <w:ind w:left="840" w:right="893" w:firstLine="419"/>
      </w:pPr>
      <w:r>
        <w:rPr>
          <w:spacing w:val="-9"/>
        </w:rPr>
        <w:t>发生上述情形之一的，本公司应当依照《信息披露办法》的有关规定在指定媒介上刊登</w:t>
      </w:r>
      <w:r>
        <w:rPr>
          <w:spacing w:val="-3"/>
        </w:rPr>
        <w:t>暂停公告。重新开放基金转换时，本公司将按规定予以公告。</w:t>
      </w:r>
    </w:p>
    <w:p>
      <w:pPr>
        <w:pStyle w:val="BodyText"/>
        <w:rPr>
          <w:sz w:val="20"/>
        </w:rPr>
      </w:pPr>
    </w:p>
    <w:p>
      <w:pPr>
        <w:pStyle w:val="BodyText"/>
        <w:spacing w:before="6"/>
        <w:rPr>
          <w:sz w:val="16"/>
        </w:rPr>
      </w:pPr>
    </w:p>
    <w:p>
      <w:pPr>
        <w:pStyle w:val="Heading4"/>
      </w:pPr>
      <w:r>
        <w:rPr/>
        <w:t>十三、巨额赎回的情形及处理方式</w:t>
      </w:r>
    </w:p>
    <w:p>
      <w:pPr>
        <w:pStyle w:val="BodyText"/>
        <w:spacing w:before="7"/>
        <w:rPr>
          <w:b/>
          <w:sz w:val="15"/>
        </w:rPr>
      </w:pPr>
    </w:p>
    <w:p>
      <w:pPr>
        <w:pStyle w:val="BodyText"/>
        <w:spacing w:before="1"/>
        <w:ind w:left="840"/>
      </w:pPr>
      <w:r>
        <w:rPr>
          <w:rFonts w:ascii="Times New Roman" w:eastAsia="Times New Roman"/>
        </w:rPr>
        <w:t>1</w:t>
      </w:r>
      <w:r>
        <w:rPr/>
        <w:t>、巨额赎回的认定</w:t>
      </w:r>
    </w:p>
    <w:p>
      <w:pPr>
        <w:pStyle w:val="BodyText"/>
        <w:spacing w:before="6"/>
        <w:rPr>
          <w:sz w:val="15"/>
        </w:rPr>
      </w:pPr>
    </w:p>
    <w:p>
      <w:pPr>
        <w:pStyle w:val="BodyText"/>
        <w:spacing w:line="417" w:lineRule="auto"/>
        <w:ind w:left="840" w:right="891" w:firstLine="419"/>
        <w:jc w:val="both"/>
      </w:pPr>
      <w:r>
        <w:rPr>
          <w:spacing w:val="-12"/>
        </w:rPr>
        <w:t>本基金单个开放日，基金净赎回申请</w:t>
      </w:r>
      <w:r>
        <w:rPr/>
        <w:t>（</w:t>
      </w:r>
      <w:r>
        <w:rPr>
          <w:spacing w:val="-3"/>
        </w:rPr>
        <w:t>赎回申请份额总数加上基金转换中转出申请份额总数后扣除申购申请份额总数及基金转换中转入申请份额总数后的余额</w:t>
      </w:r>
      <w:r>
        <w:rPr>
          <w:spacing w:val="-97"/>
        </w:rPr>
        <w:t>）</w:t>
      </w:r>
      <w:r>
        <w:rPr>
          <w:spacing w:val="-3"/>
        </w:rPr>
        <w:t>超过上一日基金总</w:t>
      </w:r>
      <w:r>
        <w:rPr>
          <w:spacing w:val="-15"/>
        </w:rPr>
        <w:t>份额的 </w:t>
      </w:r>
      <w:r>
        <w:rPr>
          <w:rFonts w:ascii="Times New Roman" w:eastAsia="Times New Roman"/>
        </w:rPr>
        <w:t>10%</w:t>
      </w:r>
      <w:r>
        <w:rPr>
          <w:spacing w:val="-3"/>
        </w:rPr>
        <w:t>时，即认为发生了巨额赎回。</w:t>
      </w:r>
    </w:p>
    <w:p>
      <w:pPr>
        <w:pStyle w:val="BodyText"/>
        <w:spacing w:line="269" w:lineRule="exact"/>
        <w:ind w:left="840"/>
      </w:pPr>
      <w:r>
        <w:rPr>
          <w:rFonts w:ascii="Times New Roman" w:eastAsia="Times New Roman"/>
        </w:rPr>
        <w:t>2</w:t>
      </w:r>
      <w:r>
        <w:rPr/>
        <w:t>、巨额赎回的处理方式</w:t>
      </w:r>
    </w:p>
    <w:p>
      <w:pPr>
        <w:pStyle w:val="BodyText"/>
        <w:spacing w:before="7"/>
        <w:rPr>
          <w:sz w:val="15"/>
        </w:rPr>
      </w:pPr>
    </w:p>
    <w:p>
      <w:pPr>
        <w:pStyle w:val="BodyText"/>
        <w:spacing w:line="417" w:lineRule="auto"/>
        <w:ind w:left="840" w:right="891" w:firstLine="419"/>
      </w:pPr>
      <w:r>
        <w:rPr>
          <w:spacing w:val="-12"/>
        </w:rPr>
        <w:t>当出现巨额赎回时，基金管理人可以根据本基金当时的资产组合状况决定全额赎回或部</w:t>
      </w:r>
      <w:r>
        <w:rPr>
          <w:spacing w:val="-6"/>
        </w:rPr>
        <w:t>分顺延赎回。</w:t>
      </w:r>
    </w:p>
    <w:p>
      <w:pPr>
        <w:pStyle w:val="ListParagraph"/>
        <w:numPr>
          <w:ilvl w:val="0"/>
          <w:numId w:val="18"/>
        </w:numPr>
        <w:tabs>
          <w:tab w:pos="1790" w:val="left" w:leader="none"/>
        </w:tabs>
        <w:spacing w:line="417" w:lineRule="auto" w:before="0" w:after="0"/>
        <w:ind w:left="840" w:right="894" w:firstLine="419"/>
        <w:jc w:val="left"/>
        <w:rPr>
          <w:sz w:val="21"/>
        </w:rPr>
      </w:pPr>
      <w:r>
        <w:rPr>
          <w:spacing w:val="-3"/>
          <w:sz w:val="21"/>
        </w:rPr>
        <w:t>全额赎回：当基金管理人认为有能力支付投资者的赎回申请时，按正常赎回程序执行。</w:t>
      </w:r>
    </w:p>
    <w:p>
      <w:pPr>
        <w:pStyle w:val="ListParagraph"/>
        <w:numPr>
          <w:ilvl w:val="0"/>
          <w:numId w:val="18"/>
        </w:numPr>
        <w:tabs>
          <w:tab w:pos="1790" w:val="left" w:leader="none"/>
        </w:tabs>
        <w:spacing w:line="417" w:lineRule="auto" w:before="0" w:after="0"/>
        <w:ind w:left="840" w:right="891" w:firstLine="419"/>
        <w:jc w:val="both"/>
        <w:rPr>
          <w:sz w:val="21"/>
        </w:rPr>
      </w:pPr>
      <w:r>
        <w:rPr>
          <w:spacing w:val="-3"/>
          <w:sz w:val="21"/>
        </w:rPr>
        <w:t>部分顺延赎回：当基金管理人认为支付投资者的赎回申请有困难或认为支付投资</w:t>
      </w:r>
      <w:r>
        <w:rPr>
          <w:spacing w:val="-7"/>
          <w:sz w:val="21"/>
        </w:rPr>
        <w:t>者的赎回申请可能会对基金的资产净值造成较大波动时，基金管理人在当日接受赎回比例不</w:t>
      </w:r>
      <w:r>
        <w:rPr>
          <w:spacing w:val="-2"/>
          <w:sz w:val="21"/>
        </w:rPr>
        <w:t>低于基金总份额的 </w:t>
      </w:r>
      <w:r>
        <w:rPr>
          <w:rFonts w:ascii="Times New Roman" w:eastAsia="Times New Roman"/>
          <w:sz w:val="21"/>
        </w:rPr>
        <w:t>10%</w:t>
      </w:r>
      <w:r>
        <w:rPr>
          <w:spacing w:val="-1"/>
          <w:sz w:val="21"/>
        </w:rPr>
        <w:t>的前提下，对其余赎回申请延期予以办理。对于当日的赎回申请， </w:t>
      </w:r>
      <w:r>
        <w:rPr>
          <w:spacing w:val="-7"/>
          <w:sz w:val="21"/>
        </w:rPr>
        <w:t>应当按单个账户赎回申请量占赎回申请总量的比例，确定当日受理的赎回份额；投资者未能</w:t>
      </w:r>
      <w:r>
        <w:rPr>
          <w:spacing w:val="-11"/>
          <w:sz w:val="21"/>
        </w:rPr>
        <w:t>赎回部分，除投资者在提交赎回申请时明确作出不参加顺延下一个开放日赎回的表示外，自</w:t>
      </w:r>
      <w:r>
        <w:rPr>
          <w:spacing w:val="-13"/>
          <w:sz w:val="21"/>
        </w:rPr>
        <w:t>动转为下一个开放日赎回处理。依照上述规定转入下一个开放日的赎回不享有赎回优先权并</w:t>
      </w:r>
      <w:r>
        <w:rPr>
          <w:spacing w:val="-10"/>
          <w:sz w:val="21"/>
        </w:rPr>
        <w:t>将以下一个开放日的基金份额净值为准进行计算，并以此类推，直到全部赎回为止。部分顺</w:t>
      </w:r>
    </w:p>
    <w:p>
      <w:pPr>
        <w:spacing w:after="0" w:line="417" w:lineRule="auto"/>
        <w:jc w:val="both"/>
        <w:rPr>
          <w:sz w:val="21"/>
        </w:rPr>
        <w:sectPr>
          <w:pgSz w:w="11910" w:h="16840"/>
          <w:pgMar w:header="877" w:footer="995" w:top="1100" w:bottom="1180" w:left="960" w:right="900"/>
        </w:sectPr>
      </w:pPr>
    </w:p>
    <w:p>
      <w:pPr>
        <w:pStyle w:val="BodyText"/>
        <w:spacing w:before="4"/>
        <w:rPr>
          <w:sz w:val="27"/>
        </w:rPr>
      </w:pPr>
    </w:p>
    <w:p>
      <w:pPr>
        <w:pStyle w:val="BodyText"/>
        <w:spacing w:before="71"/>
        <w:ind w:left="840"/>
      </w:pPr>
      <w:r>
        <w:rPr/>
        <w:t>延赎回不受单笔赎回最低份额的限制。</w:t>
      </w:r>
    </w:p>
    <w:p>
      <w:pPr>
        <w:pStyle w:val="BodyText"/>
        <w:spacing w:before="7"/>
        <w:rPr>
          <w:sz w:val="15"/>
        </w:rPr>
      </w:pPr>
    </w:p>
    <w:p>
      <w:pPr>
        <w:pStyle w:val="ListParagraph"/>
        <w:numPr>
          <w:ilvl w:val="0"/>
          <w:numId w:val="18"/>
        </w:numPr>
        <w:tabs>
          <w:tab w:pos="1787" w:val="left" w:leader="none"/>
        </w:tabs>
        <w:spacing w:line="417" w:lineRule="auto" w:before="0" w:after="0"/>
        <w:ind w:left="840" w:right="891" w:firstLine="419"/>
        <w:jc w:val="both"/>
        <w:rPr>
          <w:sz w:val="21"/>
        </w:rPr>
      </w:pPr>
      <w:r>
        <w:rPr>
          <w:spacing w:val="-5"/>
          <w:sz w:val="21"/>
        </w:rPr>
        <w:t>如果基金发生巨额赎回，在单个基金份额持有人超过上一开放日基金总份额 </w:t>
      </w:r>
      <w:r>
        <w:rPr>
          <w:rFonts w:ascii="Times New Roman" w:eastAsia="Times New Roman"/>
          <w:sz w:val="21"/>
        </w:rPr>
        <w:t>20% </w:t>
      </w:r>
      <w:r>
        <w:rPr>
          <w:spacing w:val="1"/>
          <w:sz w:val="21"/>
        </w:rPr>
        <w:t>以上的赎回申请的情形下，基金管理人可以对该基金份额持有人超过 </w:t>
      </w:r>
      <w:r>
        <w:rPr>
          <w:rFonts w:ascii="Times New Roman" w:eastAsia="Times New Roman"/>
          <w:sz w:val="21"/>
        </w:rPr>
        <w:t>20%</w:t>
      </w:r>
      <w:r>
        <w:rPr>
          <w:spacing w:val="-2"/>
          <w:sz w:val="21"/>
        </w:rPr>
        <w:t>以上的部分延期</w:t>
      </w:r>
      <w:r>
        <w:rPr>
          <w:spacing w:val="-11"/>
          <w:sz w:val="21"/>
        </w:rPr>
        <w:t>办理赎回申请。对于当日非延期的赎回申请，应当按单个账户非延期赎回申请量占非延期赎</w:t>
      </w:r>
      <w:r>
        <w:rPr>
          <w:spacing w:val="-12"/>
          <w:sz w:val="21"/>
        </w:rPr>
        <w:t>回申请总量的比例，确定当日受理的赎回份额；对于未能赎回部分，投资人在提交赎回申请</w:t>
      </w:r>
      <w:r>
        <w:rPr>
          <w:spacing w:val="-11"/>
          <w:sz w:val="21"/>
        </w:rPr>
        <w:t>时可以选择延期赎回或取消赎回。选择延期赎回的，将自动转入下一个开放日继续赎回，直</w:t>
      </w:r>
      <w:r>
        <w:rPr>
          <w:spacing w:val="-12"/>
          <w:sz w:val="21"/>
        </w:rPr>
        <w:t>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w:t>
      </w:r>
      <w:r>
        <w:rPr>
          <w:spacing w:val="-6"/>
          <w:sz w:val="21"/>
        </w:rPr>
        <w:t>未能赎回部分作自动延期赎回处理。</w:t>
      </w:r>
    </w:p>
    <w:p>
      <w:pPr>
        <w:pStyle w:val="ListParagraph"/>
        <w:numPr>
          <w:ilvl w:val="0"/>
          <w:numId w:val="18"/>
        </w:numPr>
        <w:tabs>
          <w:tab w:pos="1790" w:val="left" w:leader="none"/>
        </w:tabs>
        <w:spacing w:line="417" w:lineRule="auto" w:before="0" w:after="0"/>
        <w:ind w:left="840" w:right="891" w:firstLine="419"/>
        <w:jc w:val="both"/>
        <w:rPr>
          <w:sz w:val="21"/>
        </w:rPr>
      </w:pPr>
      <w:r>
        <w:rPr>
          <w:spacing w:val="-3"/>
          <w:sz w:val="21"/>
        </w:rPr>
        <w:t>巨额赎回的公告：开放式基金发生巨额赎回并延期办理的，基金管理人应当通过</w:t>
      </w:r>
      <w:r>
        <w:rPr>
          <w:spacing w:val="-11"/>
          <w:sz w:val="21"/>
        </w:rPr>
        <w:t>邮寄、传真或者招募说明书规定的其他方式，在 </w:t>
      </w:r>
      <w:r>
        <w:rPr>
          <w:rFonts w:ascii="Times New Roman" w:eastAsia="Times New Roman"/>
          <w:sz w:val="21"/>
        </w:rPr>
        <w:t>3</w:t>
      </w:r>
      <w:r>
        <w:rPr>
          <w:rFonts w:ascii="Times New Roman" w:eastAsia="Times New Roman"/>
          <w:spacing w:val="17"/>
          <w:sz w:val="21"/>
        </w:rPr>
        <w:t> </w:t>
      </w:r>
      <w:r>
        <w:rPr>
          <w:spacing w:val="-6"/>
          <w:sz w:val="21"/>
        </w:rPr>
        <w:t>个工作日内通知基金份额持有人，说明有</w:t>
      </w:r>
    </w:p>
    <w:p>
      <w:pPr>
        <w:pStyle w:val="BodyText"/>
        <w:spacing w:line="269" w:lineRule="exact"/>
        <w:ind w:left="840"/>
        <w:jc w:val="both"/>
      </w:pPr>
      <w:r>
        <w:rPr/>
        <w:t>关处理方法，并于 </w:t>
      </w:r>
      <w:r>
        <w:rPr>
          <w:rFonts w:ascii="Times New Roman" w:eastAsia="Times New Roman"/>
        </w:rPr>
        <w:t>2 </w:t>
      </w:r>
      <w:r>
        <w:rPr/>
        <w:t>日内在指定媒介上予以公告。</w:t>
      </w:r>
    </w:p>
    <w:p>
      <w:pPr>
        <w:pStyle w:val="BodyText"/>
        <w:spacing w:before="6"/>
        <w:rPr>
          <w:sz w:val="15"/>
        </w:rPr>
      </w:pPr>
    </w:p>
    <w:p>
      <w:pPr>
        <w:pStyle w:val="BodyText"/>
        <w:ind w:left="1260"/>
      </w:pPr>
      <w:r>
        <w:rPr/>
        <w:t>本基金连续 </w:t>
      </w:r>
      <w:r>
        <w:rPr>
          <w:rFonts w:ascii="Times New Roman" w:eastAsia="Times New Roman"/>
        </w:rPr>
        <w:t>2 </w:t>
      </w:r>
      <w:r>
        <w:rPr/>
        <w:t>个开放日以上发生巨额赎回，如基金管理人认为有必要，可暂停接受赎回</w:t>
      </w:r>
    </w:p>
    <w:p>
      <w:pPr>
        <w:pStyle w:val="BodyText"/>
        <w:spacing w:before="7"/>
        <w:rPr>
          <w:sz w:val="15"/>
        </w:rPr>
      </w:pPr>
    </w:p>
    <w:p>
      <w:pPr>
        <w:pStyle w:val="BodyText"/>
        <w:spacing w:line="417" w:lineRule="auto"/>
        <w:ind w:left="840" w:right="785"/>
        <w:jc w:val="both"/>
      </w:pPr>
      <w:r>
        <w:rPr>
          <w:spacing w:val="-11"/>
        </w:rPr>
        <w:t>申请；已经接受的赎回申请可以延缓支付赎回款项，但不得超过正常支付时间 </w:t>
      </w:r>
      <w:r>
        <w:rPr>
          <w:rFonts w:ascii="Times New Roman" w:eastAsia="Times New Roman"/>
        </w:rPr>
        <w:t>20</w:t>
      </w:r>
      <w:r>
        <w:rPr>
          <w:rFonts w:ascii="Times New Roman" w:eastAsia="Times New Roman"/>
          <w:spacing w:val="16"/>
        </w:rPr>
        <w:t> </w:t>
      </w:r>
      <w:r>
        <w:rPr>
          <w:spacing w:val="-2"/>
        </w:rPr>
        <w:t>个工作日， </w:t>
      </w:r>
      <w:r>
        <w:rPr>
          <w:spacing w:val="-3"/>
        </w:rPr>
        <w:t>并应当在指定媒介公告。</w:t>
      </w:r>
    </w:p>
    <w:p>
      <w:pPr>
        <w:pStyle w:val="BodyText"/>
        <w:rPr>
          <w:sz w:val="20"/>
        </w:rPr>
      </w:pPr>
    </w:p>
    <w:p>
      <w:pPr>
        <w:pStyle w:val="BodyText"/>
        <w:spacing w:before="6"/>
        <w:rPr>
          <w:sz w:val="16"/>
        </w:rPr>
      </w:pPr>
    </w:p>
    <w:p>
      <w:pPr>
        <w:pStyle w:val="Heading4"/>
        <w:spacing w:before="1"/>
      </w:pPr>
      <w:r>
        <w:rPr/>
        <w:t>十四、重新开放申购或赎回的公告</w:t>
      </w:r>
    </w:p>
    <w:p>
      <w:pPr>
        <w:pStyle w:val="BodyText"/>
        <w:spacing w:before="6"/>
        <w:rPr>
          <w:b/>
          <w:sz w:val="15"/>
        </w:rPr>
      </w:pPr>
    </w:p>
    <w:p>
      <w:pPr>
        <w:pStyle w:val="BodyText"/>
        <w:spacing w:line="417" w:lineRule="auto"/>
        <w:ind w:left="840" w:right="891" w:firstLine="419"/>
      </w:pPr>
      <w:r>
        <w:rPr>
          <w:spacing w:val="-11"/>
        </w:rPr>
        <w:t>如果发生暂停的时间为一天，基金管理人应于重新开放日在至少一家中国证监会指定的</w:t>
      </w:r>
      <w:r>
        <w:rPr>
          <w:spacing w:val="-6"/>
        </w:rPr>
        <w:t>媒介刊登基金重新开放申购或赎回公告并公布最近一个开放日的基金份额净值。</w:t>
      </w:r>
    </w:p>
    <w:p>
      <w:pPr>
        <w:pStyle w:val="BodyText"/>
        <w:spacing w:line="417" w:lineRule="auto"/>
        <w:ind w:left="840" w:right="891" w:firstLine="419"/>
        <w:jc w:val="both"/>
      </w:pPr>
      <w:r>
        <w:rPr>
          <w:spacing w:val="-8"/>
        </w:rPr>
        <w:t>暂停结束基金重新开放申购或赎回时，基金管理人应当依照《信息披露办法》的有关规定在指定媒介刊登基金重新开放申购或赎回公告并在重新开放申购或赎回日公告最近一个</w:t>
      </w:r>
      <w:r>
        <w:rPr>
          <w:spacing w:val="-5"/>
        </w:rPr>
        <w:t>开放日的基金份额净值。</w:t>
      </w:r>
    </w:p>
    <w:p>
      <w:pPr>
        <w:pStyle w:val="BodyText"/>
        <w:rPr>
          <w:sz w:val="20"/>
        </w:rPr>
      </w:pPr>
    </w:p>
    <w:p>
      <w:pPr>
        <w:pStyle w:val="BodyText"/>
        <w:spacing w:before="7"/>
        <w:rPr>
          <w:sz w:val="16"/>
        </w:rPr>
      </w:pPr>
    </w:p>
    <w:p>
      <w:pPr>
        <w:pStyle w:val="Heading4"/>
      </w:pPr>
      <w:r>
        <w:rPr>
          <w:spacing w:val="-2"/>
        </w:rPr>
        <w:t>十五、定期定额投资计划</w:t>
      </w:r>
    </w:p>
    <w:p>
      <w:pPr>
        <w:pStyle w:val="BodyText"/>
        <w:spacing w:before="6"/>
        <w:rPr>
          <w:b/>
          <w:sz w:val="15"/>
        </w:rPr>
      </w:pPr>
    </w:p>
    <w:p>
      <w:pPr>
        <w:pStyle w:val="BodyText"/>
        <w:spacing w:line="417" w:lineRule="auto" w:before="1"/>
        <w:ind w:left="840" w:right="891" w:firstLine="419"/>
        <w:jc w:val="both"/>
      </w:pPr>
      <w:r>
        <w:rPr>
          <w:spacing w:val="-8"/>
        </w:rPr>
        <w:t>本基金已推出“定期定额投资计划”。</w:t>
      </w:r>
      <w:r>
        <w:rPr>
          <w:rFonts w:ascii="Times New Roman" w:hAnsi="Times New Roman" w:eastAsia="Times New Roman"/>
        </w:rPr>
        <w:t>“</w:t>
      </w:r>
      <w:r>
        <w:rPr>
          <w:spacing w:val="-3"/>
        </w:rPr>
        <w:t>定期定额投资计划</w:t>
      </w:r>
      <w:r>
        <w:rPr>
          <w:rFonts w:ascii="Times New Roman" w:hAnsi="Times New Roman" w:eastAsia="Times New Roman"/>
        </w:rPr>
        <w:t>”</w:t>
      </w:r>
      <w:r>
        <w:rPr>
          <w:spacing w:val="-1"/>
        </w:rPr>
        <w:t>是申购业务的一种方式，投</w:t>
      </w:r>
      <w:r>
        <w:rPr>
          <w:spacing w:val="-9"/>
        </w:rPr>
        <w:t>资者可通过向代销机构提交申请，约定每期扣款时间、扣款金额及扣款方式，由代销机构于</w:t>
      </w:r>
      <w:r>
        <w:rPr>
          <w:spacing w:val="-7"/>
        </w:rPr>
        <w:t>约定扣款日在投资者指定资金账户内自动完成扣款及基金申购。投资者在办理</w:t>
      </w:r>
      <w:r>
        <w:rPr>
          <w:rFonts w:ascii="Times New Roman" w:hAnsi="Times New Roman" w:eastAsia="Times New Roman"/>
        </w:rPr>
        <w:t>“</w:t>
      </w:r>
      <w:r>
        <w:rPr>
          <w:spacing w:val="-1"/>
        </w:rPr>
        <w:t>定期定额投</w:t>
      </w:r>
      <w:r>
        <w:rPr>
          <w:spacing w:val="-2"/>
        </w:rPr>
        <w:t>资计划</w:t>
      </w:r>
      <w:r>
        <w:rPr>
          <w:rFonts w:ascii="Times New Roman" w:hAnsi="Times New Roman" w:eastAsia="Times New Roman"/>
        </w:rPr>
        <w:t>”</w:t>
      </w:r>
      <w:r>
        <w:rPr>
          <w:spacing w:val="-3"/>
        </w:rPr>
        <w:t>的同时，仍然可以进行本基金的日常申购、赎回业务。</w:t>
      </w:r>
    </w:p>
    <w:p>
      <w:pPr>
        <w:pStyle w:val="BodyText"/>
        <w:spacing w:line="269" w:lineRule="exact"/>
        <w:ind w:left="1260"/>
      </w:pPr>
      <w:r>
        <w:rPr>
          <w:rFonts w:ascii="Times New Roman" w:eastAsia="Times New Roman"/>
        </w:rPr>
        <w:t>1</w:t>
      </w:r>
      <w:r>
        <w:rPr/>
        <w:t>、适用投资者范围</w:t>
      </w:r>
    </w:p>
    <w:p>
      <w:pPr>
        <w:spacing w:after="0" w:line="269" w:lineRule="exact"/>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3" w:firstLine="419"/>
      </w:pPr>
      <w:r>
        <w:rPr>
          <w:spacing w:val="-1"/>
        </w:rPr>
        <w:t>本基金的</w:t>
      </w:r>
      <w:r>
        <w:rPr>
          <w:rFonts w:ascii="Times New Roman" w:hAnsi="Times New Roman" w:eastAsia="Times New Roman"/>
          <w:spacing w:val="-3"/>
        </w:rPr>
        <w:t>“</w:t>
      </w:r>
      <w:r>
        <w:rPr>
          <w:spacing w:val="-3"/>
        </w:rPr>
        <w:t>定期定额投资计划</w:t>
      </w:r>
      <w:r>
        <w:rPr>
          <w:rFonts w:ascii="Times New Roman" w:hAnsi="Times New Roman" w:eastAsia="Times New Roman"/>
        </w:rPr>
        <w:t>”</w:t>
      </w:r>
      <w:r>
        <w:rPr>
          <w:spacing w:val="-11"/>
        </w:rPr>
        <w:t>适用于符合《景顺长城新兴成长股票型证券投资基金基金</w:t>
      </w:r>
      <w:r>
        <w:rPr>
          <w:spacing w:val="-6"/>
        </w:rPr>
        <w:t>合同》规定的投资者。</w:t>
      </w:r>
    </w:p>
    <w:p>
      <w:pPr>
        <w:pStyle w:val="BodyText"/>
        <w:spacing w:line="269" w:lineRule="exact"/>
        <w:ind w:left="1260"/>
      </w:pPr>
      <w:r>
        <w:rPr>
          <w:rFonts w:ascii="Times New Roman" w:eastAsia="Times New Roman"/>
        </w:rPr>
        <w:t>2</w:t>
      </w:r>
      <w:r>
        <w:rPr/>
        <w:t>、办理场所</w:t>
      </w:r>
    </w:p>
    <w:p>
      <w:pPr>
        <w:pStyle w:val="BodyText"/>
        <w:spacing w:before="7"/>
        <w:rPr>
          <w:sz w:val="15"/>
        </w:rPr>
      </w:pPr>
    </w:p>
    <w:p>
      <w:pPr>
        <w:pStyle w:val="BodyText"/>
        <w:spacing w:line="417" w:lineRule="auto"/>
        <w:ind w:left="840" w:right="891" w:firstLine="419"/>
      </w:pPr>
      <w:r>
        <w:rPr>
          <w:spacing w:val="-22"/>
        </w:rPr>
        <w:t>自 </w:t>
      </w:r>
      <w:r>
        <w:rPr>
          <w:rFonts w:ascii="Times New Roman" w:eastAsia="Times New Roman"/>
        </w:rPr>
        <w:t>2006</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6"/>
        </w:rPr>
        <w:t> </w:t>
      </w:r>
      <w:r>
        <w:rPr>
          <w:spacing w:val="-22"/>
        </w:rPr>
        <w:t>月 </w:t>
      </w:r>
      <w:r>
        <w:rPr>
          <w:rFonts w:ascii="Times New Roman" w:eastAsia="Times New Roman"/>
        </w:rPr>
        <w:t>1</w:t>
      </w:r>
      <w:r>
        <w:rPr>
          <w:rFonts w:ascii="Times New Roman" w:eastAsia="Times New Roman"/>
          <w:spacing w:val="6"/>
        </w:rPr>
        <w:t> </w:t>
      </w:r>
      <w:r>
        <w:rPr>
          <w:spacing w:val="-3"/>
        </w:rPr>
        <w:t>日起投资者可通过中国光大银行办理定期定额业务，具体办理程序遵循中国光大银行的规定。</w:t>
      </w:r>
    </w:p>
    <w:p>
      <w:pPr>
        <w:pStyle w:val="BodyText"/>
        <w:spacing w:line="417" w:lineRule="auto"/>
        <w:ind w:left="840" w:right="891" w:firstLine="419"/>
      </w:pPr>
      <w:r>
        <w:rPr>
          <w:spacing w:val="-24"/>
        </w:rPr>
        <w:t>自 </w:t>
      </w:r>
      <w:r>
        <w:rPr>
          <w:rFonts w:ascii="Times New Roman" w:eastAsia="Times New Roman"/>
        </w:rPr>
        <w:t>2007</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23</w:t>
      </w:r>
      <w:r>
        <w:rPr>
          <w:rFonts w:ascii="Times New Roman" w:eastAsia="Times New Roman"/>
          <w:spacing w:val="7"/>
        </w:rPr>
        <w:t> </w:t>
      </w:r>
      <w:r>
        <w:rPr>
          <w:spacing w:val="-7"/>
        </w:rPr>
        <w:t>日起投资者可通过中国工商银行办理定期定额业务，具体办理程序遵</w:t>
      </w:r>
      <w:r>
        <w:rPr>
          <w:spacing w:val="-5"/>
        </w:rPr>
        <w:t>循中国工商银行的规定。</w:t>
      </w:r>
    </w:p>
    <w:p>
      <w:pPr>
        <w:pStyle w:val="BodyText"/>
        <w:ind w:left="1260"/>
      </w:pPr>
      <w:r>
        <w:rPr/>
        <w:t>自 </w:t>
      </w:r>
      <w:r>
        <w:rPr>
          <w:rFonts w:ascii="Times New Roman" w:eastAsia="Times New Roman"/>
        </w:rPr>
        <w:t>2007 </w:t>
      </w:r>
      <w:r>
        <w:rPr/>
        <w:t>年 </w:t>
      </w:r>
      <w:r>
        <w:rPr>
          <w:rFonts w:ascii="Times New Roman" w:eastAsia="Times New Roman"/>
        </w:rPr>
        <w:t>6 </w:t>
      </w:r>
      <w:r>
        <w:rPr/>
        <w:t>月 </w:t>
      </w:r>
      <w:r>
        <w:rPr>
          <w:rFonts w:ascii="Times New Roman" w:eastAsia="Times New Roman"/>
        </w:rPr>
        <w:t>27 </w:t>
      </w:r>
      <w:r>
        <w:rPr/>
        <w:t>日起投资者可通过浦发银行个人网上银行办理定期定额业务，并自</w:t>
      </w:r>
    </w:p>
    <w:p>
      <w:pPr>
        <w:pStyle w:val="BodyText"/>
        <w:spacing w:before="6"/>
        <w:rPr>
          <w:sz w:val="15"/>
        </w:rPr>
      </w:pPr>
    </w:p>
    <w:p>
      <w:pPr>
        <w:pStyle w:val="BodyText"/>
        <w:spacing w:before="1"/>
        <w:ind w:left="840"/>
      </w:pPr>
      <w:r>
        <w:rPr>
          <w:rFonts w:ascii="Times New Roman" w:eastAsia="Times New Roman"/>
        </w:rPr>
        <w:t>2007 </w:t>
      </w:r>
      <w:r>
        <w:rPr/>
        <w:t>年 </w:t>
      </w:r>
      <w:r>
        <w:rPr>
          <w:rFonts w:ascii="Times New Roman" w:eastAsia="Times New Roman"/>
        </w:rPr>
        <w:t>8 </w:t>
      </w:r>
      <w:r>
        <w:rPr/>
        <w:t>月 </w:t>
      </w:r>
      <w:r>
        <w:rPr>
          <w:rFonts w:ascii="Times New Roman" w:eastAsia="Times New Roman"/>
        </w:rPr>
        <w:t>16 </w:t>
      </w:r>
      <w:r>
        <w:rPr/>
        <w:t>日起开通了柜台定期定额投资业务，具体办理程序遵循浦发银行的规定。</w:t>
      </w:r>
    </w:p>
    <w:p>
      <w:pPr>
        <w:pStyle w:val="BodyText"/>
        <w:spacing w:before="6"/>
        <w:rPr>
          <w:sz w:val="15"/>
        </w:rPr>
      </w:pPr>
    </w:p>
    <w:p>
      <w:pPr>
        <w:pStyle w:val="BodyText"/>
        <w:spacing w:line="417" w:lineRule="auto"/>
        <w:ind w:left="840" w:right="891" w:firstLine="419"/>
      </w:pPr>
      <w:r>
        <w:rPr>
          <w:spacing w:val="-22"/>
        </w:rPr>
        <w:t>自 </w:t>
      </w:r>
      <w:r>
        <w:rPr>
          <w:rFonts w:ascii="Times New Roman" w:eastAsia="Times New Roman"/>
        </w:rPr>
        <w:t>2007 </w:t>
      </w:r>
      <w:r>
        <w:rPr>
          <w:spacing w:val="-24"/>
        </w:rPr>
        <w:t>年 </w:t>
      </w:r>
      <w:r>
        <w:rPr>
          <w:rFonts w:ascii="Times New Roman" w:eastAsia="Times New Roman"/>
        </w:rPr>
        <w:t>8 </w:t>
      </w:r>
      <w:r>
        <w:rPr>
          <w:spacing w:val="-22"/>
        </w:rPr>
        <w:t>月 </w:t>
      </w:r>
      <w:r>
        <w:rPr>
          <w:rFonts w:ascii="Times New Roman" w:eastAsia="Times New Roman"/>
        </w:rPr>
        <w:t>9 </w:t>
      </w:r>
      <w:r>
        <w:rPr>
          <w:spacing w:val="-3"/>
        </w:rPr>
        <w:t>日起投资者可通过招商银行办理定期定额业务，具体办理程序遵循招商银行的规定。</w:t>
      </w:r>
    </w:p>
    <w:p>
      <w:pPr>
        <w:pStyle w:val="BodyText"/>
        <w:spacing w:line="417" w:lineRule="auto"/>
        <w:ind w:left="840" w:right="891" w:firstLine="419"/>
      </w:pPr>
      <w:r>
        <w:rPr>
          <w:spacing w:val="-24"/>
        </w:rPr>
        <w:t>自 </w:t>
      </w:r>
      <w:r>
        <w:rPr>
          <w:rFonts w:ascii="Times New Roman" w:eastAsia="Times New Roman"/>
        </w:rPr>
        <w:t>2007 </w:t>
      </w:r>
      <w:r>
        <w:rPr>
          <w:spacing w:val="-24"/>
        </w:rPr>
        <w:t>年 </w:t>
      </w:r>
      <w:r>
        <w:rPr>
          <w:rFonts w:ascii="Times New Roman" w:eastAsia="Times New Roman"/>
        </w:rPr>
        <w:t>10 </w:t>
      </w:r>
      <w:r>
        <w:rPr>
          <w:spacing w:val="-24"/>
        </w:rPr>
        <w:t>月 </w:t>
      </w:r>
      <w:r>
        <w:rPr>
          <w:rFonts w:ascii="Times New Roman" w:eastAsia="Times New Roman"/>
        </w:rPr>
        <w:t>9 </w:t>
      </w:r>
      <w:r>
        <w:rPr>
          <w:spacing w:val="-7"/>
        </w:rPr>
        <w:t>日起投资者可通过中国农业银行办理定期定额业务，具体办理程序遵</w:t>
      </w:r>
      <w:r>
        <w:rPr>
          <w:spacing w:val="-5"/>
        </w:rPr>
        <w:t>循中国农业银行的规定。</w:t>
      </w:r>
    </w:p>
    <w:p>
      <w:pPr>
        <w:pStyle w:val="BodyText"/>
        <w:spacing w:line="417" w:lineRule="auto"/>
        <w:ind w:left="840" w:right="891" w:firstLine="419"/>
      </w:pPr>
      <w:r>
        <w:rPr>
          <w:spacing w:val="-24"/>
        </w:rPr>
        <w:t>自 </w:t>
      </w:r>
      <w:r>
        <w:rPr>
          <w:rFonts w:ascii="Times New Roman" w:eastAsia="Times New Roman"/>
        </w:rPr>
        <w:t>2008</w:t>
      </w:r>
      <w:r>
        <w:rPr>
          <w:rFonts w:ascii="Times New Roman" w:eastAsia="Times New Roman"/>
          <w:spacing w:val="6"/>
        </w:rPr>
        <w:t> </w:t>
      </w:r>
      <w:r>
        <w:rPr>
          <w:spacing w:val="-24"/>
        </w:rPr>
        <w:t>年 </w:t>
      </w:r>
      <w:r>
        <w:rPr>
          <w:rFonts w:ascii="Times New Roman" w:eastAsia="Times New Roman"/>
        </w:rPr>
        <w:t>1</w:t>
      </w:r>
      <w:r>
        <w:rPr>
          <w:rFonts w:ascii="Times New Roman" w:eastAsia="Times New Roman"/>
          <w:spacing w:val="6"/>
        </w:rPr>
        <w:t> </w:t>
      </w:r>
      <w:r>
        <w:rPr>
          <w:spacing w:val="-25"/>
        </w:rPr>
        <w:t>月 </w:t>
      </w:r>
      <w:r>
        <w:rPr>
          <w:rFonts w:ascii="Times New Roman" w:eastAsia="Times New Roman"/>
        </w:rPr>
        <w:t>25</w:t>
      </w:r>
      <w:r>
        <w:rPr>
          <w:rFonts w:ascii="Times New Roman" w:eastAsia="Times New Roman"/>
          <w:spacing w:val="7"/>
        </w:rPr>
        <w:t> </w:t>
      </w:r>
      <w:r>
        <w:rPr>
          <w:spacing w:val="-8"/>
        </w:rPr>
        <w:t>日起投资者可通过交通银行办理定期定额业务，具体办理程序遵循交</w:t>
      </w:r>
      <w:r>
        <w:rPr>
          <w:spacing w:val="-5"/>
        </w:rPr>
        <w:t>通银行的规定。</w:t>
      </w:r>
    </w:p>
    <w:p>
      <w:pPr>
        <w:pStyle w:val="BodyText"/>
        <w:spacing w:line="417" w:lineRule="auto"/>
        <w:ind w:left="840" w:right="891" w:firstLine="419"/>
      </w:pPr>
      <w:r>
        <w:rPr>
          <w:spacing w:val="-24"/>
        </w:rPr>
        <w:t>自 </w:t>
      </w:r>
      <w:r>
        <w:rPr>
          <w:rFonts w:ascii="Times New Roman" w:eastAsia="Times New Roman"/>
        </w:rPr>
        <w:t>2008</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14</w:t>
      </w:r>
      <w:r>
        <w:rPr>
          <w:rFonts w:ascii="Times New Roman" w:eastAsia="Times New Roman"/>
          <w:spacing w:val="7"/>
        </w:rPr>
        <w:t> </w:t>
      </w:r>
      <w:r>
        <w:rPr>
          <w:spacing w:val="-8"/>
        </w:rPr>
        <w:t>日起投资者可通过中信银行办理定期定额业务，具体办理程序遵循中</w:t>
      </w:r>
      <w:r>
        <w:rPr>
          <w:spacing w:val="-5"/>
        </w:rPr>
        <w:t>信银行的规定。</w:t>
      </w:r>
    </w:p>
    <w:p>
      <w:pPr>
        <w:pStyle w:val="BodyText"/>
        <w:spacing w:line="417" w:lineRule="auto"/>
        <w:ind w:left="840" w:right="891" w:firstLine="419"/>
      </w:pPr>
      <w:r>
        <w:rPr>
          <w:spacing w:val="-24"/>
        </w:rPr>
        <w:t>自 </w:t>
      </w:r>
      <w:r>
        <w:rPr>
          <w:rFonts w:ascii="Times New Roman" w:eastAsia="Times New Roman"/>
        </w:rPr>
        <w:t>2008</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23</w:t>
      </w:r>
      <w:r>
        <w:rPr>
          <w:rFonts w:ascii="Times New Roman" w:eastAsia="Times New Roman"/>
          <w:spacing w:val="7"/>
        </w:rPr>
        <w:t> </w:t>
      </w:r>
      <w:r>
        <w:rPr>
          <w:spacing w:val="-8"/>
        </w:rPr>
        <w:t>日起投资者可通过北京银行办理定期定额业务，具体办理程序遵循北</w:t>
      </w:r>
      <w:r>
        <w:rPr>
          <w:spacing w:val="-5"/>
        </w:rPr>
        <w:t>京银行的规定。</w:t>
      </w:r>
    </w:p>
    <w:p>
      <w:pPr>
        <w:pStyle w:val="BodyText"/>
        <w:spacing w:line="417" w:lineRule="auto"/>
        <w:ind w:left="840" w:right="891" w:firstLine="419"/>
      </w:pPr>
      <w:r>
        <w:rPr>
          <w:spacing w:val="-24"/>
        </w:rPr>
        <w:t>自 </w:t>
      </w:r>
      <w:r>
        <w:rPr>
          <w:rFonts w:ascii="Times New Roman" w:eastAsia="Times New Roman"/>
        </w:rPr>
        <w:t>2008</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18</w:t>
      </w:r>
      <w:r>
        <w:rPr>
          <w:rFonts w:ascii="Times New Roman" w:eastAsia="Times New Roman"/>
          <w:spacing w:val="7"/>
        </w:rPr>
        <w:t> </w:t>
      </w:r>
      <w:r>
        <w:rPr>
          <w:spacing w:val="-8"/>
        </w:rPr>
        <w:t>日起投资者可通过中国银行办理定期定额业务，具体办理程序遵循中</w:t>
      </w:r>
      <w:r>
        <w:rPr>
          <w:spacing w:val="-5"/>
        </w:rPr>
        <w:t>国银行的规定。</w:t>
      </w:r>
    </w:p>
    <w:p>
      <w:pPr>
        <w:pStyle w:val="BodyText"/>
        <w:spacing w:line="417" w:lineRule="auto"/>
        <w:ind w:left="840" w:right="891" w:firstLine="419"/>
      </w:pPr>
      <w:r>
        <w:rPr>
          <w:spacing w:val="-24"/>
        </w:rPr>
        <w:t>自 </w:t>
      </w:r>
      <w:r>
        <w:rPr>
          <w:rFonts w:ascii="Times New Roman" w:eastAsia="Times New Roman"/>
        </w:rPr>
        <w:t>2008</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14</w:t>
      </w:r>
      <w:r>
        <w:rPr>
          <w:rFonts w:ascii="Times New Roman" w:eastAsia="Times New Roman"/>
          <w:spacing w:val="7"/>
        </w:rPr>
        <w:t> </w:t>
      </w:r>
      <w:r>
        <w:rPr>
          <w:spacing w:val="-8"/>
        </w:rPr>
        <w:t>日起投资者可通过民生银行办理定期定额业务，具体办理程序遵循民</w:t>
      </w:r>
      <w:r>
        <w:rPr>
          <w:spacing w:val="-5"/>
        </w:rPr>
        <w:t>生银行的规定。</w:t>
      </w:r>
    </w:p>
    <w:p>
      <w:pPr>
        <w:pStyle w:val="BodyText"/>
        <w:spacing w:line="417" w:lineRule="auto"/>
        <w:ind w:left="840" w:right="891" w:firstLine="419"/>
      </w:pPr>
      <w:r>
        <w:rPr>
          <w:spacing w:val="-22"/>
        </w:rPr>
        <w:t>自 </w:t>
      </w:r>
      <w:r>
        <w:rPr>
          <w:rFonts w:ascii="Times New Roman" w:eastAsia="Times New Roman"/>
        </w:rPr>
        <w:t>2008 </w:t>
      </w:r>
      <w:r>
        <w:rPr>
          <w:spacing w:val="-23"/>
        </w:rPr>
        <w:t>年 </w:t>
      </w:r>
      <w:r>
        <w:rPr>
          <w:rFonts w:ascii="Times New Roman" w:eastAsia="Times New Roman"/>
          <w:spacing w:val="-4"/>
        </w:rPr>
        <w:t>11 </w:t>
      </w:r>
      <w:r>
        <w:rPr>
          <w:spacing w:val="-24"/>
        </w:rPr>
        <w:t>月 </w:t>
      </w:r>
      <w:r>
        <w:rPr>
          <w:rFonts w:ascii="Times New Roman" w:eastAsia="Times New Roman"/>
        </w:rPr>
        <w:t>12 </w:t>
      </w:r>
      <w:r>
        <w:rPr>
          <w:spacing w:val="-3"/>
        </w:rPr>
        <w:t>日起投资者可通过广发银行办理定期定额业务，具体办理程序遵循广发银行的规定。</w:t>
      </w:r>
    </w:p>
    <w:p>
      <w:pPr>
        <w:pStyle w:val="BodyText"/>
        <w:spacing w:line="417" w:lineRule="auto"/>
        <w:ind w:left="840" w:right="891" w:firstLine="419"/>
      </w:pPr>
      <w:r>
        <w:rPr>
          <w:spacing w:val="-22"/>
        </w:rPr>
        <w:t>自 </w:t>
      </w:r>
      <w:r>
        <w:rPr>
          <w:rFonts w:ascii="Times New Roman" w:eastAsia="Times New Roman"/>
        </w:rPr>
        <w:t>2009 </w:t>
      </w:r>
      <w:r>
        <w:rPr>
          <w:spacing w:val="-24"/>
        </w:rPr>
        <w:t>年 </w:t>
      </w:r>
      <w:r>
        <w:rPr>
          <w:rFonts w:ascii="Times New Roman" w:eastAsia="Times New Roman"/>
        </w:rPr>
        <w:t>1 </w:t>
      </w:r>
      <w:r>
        <w:rPr>
          <w:spacing w:val="-22"/>
        </w:rPr>
        <w:t>月 </w:t>
      </w:r>
      <w:r>
        <w:rPr>
          <w:rFonts w:ascii="Times New Roman" w:eastAsia="Times New Roman"/>
        </w:rPr>
        <w:t>1 </w:t>
      </w:r>
      <w:r>
        <w:rPr>
          <w:spacing w:val="-3"/>
        </w:rPr>
        <w:t>日起投资者可通过中国建设银行办理定期定额业务，具体办理程序遵循建设银行的规定。</w:t>
      </w:r>
    </w:p>
    <w:p>
      <w:pPr>
        <w:pStyle w:val="BodyText"/>
        <w:spacing w:line="417" w:lineRule="auto"/>
        <w:ind w:left="840" w:right="891" w:firstLine="419"/>
      </w:pPr>
      <w:r>
        <w:rPr>
          <w:spacing w:val="-24"/>
        </w:rPr>
        <w:t>自 </w:t>
      </w:r>
      <w:r>
        <w:rPr>
          <w:rFonts w:ascii="Times New Roman" w:eastAsia="Times New Roman"/>
        </w:rPr>
        <w:t>2009 </w:t>
      </w:r>
      <w:r>
        <w:rPr>
          <w:spacing w:val="-24"/>
        </w:rPr>
        <w:t>年 </w:t>
      </w:r>
      <w:r>
        <w:rPr>
          <w:rFonts w:ascii="Times New Roman" w:eastAsia="Times New Roman"/>
        </w:rPr>
        <w:t>1 </w:t>
      </w:r>
      <w:r>
        <w:rPr>
          <w:spacing w:val="-25"/>
        </w:rPr>
        <w:t>月 </w:t>
      </w:r>
      <w:r>
        <w:rPr>
          <w:rFonts w:ascii="Times New Roman" w:eastAsia="Times New Roman"/>
        </w:rPr>
        <w:t>12 </w:t>
      </w:r>
      <w:r>
        <w:rPr>
          <w:spacing w:val="-7"/>
        </w:rPr>
        <w:t>日起投资者可通过深圳发展银行办理定期定额业务，具体办理程序遵</w:t>
      </w:r>
      <w:r>
        <w:rPr>
          <w:spacing w:val="-5"/>
        </w:rPr>
        <w:t>循深圳发展银行的规定。</w:t>
      </w:r>
    </w:p>
    <w:p>
      <w:pPr>
        <w:pStyle w:val="BodyText"/>
        <w:ind w:left="1260"/>
      </w:pPr>
      <w:r>
        <w:rPr/>
        <w:t>自 </w:t>
      </w:r>
      <w:r>
        <w:rPr>
          <w:rFonts w:ascii="Times New Roman" w:eastAsia="Times New Roman"/>
        </w:rPr>
        <w:t>2009 </w:t>
      </w:r>
      <w:r>
        <w:rPr/>
        <w:t>年 </w:t>
      </w:r>
      <w:r>
        <w:rPr>
          <w:rFonts w:ascii="Times New Roman" w:eastAsia="Times New Roman"/>
        </w:rPr>
        <w:t>1 </w:t>
      </w:r>
      <w:r>
        <w:rPr/>
        <w:t>月 </w:t>
      </w:r>
      <w:r>
        <w:rPr>
          <w:rFonts w:ascii="Times New Roman" w:eastAsia="Times New Roman"/>
        </w:rPr>
        <w:t>22 </w:t>
      </w:r>
      <w:r>
        <w:rPr/>
        <w:t>日起投资者可通过浙商银行办理定期定额业务，具体办理程序遵循浙</w:t>
      </w:r>
    </w:p>
    <w:p>
      <w:pPr>
        <w:spacing w:after="0"/>
        <w:sectPr>
          <w:pgSz w:w="11910" w:h="16840"/>
          <w:pgMar w:header="877" w:footer="995" w:top="1100" w:bottom="1180" w:left="960" w:right="900"/>
        </w:sectPr>
      </w:pPr>
    </w:p>
    <w:p>
      <w:pPr>
        <w:pStyle w:val="BodyText"/>
        <w:spacing w:before="4"/>
        <w:rPr>
          <w:sz w:val="27"/>
        </w:rPr>
      </w:pPr>
    </w:p>
    <w:p>
      <w:pPr>
        <w:pStyle w:val="BodyText"/>
        <w:spacing w:before="71"/>
        <w:ind w:left="840"/>
      </w:pPr>
      <w:r>
        <w:rPr/>
        <w:t>商银行的规定。</w:t>
      </w:r>
    </w:p>
    <w:p>
      <w:pPr>
        <w:pStyle w:val="BodyText"/>
        <w:spacing w:before="7"/>
        <w:rPr>
          <w:sz w:val="15"/>
        </w:rPr>
      </w:pPr>
    </w:p>
    <w:p>
      <w:pPr>
        <w:pStyle w:val="BodyText"/>
        <w:spacing w:line="417" w:lineRule="auto"/>
        <w:ind w:left="840" w:right="891" w:firstLine="419"/>
      </w:pPr>
      <w:r>
        <w:rPr>
          <w:spacing w:val="-24"/>
        </w:rPr>
        <w:t>自 </w:t>
      </w:r>
      <w:r>
        <w:rPr>
          <w:rFonts w:ascii="Times New Roman" w:eastAsia="Times New Roman"/>
        </w:rPr>
        <w:t>2009 </w:t>
      </w:r>
      <w:r>
        <w:rPr>
          <w:spacing w:val="-24"/>
        </w:rPr>
        <w:t>年 </w:t>
      </w:r>
      <w:r>
        <w:rPr>
          <w:rFonts w:ascii="Times New Roman" w:eastAsia="Times New Roman"/>
        </w:rPr>
        <w:t>7 </w:t>
      </w:r>
      <w:r>
        <w:rPr>
          <w:spacing w:val="-25"/>
        </w:rPr>
        <w:t>月 </w:t>
      </w:r>
      <w:r>
        <w:rPr>
          <w:rFonts w:ascii="Times New Roman" w:eastAsia="Times New Roman"/>
        </w:rPr>
        <w:t>14 </w:t>
      </w:r>
      <w:r>
        <w:rPr>
          <w:spacing w:val="-7"/>
        </w:rPr>
        <w:t>日起投资者可通过中信建投证券办理定期定额业务，具体办理程序遵</w:t>
      </w:r>
      <w:r>
        <w:rPr>
          <w:spacing w:val="-5"/>
        </w:rPr>
        <w:t>循中信建投证券的规定。</w:t>
      </w:r>
    </w:p>
    <w:p>
      <w:pPr>
        <w:pStyle w:val="BodyText"/>
        <w:spacing w:line="417" w:lineRule="auto"/>
        <w:ind w:left="840" w:right="891" w:firstLine="419"/>
      </w:pPr>
      <w:r>
        <w:rPr>
          <w:spacing w:val="-22"/>
        </w:rPr>
        <w:t>自 </w:t>
      </w:r>
      <w:r>
        <w:rPr>
          <w:rFonts w:ascii="Times New Roman" w:eastAsia="Times New Roman"/>
        </w:rPr>
        <w:t>2009 </w:t>
      </w:r>
      <w:r>
        <w:rPr>
          <w:spacing w:val="-23"/>
        </w:rPr>
        <w:t>年 </w:t>
      </w:r>
      <w:r>
        <w:rPr>
          <w:rFonts w:ascii="Times New Roman" w:eastAsia="Times New Roman"/>
          <w:spacing w:val="-4"/>
        </w:rPr>
        <w:t>11 </w:t>
      </w:r>
      <w:r>
        <w:rPr>
          <w:spacing w:val="-24"/>
        </w:rPr>
        <w:t>月 </w:t>
      </w:r>
      <w:r>
        <w:rPr>
          <w:rFonts w:ascii="Times New Roman" w:eastAsia="Times New Roman"/>
        </w:rPr>
        <w:t>25 </w:t>
      </w:r>
      <w:r>
        <w:rPr>
          <w:spacing w:val="-3"/>
        </w:rPr>
        <w:t>日起投资者可通过平安银行办理定期定额业务，具体办理程序遵循平安银行的规定。</w:t>
      </w:r>
    </w:p>
    <w:p>
      <w:pPr>
        <w:pStyle w:val="BodyText"/>
        <w:spacing w:line="417" w:lineRule="auto"/>
        <w:ind w:left="840" w:right="891" w:firstLine="419"/>
      </w:pPr>
      <w:r>
        <w:rPr>
          <w:spacing w:val="-22"/>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1</w:t>
      </w:r>
      <w:r>
        <w:rPr>
          <w:rFonts w:ascii="Times New Roman" w:eastAsia="Times New Roman"/>
          <w:spacing w:val="7"/>
        </w:rPr>
        <w:t> </w:t>
      </w:r>
      <w:r>
        <w:rPr>
          <w:spacing w:val="-22"/>
        </w:rPr>
        <w:t>月 </w:t>
      </w:r>
      <w:r>
        <w:rPr>
          <w:rFonts w:ascii="Times New Roman" w:eastAsia="Times New Roman"/>
        </w:rPr>
        <w:t>4</w:t>
      </w:r>
      <w:r>
        <w:rPr>
          <w:rFonts w:ascii="Times New Roman" w:eastAsia="Times New Roman"/>
          <w:spacing w:val="6"/>
        </w:rPr>
        <w:t> </w:t>
      </w:r>
      <w:r>
        <w:rPr>
          <w:spacing w:val="-3"/>
        </w:rPr>
        <w:t>日起投资者可通过爱建证券办理定期定额业务，具体办理程序遵循爱建证券的规定。</w:t>
      </w:r>
    </w:p>
    <w:p>
      <w:pPr>
        <w:pStyle w:val="BodyText"/>
        <w:spacing w:line="417" w:lineRule="auto"/>
        <w:ind w:left="840" w:right="891" w:firstLine="419"/>
      </w:pPr>
      <w:r>
        <w:rPr>
          <w:spacing w:val="-22"/>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3</w:t>
      </w:r>
      <w:r>
        <w:rPr>
          <w:rFonts w:ascii="Times New Roman" w:eastAsia="Times New Roman"/>
          <w:spacing w:val="7"/>
        </w:rPr>
        <w:t> </w:t>
      </w:r>
      <w:r>
        <w:rPr>
          <w:spacing w:val="-22"/>
        </w:rPr>
        <w:t>月 </w:t>
      </w:r>
      <w:r>
        <w:rPr>
          <w:rFonts w:ascii="Times New Roman" w:eastAsia="Times New Roman"/>
        </w:rPr>
        <w:t>4</w:t>
      </w:r>
      <w:r>
        <w:rPr>
          <w:rFonts w:ascii="Times New Roman" w:eastAsia="Times New Roman"/>
          <w:spacing w:val="6"/>
        </w:rPr>
        <w:t> </w:t>
      </w:r>
      <w:r>
        <w:rPr>
          <w:spacing w:val="-3"/>
        </w:rPr>
        <w:t>日起投资者可通过银河证券办理定期定额业务，具体办理程序遵循银河证券的规定。</w:t>
      </w:r>
    </w:p>
    <w:p>
      <w:pPr>
        <w:pStyle w:val="BodyText"/>
        <w:spacing w:line="417" w:lineRule="auto"/>
        <w:ind w:left="840" w:right="893" w:firstLine="419"/>
      </w:pPr>
      <w:r>
        <w:rPr>
          <w:spacing w:val="-24"/>
        </w:rPr>
        <w:t>自 </w:t>
      </w:r>
      <w:r>
        <w:rPr>
          <w:rFonts w:ascii="Times New Roman" w:eastAsia="Times New Roman"/>
        </w:rPr>
        <w:t>2010 </w:t>
      </w:r>
      <w:r>
        <w:rPr>
          <w:spacing w:val="-24"/>
        </w:rPr>
        <w:t>年 </w:t>
      </w:r>
      <w:r>
        <w:rPr>
          <w:rFonts w:ascii="Times New Roman" w:eastAsia="Times New Roman"/>
        </w:rPr>
        <w:t>3 </w:t>
      </w:r>
      <w:r>
        <w:rPr>
          <w:spacing w:val="-25"/>
        </w:rPr>
        <w:t>月 </w:t>
      </w:r>
      <w:r>
        <w:rPr>
          <w:rFonts w:ascii="Times New Roman" w:eastAsia="Times New Roman"/>
          <w:spacing w:val="-4"/>
        </w:rPr>
        <w:t>11 </w:t>
      </w:r>
      <w:r>
        <w:rPr>
          <w:spacing w:val="-7"/>
        </w:rPr>
        <w:t>日起投资者可通过本公司网上直销办理定期定额业务，具体办理程序</w:t>
      </w:r>
      <w:r>
        <w:rPr>
          <w:spacing w:val="-5"/>
        </w:rPr>
        <w:t>遵循本公司网上直销的规定。</w:t>
      </w:r>
    </w:p>
    <w:p>
      <w:pPr>
        <w:pStyle w:val="BodyText"/>
        <w:spacing w:line="417" w:lineRule="auto"/>
        <w:ind w:left="840" w:right="891" w:firstLine="419"/>
      </w:pPr>
      <w:r>
        <w:rPr>
          <w:spacing w:val="-24"/>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20</w:t>
      </w:r>
      <w:r>
        <w:rPr>
          <w:rFonts w:ascii="Times New Roman" w:eastAsia="Times New Roman"/>
          <w:spacing w:val="7"/>
        </w:rPr>
        <w:t> </w:t>
      </w:r>
      <w:r>
        <w:rPr>
          <w:spacing w:val="-7"/>
        </w:rPr>
        <w:t>日起投资者可通过国泰君安证券办理定期定额业务，具体办理程序遵</w:t>
      </w:r>
      <w:r>
        <w:rPr>
          <w:spacing w:val="-5"/>
        </w:rPr>
        <w:t>循国泰君安证券的规定。</w:t>
      </w:r>
    </w:p>
    <w:p>
      <w:pPr>
        <w:pStyle w:val="BodyText"/>
        <w:spacing w:line="417" w:lineRule="auto"/>
        <w:ind w:left="840" w:right="891" w:firstLine="419"/>
      </w:pPr>
      <w:r>
        <w:rPr>
          <w:spacing w:val="-22"/>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7"/>
        </w:rPr>
        <w:t> </w:t>
      </w:r>
      <w:r>
        <w:rPr>
          <w:spacing w:val="-22"/>
        </w:rPr>
        <w:t>月 </w:t>
      </w:r>
      <w:r>
        <w:rPr>
          <w:rFonts w:ascii="Times New Roman" w:eastAsia="Times New Roman"/>
        </w:rPr>
        <w:t>7</w:t>
      </w:r>
      <w:r>
        <w:rPr>
          <w:rFonts w:ascii="Times New Roman" w:eastAsia="Times New Roman"/>
          <w:spacing w:val="6"/>
        </w:rPr>
        <w:t> </w:t>
      </w:r>
      <w:r>
        <w:rPr>
          <w:spacing w:val="-3"/>
        </w:rPr>
        <w:t>日起投资者可通过申银万国证券办理定期定额业务，具体办理程序遵循申银万国证券的规定。</w:t>
      </w:r>
    </w:p>
    <w:p>
      <w:pPr>
        <w:pStyle w:val="BodyText"/>
        <w:spacing w:line="417" w:lineRule="auto"/>
        <w:ind w:left="840" w:right="891" w:firstLine="419"/>
      </w:pPr>
      <w:r>
        <w:rPr>
          <w:spacing w:val="-24"/>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10</w:t>
      </w:r>
      <w:r>
        <w:rPr>
          <w:rFonts w:ascii="Times New Roman" w:eastAsia="Times New Roman"/>
          <w:spacing w:val="7"/>
        </w:rPr>
        <w:t> </w:t>
      </w:r>
      <w:r>
        <w:rPr>
          <w:spacing w:val="-8"/>
        </w:rPr>
        <w:t>日起投资者可通过温州银行办理定期定额业务，具体办理程序遵循温</w:t>
      </w:r>
      <w:r>
        <w:rPr>
          <w:spacing w:val="-5"/>
        </w:rPr>
        <w:t>州银行的规定。</w:t>
      </w:r>
    </w:p>
    <w:p>
      <w:pPr>
        <w:pStyle w:val="BodyText"/>
        <w:spacing w:line="417" w:lineRule="auto"/>
        <w:ind w:left="840" w:right="891" w:firstLine="419"/>
      </w:pPr>
      <w:r>
        <w:rPr>
          <w:spacing w:val="-24"/>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21</w:t>
      </w:r>
      <w:r>
        <w:rPr>
          <w:rFonts w:ascii="Times New Roman" w:eastAsia="Times New Roman"/>
          <w:spacing w:val="7"/>
        </w:rPr>
        <w:t> </w:t>
      </w:r>
      <w:r>
        <w:rPr>
          <w:spacing w:val="-8"/>
        </w:rPr>
        <w:t>日起投资者可通过安信证券办理定期定额业务，具体办理程序遵循安</w:t>
      </w:r>
      <w:r>
        <w:rPr>
          <w:spacing w:val="-5"/>
        </w:rPr>
        <w:t>信证券的规定。</w:t>
      </w:r>
    </w:p>
    <w:p>
      <w:pPr>
        <w:pStyle w:val="BodyText"/>
        <w:spacing w:line="417" w:lineRule="auto"/>
        <w:ind w:left="840" w:right="891" w:firstLine="419"/>
      </w:pPr>
      <w:r>
        <w:rPr>
          <w:spacing w:val="-24"/>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20</w:t>
      </w:r>
      <w:r>
        <w:rPr>
          <w:rFonts w:ascii="Times New Roman" w:eastAsia="Times New Roman"/>
          <w:spacing w:val="7"/>
        </w:rPr>
        <w:t> </w:t>
      </w:r>
      <w:r>
        <w:rPr>
          <w:spacing w:val="-8"/>
        </w:rPr>
        <w:t>日起投资者可通过国信证券办理定期定额业务，具体办理程序遵循国</w:t>
      </w:r>
      <w:r>
        <w:rPr>
          <w:spacing w:val="-5"/>
        </w:rPr>
        <w:t>信证券的规定。</w:t>
      </w:r>
    </w:p>
    <w:p>
      <w:pPr>
        <w:pStyle w:val="BodyText"/>
        <w:spacing w:line="417" w:lineRule="auto"/>
        <w:ind w:left="840" w:right="891" w:firstLine="419"/>
      </w:pPr>
      <w:r>
        <w:rPr>
          <w:spacing w:val="-24"/>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30</w:t>
      </w:r>
      <w:r>
        <w:rPr>
          <w:rFonts w:ascii="Times New Roman" w:eastAsia="Times New Roman"/>
          <w:spacing w:val="7"/>
        </w:rPr>
        <w:t> </w:t>
      </w:r>
      <w:r>
        <w:rPr>
          <w:spacing w:val="-8"/>
        </w:rPr>
        <w:t>日起投资者可通过平安证券办理定期定额业务，具体办理程序遵循平</w:t>
      </w:r>
      <w:r>
        <w:rPr>
          <w:spacing w:val="-5"/>
        </w:rPr>
        <w:t>安证券的规定。</w:t>
      </w:r>
    </w:p>
    <w:p>
      <w:pPr>
        <w:pStyle w:val="BodyText"/>
        <w:spacing w:line="417" w:lineRule="auto"/>
        <w:ind w:left="840" w:right="891" w:firstLine="419"/>
      </w:pPr>
      <w:r>
        <w:rPr>
          <w:spacing w:val="-24"/>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13</w:t>
      </w:r>
      <w:r>
        <w:rPr>
          <w:rFonts w:ascii="Times New Roman" w:eastAsia="Times New Roman"/>
          <w:spacing w:val="7"/>
        </w:rPr>
        <w:t> </w:t>
      </w:r>
      <w:r>
        <w:rPr>
          <w:spacing w:val="-8"/>
        </w:rPr>
        <w:t>日起投资者可通过广发证券办理定期定额业务，具体办理程序遵循广</w:t>
      </w:r>
      <w:r>
        <w:rPr>
          <w:spacing w:val="-5"/>
        </w:rPr>
        <w:t>发证券的规定。</w:t>
      </w:r>
    </w:p>
    <w:p>
      <w:pPr>
        <w:pStyle w:val="BodyText"/>
        <w:spacing w:line="417" w:lineRule="auto"/>
        <w:ind w:left="840" w:right="891" w:firstLine="419"/>
      </w:pPr>
      <w:r>
        <w:rPr>
          <w:spacing w:val="-24"/>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13</w:t>
      </w:r>
      <w:r>
        <w:rPr>
          <w:rFonts w:ascii="Times New Roman" w:eastAsia="Times New Roman"/>
          <w:spacing w:val="7"/>
        </w:rPr>
        <w:t> </w:t>
      </w:r>
      <w:r>
        <w:rPr>
          <w:spacing w:val="-8"/>
        </w:rPr>
        <w:t>日起投资者可通过信达证券办理定期定额业务，具体办理程序遵循信</w:t>
      </w:r>
      <w:r>
        <w:rPr>
          <w:spacing w:val="-5"/>
        </w:rPr>
        <w:t>达证券的规定。</w:t>
      </w:r>
    </w:p>
    <w:p>
      <w:pPr>
        <w:pStyle w:val="BodyText"/>
        <w:spacing w:line="417" w:lineRule="auto"/>
        <w:ind w:left="840" w:right="891" w:firstLine="419"/>
      </w:pPr>
      <w:r>
        <w:rPr>
          <w:spacing w:val="-24"/>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30</w:t>
      </w:r>
      <w:r>
        <w:rPr>
          <w:rFonts w:ascii="Times New Roman" w:eastAsia="Times New Roman"/>
          <w:spacing w:val="7"/>
        </w:rPr>
        <w:t> </w:t>
      </w:r>
      <w:r>
        <w:rPr>
          <w:spacing w:val="-8"/>
        </w:rPr>
        <w:t>日起投资者可通过光大证券办理定期定额业务，具体办理程序遵循光</w:t>
      </w:r>
      <w:r>
        <w:rPr>
          <w:spacing w:val="-5"/>
        </w:rPr>
        <w:t>大证券的规定。</w:t>
      </w:r>
    </w:p>
    <w:p>
      <w:pPr>
        <w:pStyle w:val="BodyText"/>
        <w:ind w:left="1260"/>
      </w:pPr>
      <w:r>
        <w:rPr/>
        <w:t>自 </w:t>
      </w:r>
      <w:r>
        <w:rPr>
          <w:rFonts w:ascii="Times New Roman" w:eastAsia="Times New Roman"/>
        </w:rPr>
        <w:t>2010 </w:t>
      </w:r>
      <w:r>
        <w:rPr/>
        <w:t>年 </w:t>
      </w:r>
      <w:r>
        <w:rPr>
          <w:rFonts w:ascii="Times New Roman" w:eastAsia="Times New Roman"/>
        </w:rPr>
        <w:t>8 </w:t>
      </w:r>
      <w:r>
        <w:rPr/>
        <w:t>月 </w:t>
      </w:r>
      <w:r>
        <w:rPr>
          <w:rFonts w:ascii="Times New Roman" w:eastAsia="Times New Roman"/>
        </w:rPr>
        <w:t>30 </w:t>
      </w:r>
      <w:r>
        <w:rPr/>
        <w:t>日起投资者可通过宏源证券办理定期定额业务，具体办理程序遵循宏</w:t>
      </w:r>
    </w:p>
    <w:p>
      <w:pPr>
        <w:spacing w:after="0"/>
        <w:sectPr>
          <w:pgSz w:w="11910" w:h="16840"/>
          <w:pgMar w:header="877" w:footer="995" w:top="1100" w:bottom="1180" w:left="960" w:right="900"/>
        </w:sectPr>
      </w:pPr>
    </w:p>
    <w:p>
      <w:pPr>
        <w:pStyle w:val="BodyText"/>
        <w:spacing w:before="4"/>
        <w:rPr>
          <w:sz w:val="27"/>
        </w:rPr>
      </w:pPr>
    </w:p>
    <w:p>
      <w:pPr>
        <w:pStyle w:val="BodyText"/>
        <w:spacing w:before="71"/>
        <w:ind w:left="840"/>
      </w:pPr>
      <w:r>
        <w:rPr>
          <w:spacing w:val="-2"/>
        </w:rPr>
        <w:t>源证券的规定。</w:t>
      </w:r>
    </w:p>
    <w:p>
      <w:pPr>
        <w:pStyle w:val="BodyText"/>
        <w:spacing w:before="7"/>
        <w:rPr>
          <w:sz w:val="15"/>
        </w:rPr>
      </w:pPr>
    </w:p>
    <w:p>
      <w:pPr>
        <w:pStyle w:val="BodyText"/>
        <w:spacing w:line="417" w:lineRule="auto"/>
        <w:ind w:left="840" w:right="891" w:firstLine="419"/>
      </w:pPr>
      <w:r>
        <w:rPr>
          <w:spacing w:val="-22"/>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7"/>
        </w:rPr>
        <w:t> </w:t>
      </w:r>
      <w:r>
        <w:rPr>
          <w:spacing w:val="-22"/>
        </w:rPr>
        <w:t>月 </w:t>
      </w:r>
      <w:r>
        <w:rPr>
          <w:rFonts w:ascii="Times New Roman" w:eastAsia="Times New Roman"/>
        </w:rPr>
        <w:t>1</w:t>
      </w:r>
      <w:r>
        <w:rPr>
          <w:rFonts w:ascii="Times New Roman" w:eastAsia="Times New Roman"/>
          <w:spacing w:val="6"/>
        </w:rPr>
        <w:t> </w:t>
      </w:r>
      <w:r>
        <w:rPr>
          <w:spacing w:val="-3"/>
        </w:rPr>
        <w:t>日起投资者可通过海通证券办理定期定额业务，具体办理程序遵循海通证券的规定。</w:t>
      </w:r>
    </w:p>
    <w:p>
      <w:pPr>
        <w:pStyle w:val="BodyText"/>
        <w:spacing w:line="417" w:lineRule="auto"/>
        <w:ind w:left="840" w:right="891" w:firstLine="419"/>
      </w:pPr>
      <w:r>
        <w:rPr>
          <w:spacing w:val="-22"/>
        </w:rPr>
        <w:t>自 </w:t>
      </w:r>
      <w:r>
        <w:rPr>
          <w:rFonts w:ascii="Times New Roman" w:eastAsia="Times New Roman"/>
        </w:rPr>
        <w:t>2010</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7"/>
        </w:rPr>
        <w:t> </w:t>
      </w:r>
      <w:r>
        <w:rPr>
          <w:spacing w:val="-22"/>
        </w:rPr>
        <w:t>月 </w:t>
      </w:r>
      <w:r>
        <w:rPr>
          <w:rFonts w:ascii="Times New Roman" w:eastAsia="Times New Roman"/>
        </w:rPr>
        <w:t>3</w:t>
      </w:r>
      <w:r>
        <w:rPr>
          <w:rFonts w:ascii="Times New Roman" w:eastAsia="Times New Roman"/>
          <w:spacing w:val="6"/>
        </w:rPr>
        <w:t> </w:t>
      </w:r>
      <w:r>
        <w:rPr>
          <w:spacing w:val="-3"/>
        </w:rPr>
        <w:t>日起投资者可通过华泰证券办理定期定额业务，具体办理程序遵循华泰证券的规定。</w:t>
      </w:r>
    </w:p>
    <w:p>
      <w:pPr>
        <w:pStyle w:val="BodyText"/>
        <w:spacing w:line="417" w:lineRule="auto"/>
        <w:ind w:left="840" w:right="891" w:firstLine="419"/>
      </w:pPr>
      <w:r>
        <w:rPr>
          <w:spacing w:val="-23"/>
        </w:rPr>
        <w:t>自 </w:t>
      </w:r>
      <w:r>
        <w:rPr>
          <w:rFonts w:ascii="Times New Roman" w:eastAsia="Times New Roman"/>
        </w:rPr>
        <w:t>2010 </w:t>
      </w:r>
      <w:r>
        <w:rPr>
          <w:spacing w:val="-22"/>
        </w:rPr>
        <w:t>年 </w:t>
      </w:r>
      <w:r>
        <w:rPr>
          <w:rFonts w:ascii="Times New Roman" w:eastAsia="Times New Roman"/>
        </w:rPr>
        <w:t>10 </w:t>
      </w:r>
      <w:r>
        <w:rPr>
          <w:spacing w:val="-23"/>
        </w:rPr>
        <w:t>月 </w:t>
      </w:r>
      <w:r>
        <w:rPr>
          <w:rFonts w:ascii="Times New Roman" w:eastAsia="Times New Roman"/>
        </w:rPr>
        <w:t>26 </w:t>
      </w:r>
      <w:r>
        <w:rPr>
          <w:spacing w:val="-3"/>
        </w:rPr>
        <w:t>日起投资者可通过渤海银行办理定期定额业务，具体办理程序遵循渤海银行的规定。</w:t>
      </w:r>
    </w:p>
    <w:p>
      <w:pPr>
        <w:pStyle w:val="BodyText"/>
        <w:spacing w:line="417" w:lineRule="auto"/>
        <w:ind w:left="840" w:right="893" w:firstLine="419"/>
      </w:pPr>
      <w:r>
        <w:rPr>
          <w:spacing w:val="-24"/>
        </w:rPr>
        <w:t>自 </w:t>
      </w:r>
      <w:r>
        <w:rPr>
          <w:rFonts w:ascii="Times New Roman" w:eastAsia="Times New Roman"/>
        </w:rPr>
        <w:t>2010 </w:t>
      </w:r>
      <w:r>
        <w:rPr>
          <w:spacing w:val="-24"/>
        </w:rPr>
        <w:t>年 </w:t>
      </w:r>
      <w:r>
        <w:rPr>
          <w:rFonts w:ascii="Times New Roman" w:eastAsia="Times New Roman"/>
          <w:spacing w:val="-4"/>
        </w:rPr>
        <w:t>11 </w:t>
      </w:r>
      <w:r>
        <w:rPr>
          <w:spacing w:val="-24"/>
        </w:rPr>
        <w:t>月 </w:t>
      </w:r>
      <w:r>
        <w:rPr>
          <w:rFonts w:ascii="Times New Roman" w:eastAsia="Times New Roman"/>
        </w:rPr>
        <w:t>8 </w:t>
      </w:r>
      <w:r>
        <w:rPr>
          <w:spacing w:val="-8"/>
        </w:rPr>
        <w:t>日起投资者可通过华龙证券办理定期定额业务，具体办理程序遵循华</w:t>
      </w:r>
      <w:r>
        <w:rPr>
          <w:spacing w:val="-5"/>
        </w:rPr>
        <w:t>龙证券的规定。</w:t>
      </w:r>
    </w:p>
    <w:p>
      <w:pPr>
        <w:pStyle w:val="BodyText"/>
        <w:spacing w:line="417" w:lineRule="auto"/>
        <w:ind w:left="840" w:right="891" w:firstLine="419"/>
      </w:pPr>
      <w:r>
        <w:rPr>
          <w:spacing w:val="-22"/>
        </w:rPr>
        <w:t>自 </w:t>
      </w:r>
      <w:r>
        <w:rPr>
          <w:rFonts w:ascii="Times New Roman" w:eastAsia="Times New Roman"/>
        </w:rPr>
        <w:t>2010 </w:t>
      </w:r>
      <w:r>
        <w:rPr>
          <w:spacing w:val="-23"/>
        </w:rPr>
        <w:t>年 </w:t>
      </w:r>
      <w:r>
        <w:rPr>
          <w:rFonts w:ascii="Times New Roman" w:eastAsia="Times New Roman"/>
          <w:spacing w:val="-4"/>
        </w:rPr>
        <w:t>11 </w:t>
      </w:r>
      <w:r>
        <w:rPr>
          <w:spacing w:val="-24"/>
        </w:rPr>
        <w:t>月 </w:t>
      </w:r>
      <w:r>
        <w:rPr>
          <w:rFonts w:ascii="Times New Roman" w:eastAsia="Times New Roman"/>
        </w:rPr>
        <w:t>29 </w:t>
      </w:r>
      <w:r>
        <w:rPr>
          <w:spacing w:val="-3"/>
        </w:rPr>
        <w:t>日起投资者可通过兴业证券办理定期定额业务，具体办理程序遵循兴业证券的规定。</w:t>
      </w:r>
    </w:p>
    <w:p>
      <w:pPr>
        <w:pStyle w:val="BodyText"/>
        <w:spacing w:line="417" w:lineRule="auto"/>
        <w:ind w:left="840" w:right="893" w:firstLine="419"/>
      </w:pPr>
      <w:r>
        <w:rPr>
          <w:spacing w:val="-23"/>
        </w:rPr>
        <w:t>自 </w:t>
      </w:r>
      <w:r>
        <w:rPr>
          <w:rFonts w:ascii="Times New Roman" w:eastAsia="Times New Roman"/>
          <w:spacing w:val="-3"/>
        </w:rPr>
        <w:t>2011</w:t>
      </w:r>
      <w:r>
        <w:rPr>
          <w:rFonts w:ascii="Times New Roman" w:eastAsia="Times New Roman"/>
          <w:spacing w:val="3"/>
        </w:rPr>
        <w:t> </w:t>
      </w:r>
      <w:r>
        <w:rPr>
          <w:spacing w:val="-23"/>
        </w:rPr>
        <w:t>年 </w:t>
      </w:r>
      <w:r>
        <w:rPr>
          <w:rFonts w:ascii="Times New Roman" w:eastAsia="Times New Roman"/>
        </w:rPr>
        <w:t>1</w:t>
      </w:r>
      <w:r>
        <w:rPr>
          <w:rFonts w:ascii="Times New Roman" w:eastAsia="Times New Roman"/>
          <w:spacing w:val="4"/>
        </w:rPr>
        <w:t> </w:t>
      </w:r>
      <w:r>
        <w:rPr>
          <w:spacing w:val="-23"/>
        </w:rPr>
        <w:t>月 </w:t>
      </w:r>
      <w:r>
        <w:rPr>
          <w:rFonts w:ascii="Times New Roman" w:eastAsia="Times New Roman"/>
        </w:rPr>
        <w:t>31</w:t>
      </w:r>
      <w:r>
        <w:rPr>
          <w:rFonts w:ascii="Times New Roman" w:eastAsia="Times New Roman"/>
          <w:spacing w:val="5"/>
        </w:rPr>
        <w:t> </w:t>
      </w:r>
      <w:r>
        <w:rPr>
          <w:spacing w:val="-8"/>
        </w:rPr>
        <w:t>日起投资者可通过浙商证券办理定期定额业务，具体办理程序遵循浙</w:t>
      </w:r>
      <w:r>
        <w:rPr>
          <w:spacing w:val="-5"/>
        </w:rPr>
        <w:t>商证券的规定。</w:t>
      </w:r>
    </w:p>
    <w:p>
      <w:pPr>
        <w:pStyle w:val="BodyText"/>
        <w:spacing w:line="417" w:lineRule="auto"/>
        <w:ind w:left="840" w:right="893" w:firstLine="419"/>
      </w:pPr>
      <w:r>
        <w:rPr>
          <w:spacing w:val="-23"/>
        </w:rPr>
        <w:t>自 </w:t>
      </w:r>
      <w:r>
        <w:rPr>
          <w:rFonts w:ascii="Times New Roman" w:eastAsia="Times New Roman"/>
          <w:spacing w:val="-3"/>
        </w:rPr>
        <w:t>2011</w:t>
      </w:r>
      <w:r>
        <w:rPr>
          <w:rFonts w:ascii="Times New Roman" w:eastAsia="Times New Roman"/>
          <w:spacing w:val="3"/>
        </w:rPr>
        <w:t> </w:t>
      </w:r>
      <w:r>
        <w:rPr>
          <w:spacing w:val="-23"/>
        </w:rPr>
        <w:t>年 </w:t>
      </w:r>
      <w:r>
        <w:rPr>
          <w:rFonts w:ascii="Times New Roman" w:eastAsia="Times New Roman"/>
        </w:rPr>
        <w:t>2</w:t>
      </w:r>
      <w:r>
        <w:rPr>
          <w:rFonts w:ascii="Times New Roman" w:eastAsia="Times New Roman"/>
          <w:spacing w:val="4"/>
        </w:rPr>
        <w:t> </w:t>
      </w:r>
      <w:r>
        <w:rPr>
          <w:spacing w:val="-23"/>
        </w:rPr>
        <w:t>月 </w:t>
      </w:r>
      <w:r>
        <w:rPr>
          <w:rFonts w:ascii="Times New Roman" w:eastAsia="Times New Roman"/>
        </w:rPr>
        <w:t>21</w:t>
      </w:r>
      <w:r>
        <w:rPr>
          <w:rFonts w:ascii="Times New Roman" w:eastAsia="Times New Roman"/>
          <w:spacing w:val="5"/>
        </w:rPr>
        <w:t> </w:t>
      </w:r>
      <w:r>
        <w:rPr>
          <w:spacing w:val="-8"/>
        </w:rPr>
        <w:t>日起投资者可通过中信证券办理定期定额业务，具体办理程序遵循中</w:t>
      </w:r>
      <w:r>
        <w:rPr>
          <w:spacing w:val="-5"/>
        </w:rPr>
        <w:t>信证券的规定。</w:t>
      </w:r>
    </w:p>
    <w:p>
      <w:pPr>
        <w:pStyle w:val="BodyText"/>
        <w:ind w:left="1260"/>
      </w:pPr>
      <w:r>
        <w:rPr/>
        <w:t>自 </w:t>
      </w:r>
      <w:r>
        <w:rPr>
          <w:rFonts w:ascii="Times New Roman" w:eastAsia="Times New Roman"/>
        </w:rPr>
        <w:t>2011 </w:t>
      </w:r>
      <w:r>
        <w:rPr/>
        <w:t>年 </w:t>
      </w:r>
      <w:r>
        <w:rPr>
          <w:rFonts w:ascii="Times New Roman" w:eastAsia="Times New Roman"/>
        </w:rPr>
        <w:t>4 </w:t>
      </w:r>
      <w:r>
        <w:rPr/>
        <w:t>月 </w:t>
      </w:r>
      <w:r>
        <w:rPr>
          <w:rFonts w:ascii="Times New Roman" w:eastAsia="Times New Roman"/>
        </w:rPr>
        <w:t>29 </w:t>
      </w:r>
      <w:r>
        <w:rPr/>
        <w:t>日起投资者可通过华泰联合证券办理定期定额业务，具体办理程序遵</w:t>
      </w:r>
    </w:p>
    <w:p>
      <w:pPr>
        <w:pStyle w:val="BodyText"/>
        <w:spacing w:line="417" w:lineRule="auto" w:before="198"/>
        <w:ind w:left="840" w:right="891"/>
      </w:pPr>
      <w:r>
        <w:rPr>
          <w:spacing w:val="-10"/>
        </w:rPr>
        <w:t>循华泰联合证券的规定。自 </w:t>
      </w:r>
      <w:r>
        <w:rPr>
          <w:rFonts w:ascii="Times New Roman" w:eastAsia="Times New Roman"/>
          <w:spacing w:val="-3"/>
        </w:rPr>
        <w:t>2011 </w:t>
      </w:r>
      <w:r>
        <w:rPr>
          <w:spacing w:val="-23"/>
        </w:rPr>
        <w:t>年 </w:t>
      </w:r>
      <w:r>
        <w:rPr>
          <w:rFonts w:ascii="Times New Roman" w:eastAsia="Times New Roman"/>
          <w:spacing w:val="-4"/>
        </w:rPr>
        <w:t>11 </w:t>
      </w:r>
      <w:r>
        <w:rPr>
          <w:spacing w:val="-23"/>
        </w:rPr>
        <w:t>月 </w:t>
      </w:r>
      <w:r>
        <w:rPr>
          <w:rFonts w:ascii="Times New Roman" w:eastAsia="Times New Roman"/>
        </w:rPr>
        <w:t>8 </w:t>
      </w:r>
      <w:r>
        <w:rPr>
          <w:spacing w:val="-8"/>
        </w:rPr>
        <w:t>日起，华泰联合证券停止办理本基金的定期定额业务。</w:t>
      </w:r>
    </w:p>
    <w:p>
      <w:pPr>
        <w:pStyle w:val="BodyText"/>
        <w:spacing w:line="417" w:lineRule="auto"/>
        <w:ind w:left="840" w:right="893" w:firstLine="419"/>
      </w:pPr>
      <w:r>
        <w:rPr>
          <w:spacing w:val="-23"/>
        </w:rPr>
        <w:t>自 </w:t>
      </w:r>
      <w:r>
        <w:rPr>
          <w:rFonts w:ascii="Times New Roman" w:eastAsia="Times New Roman"/>
          <w:spacing w:val="-3"/>
        </w:rPr>
        <w:t>2011</w:t>
      </w:r>
      <w:r>
        <w:rPr>
          <w:rFonts w:ascii="Times New Roman" w:eastAsia="Times New Roman"/>
          <w:spacing w:val="3"/>
        </w:rPr>
        <w:t> </w:t>
      </w:r>
      <w:r>
        <w:rPr>
          <w:spacing w:val="-23"/>
        </w:rPr>
        <w:t>年 </w:t>
      </w:r>
      <w:r>
        <w:rPr>
          <w:rFonts w:ascii="Times New Roman" w:eastAsia="Times New Roman"/>
        </w:rPr>
        <w:t>4</w:t>
      </w:r>
      <w:r>
        <w:rPr>
          <w:rFonts w:ascii="Times New Roman" w:eastAsia="Times New Roman"/>
          <w:spacing w:val="4"/>
        </w:rPr>
        <w:t> </w:t>
      </w:r>
      <w:r>
        <w:rPr>
          <w:spacing w:val="-23"/>
        </w:rPr>
        <w:t>月 </w:t>
      </w:r>
      <w:r>
        <w:rPr>
          <w:rFonts w:ascii="Times New Roman" w:eastAsia="Times New Roman"/>
        </w:rPr>
        <w:t>29</w:t>
      </w:r>
      <w:r>
        <w:rPr>
          <w:rFonts w:ascii="Times New Roman" w:eastAsia="Times New Roman"/>
          <w:spacing w:val="5"/>
        </w:rPr>
        <w:t> </w:t>
      </w:r>
      <w:r>
        <w:rPr>
          <w:spacing w:val="-8"/>
        </w:rPr>
        <w:t>日起投资者可通过招商证券办理定期定额业务，具体办理程序遵循招</w:t>
      </w:r>
      <w:r>
        <w:rPr>
          <w:spacing w:val="-5"/>
        </w:rPr>
        <w:t>商证券的规定。</w:t>
      </w:r>
    </w:p>
    <w:p>
      <w:pPr>
        <w:pStyle w:val="BodyText"/>
        <w:spacing w:line="417" w:lineRule="auto"/>
        <w:ind w:left="840" w:right="891" w:firstLine="419"/>
      </w:pPr>
      <w:r>
        <w:rPr>
          <w:spacing w:val="-23"/>
        </w:rPr>
        <w:t>自 </w:t>
      </w:r>
      <w:r>
        <w:rPr>
          <w:rFonts w:ascii="Times New Roman" w:eastAsia="Times New Roman"/>
        </w:rPr>
        <w:t>2011</w:t>
      </w:r>
      <w:r>
        <w:rPr>
          <w:rFonts w:ascii="Times New Roman" w:eastAsia="Times New Roman"/>
          <w:spacing w:val="5"/>
        </w:rPr>
        <w:t> </w:t>
      </w:r>
      <w:r>
        <w:rPr>
          <w:spacing w:val="-23"/>
        </w:rPr>
        <w:t>年 </w:t>
      </w:r>
      <w:r>
        <w:rPr>
          <w:rFonts w:ascii="Times New Roman" w:eastAsia="Times New Roman"/>
        </w:rPr>
        <w:t>5</w:t>
      </w:r>
      <w:r>
        <w:rPr>
          <w:rFonts w:ascii="Times New Roman" w:eastAsia="Times New Roman"/>
          <w:spacing w:val="7"/>
        </w:rPr>
        <w:t> </w:t>
      </w:r>
      <w:r>
        <w:rPr>
          <w:spacing w:val="-23"/>
        </w:rPr>
        <w:t>月 </w:t>
      </w:r>
      <w:r>
        <w:rPr>
          <w:rFonts w:ascii="Times New Roman" w:eastAsia="Times New Roman"/>
        </w:rPr>
        <w:t>9</w:t>
      </w:r>
      <w:r>
        <w:rPr>
          <w:rFonts w:ascii="Times New Roman" w:eastAsia="Times New Roman"/>
          <w:spacing w:val="5"/>
        </w:rPr>
        <w:t> </w:t>
      </w:r>
      <w:r>
        <w:rPr>
          <w:spacing w:val="-3"/>
        </w:rPr>
        <w:t>日起投资者可通过长江证券办理定期定额业务，具体办理程序遵循长江证券的规定。</w:t>
      </w:r>
    </w:p>
    <w:p>
      <w:pPr>
        <w:pStyle w:val="BodyText"/>
        <w:spacing w:line="417" w:lineRule="auto"/>
        <w:ind w:left="840" w:right="891" w:firstLine="419"/>
      </w:pPr>
      <w:r>
        <w:rPr>
          <w:spacing w:val="-23"/>
        </w:rPr>
        <w:t>自 </w:t>
      </w:r>
      <w:r>
        <w:rPr>
          <w:rFonts w:ascii="Times New Roman" w:eastAsia="Times New Roman"/>
        </w:rPr>
        <w:t>2011</w:t>
      </w:r>
      <w:r>
        <w:rPr>
          <w:rFonts w:ascii="Times New Roman" w:eastAsia="Times New Roman"/>
          <w:spacing w:val="6"/>
        </w:rPr>
        <w:t> </w:t>
      </w:r>
      <w:r>
        <w:rPr>
          <w:spacing w:val="-23"/>
        </w:rPr>
        <w:t>年 </w:t>
      </w:r>
      <w:r>
        <w:rPr>
          <w:rFonts w:ascii="Times New Roman" w:eastAsia="Times New Roman"/>
        </w:rPr>
        <w:t>6</w:t>
      </w:r>
      <w:r>
        <w:rPr>
          <w:rFonts w:ascii="Times New Roman" w:eastAsia="Times New Roman"/>
          <w:spacing w:val="8"/>
        </w:rPr>
        <w:t> </w:t>
      </w:r>
      <w:r>
        <w:rPr>
          <w:spacing w:val="-23"/>
        </w:rPr>
        <w:t>月 </w:t>
      </w:r>
      <w:r>
        <w:rPr>
          <w:rFonts w:ascii="Times New Roman" w:eastAsia="Times New Roman"/>
        </w:rPr>
        <w:t>3</w:t>
      </w:r>
      <w:r>
        <w:rPr>
          <w:rFonts w:ascii="Times New Roman" w:eastAsia="Times New Roman"/>
          <w:spacing w:val="6"/>
        </w:rPr>
        <w:t> </w:t>
      </w:r>
      <w:r>
        <w:rPr>
          <w:spacing w:val="-3"/>
        </w:rPr>
        <w:t>日起投资者可通过齐鲁证券办理定期定额业务，具体办理程序遵循齐鲁证券的规定。</w:t>
      </w:r>
    </w:p>
    <w:p>
      <w:pPr>
        <w:pStyle w:val="BodyText"/>
        <w:spacing w:line="417" w:lineRule="auto"/>
        <w:ind w:left="840" w:right="893" w:firstLine="419"/>
      </w:pPr>
      <w:r>
        <w:rPr>
          <w:spacing w:val="-23"/>
        </w:rPr>
        <w:t>自 </w:t>
      </w:r>
      <w:r>
        <w:rPr>
          <w:rFonts w:ascii="Times New Roman" w:eastAsia="Times New Roman"/>
          <w:spacing w:val="-3"/>
        </w:rPr>
        <w:t>2011</w:t>
      </w:r>
      <w:r>
        <w:rPr>
          <w:rFonts w:ascii="Times New Roman" w:eastAsia="Times New Roman"/>
          <w:spacing w:val="3"/>
        </w:rPr>
        <w:t> </w:t>
      </w:r>
      <w:r>
        <w:rPr>
          <w:spacing w:val="-23"/>
        </w:rPr>
        <w:t>年 </w:t>
      </w:r>
      <w:r>
        <w:rPr>
          <w:rFonts w:ascii="Times New Roman" w:eastAsia="Times New Roman"/>
        </w:rPr>
        <w:t>6</w:t>
      </w:r>
      <w:r>
        <w:rPr>
          <w:rFonts w:ascii="Times New Roman" w:eastAsia="Times New Roman"/>
          <w:spacing w:val="4"/>
        </w:rPr>
        <w:t> </w:t>
      </w:r>
      <w:r>
        <w:rPr>
          <w:spacing w:val="-23"/>
        </w:rPr>
        <w:t>月 </w:t>
      </w:r>
      <w:r>
        <w:rPr>
          <w:rFonts w:ascii="Times New Roman" w:eastAsia="Times New Roman"/>
        </w:rPr>
        <w:t>29</w:t>
      </w:r>
      <w:r>
        <w:rPr>
          <w:rFonts w:ascii="Times New Roman" w:eastAsia="Times New Roman"/>
          <w:spacing w:val="5"/>
        </w:rPr>
        <w:t> </w:t>
      </w:r>
      <w:r>
        <w:rPr>
          <w:spacing w:val="-8"/>
        </w:rPr>
        <w:t>日起投资者可通过华夏银行办理定期定额业务，具体办理程序遵循华</w:t>
      </w:r>
      <w:r>
        <w:rPr>
          <w:spacing w:val="-5"/>
        </w:rPr>
        <w:t>夏银行的规定。</w:t>
      </w:r>
    </w:p>
    <w:p>
      <w:pPr>
        <w:pStyle w:val="BodyText"/>
        <w:spacing w:line="417" w:lineRule="auto"/>
        <w:ind w:left="840" w:right="891" w:firstLine="419"/>
      </w:pPr>
      <w:r>
        <w:rPr>
          <w:spacing w:val="-23"/>
        </w:rPr>
        <w:t>自 </w:t>
      </w:r>
      <w:r>
        <w:rPr>
          <w:rFonts w:ascii="Times New Roman" w:eastAsia="Times New Roman"/>
        </w:rPr>
        <w:t>2011</w:t>
      </w:r>
      <w:r>
        <w:rPr>
          <w:rFonts w:ascii="Times New Roman" w:eastAsia="Times New Roman"/>
          <w:spacing w:val="6"/>
        </w:rPr>
        <w:t> </w:t>
      </w:r>
      <w:r>
        <w:rPr>
          <w:spacing w:val="-23"/>
        </w:rPr>
        <w:t>年 </w:t>
      </w:r>
      <w:r>
        <w:rPr>
          <w:rFonts w:ascii="Times New Roman" w:eastAsia="Times New Roman"/>
        </w:rPr>
        <w:t>8</w:t>
      </w:r>
      <w:r>
        <w:rPr>
          <w:rFonts w:ascii="Times New Roman" w:eastAsia="Times New Roman"/>
          <w:spacing w:val="8"/>
        </w:rPr>
        <w:t> </w:t>
      </w:r>
      <w:r>
        <w:rPr>
          <w:spacing w:val="-23"/>
        </w:rPr>
        <w:t>月 </w:t>
      </w:r>
      <w:r>
        <w:rPr>
          <w:rFonts w:ascii="Times New Roman" w:eastAsia="Times New Roman"/>
        </w:rPr>
        <w:t>1</w:t>
      </w:r>
      <w:r>
        <w:rPr>
          <w:rFonts w:ascii="Times New Roman" w:eastAsia="Times New Roman"/>
          <w:spacing w:val="6"/>
        </w:rPr>
        <w:t> </w:t>
      </w:r>
      <w:r>
        <w:rPr>
          <w:spacing w:val="-3"/>
        </w:rPr>
        <w:t>日起投资者可通过长城证券办理定期定额业务，具体办理程序遵循长城证券的规定。</w:t>
      </w:r>
    </w:p>
    <w:p>
      <w:pPr>
        <w:pStyle w:val="BodyText"/>
        <w:spacing w:line="417" w:lineRule="auto"/>
        <w:ind w:left="840" w:right="891" w:firstLine="419"/>
      </w:pPr>
      <w:r>
        <w:rPr>
          <w:spacing w:val="-23"/>
        </w:rPr>
        <w:t>自 </w:t>
      </w:r>
      <w:r>
        <w:rPr>
          <w:rFonts w:ascii="Times New Roman" w:eastAsia="Times New Roman"/>
        </w:rPr>
        <w:t>2011</w:t>
      </w:r>
      <w:r>
        <w:rPr>
          <w:rFonts w:ascii="Times New Roman" w:eastAsia="Times New Roman"/>
          <w:spacing w:val="6"/>
        </w:rPr>
        <w:t> </w:t>
      </w:r>
      <w:r>
        <w:rPr>
          <w:spacing w:val="-23"/>
        </w:rPr>
        <w:t>年 </w:t>
      </w:r>
      <w:r>
        <w:rPr>
          <w:rFonts w:ascii="Times New Roman" w:eastAsia="Times New Roman"/>
        </w:rPr>
        <w:t>8</w:t>
      </w:r>
      <w:r>
        <w:rPr>
          <w:rFonts w:ascii="Times New Roman" w:eastAsia="Times New Roman"/>
          <w:spacing w:val="8"/>
        </w:rPr>
        <w:t> </w:t>
      </w:r>
      <w:r>
        <w:rPr>
          <w:spacing w:val="-23"/>
        </w:rPr>
        <w:t>月 </w:t>
      </w:r>
      <w:r>
        <w:rPr>
          <w:rFonts w:ascii="Times New Roman" w:eastAsia="Times New Roman"/>
        </w:rPr>
        <w:t>1</w:t>
      </w:r>
      <w:r>
        <w:rPr>
          <w:rFonts w:ascii="Times New Roman" w:eastAsia="Times New Roman"/>
          <w:spacing w:val="6"/>
        </w:rPr>
        <w:t> </w:t>
      </w:r>
      <w:r>
        <w:rPr>
          <w:spacing w:val="-3"/>
        </w:rPr>
        <w:t>日起投资者可通过国盛证券办理定期定额业务，具体办理程序遵循国盛证券的规定。</w:t>
      </w:r>
    </w:p>
    <w:p>
      <w:pPr>
        <w:spacing w:after="0" w:line="417" w:lineRule="auto"/>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1" w:firstLine="419"/>
      </w:pPr>
      <w:r>
        <w:rPr>
          <w:spacing w:val="-23"/>
        </w:rPr>
        <w:t>自 </w:t>
      </w:r>
      <w:r>
        <w:rPr>
          <w:rFonts w:ascii="Times New Roman" w:eastAsia="Times New Roman"/>
        </w:rPr>
        <w:t>2011 </w:t>
      </w:r>
      <w:r>
        <w:rPr>
          <w:spacing w:val="-22"/>
        </w:rPr>
        <w:t>年 </w:t>
      </w:r>
      <w:r>
        <w:rPr>
          <w:rFonts w:ascii="Times New Roman" w:eastAsia="Times New Roman"/>
        </w:rPr>
        <w:t>8 </w:t>
      </w:r>
      <w:r>
        <w:rPr>
          <w:spacing w:val="-23"/>
        </w:rPr>
        <w:t>月 </w:t>
      </w:r>
      <w:r>
        <w:rPr>
          <w:rFonts w:ascii="Times New Roman" w:eastAsia="Times New Roman"/>
        </w:rPr>
        <w:t>5 </w:t>
      </w:r>
      <w:r>
        <w:rPr>
          <w:spacing w:val="-3"/>
        </w:rPr>
        <w:t>日起投资者可通过中信证券（</w:t>
      </w:r>
      <w:r>
        <w:rPr>
          <w:spacing w:val="-2"/>
        </w:rPr>
        <w:t>浙江</w:t>
      </w:r>
      <w:r>
        <w:rPr/>
        <w:t>）</w:t>
      </w:r>
      <w:r>
        <w:rPr>
          <w:spacing w:val="-3"/>
        </w:rPr>
        <w:t>办理定期定额业务，具体办理程序遵循中信证券</w:t>
      </w:r>
      <w:r>
        <w:rPr/>
        <w:t>（</w:t>
      </w:r>
      <w:r>
        <w:rPr>
          <w:spacing w:val="-2"/>
        </w:rPr>
        <w:t>浙江</w:t>
      </w:r>
      <w:r>
        <w:rPr>
          <w:spacing w:val="-3"/>
        </w:rPr>
        <w:t>）</w:t>
      </w:r>
      <w:r>
        <w:rPr>
          <w:spacing w:val="-1"/>
        </w:rPr>
        <w:t>的规定。</w:t>
      </w:r>
    </w:p>
    <w:p>
      <w:pPr>
        <w:pStyle w:val="BodyText"/>
        <w:spacing w:line="417" w:lineRule="auto"/>
        <w:ind w:left="840" w:right="891" w:firstLine="419"/>
      </w:pPr>
      <w:r>
        <w:rPr>
          <w:spacing w:val="-23"/>
        </w:rPr>
        <w:t>自 </w:t>
      </w:r>
      <w:r>
        <w:rPr>
          <w:rFonts w:ascii="Times New Roman" w:eastAsia="Times New Roman"/>
        </w:rPr>
        <w:t>2011 </w:t>
      </w:r>
      <w:r>
        <w:rPr>
          <w:spacing w:val="-23"/>
        </w:rPr>
        <w:t>年 </w:t>
      </w:r>
      <w:r>
        <w:rPr>
          <w:rFonts w:ascii="Times New Roman" w:eastAsia="Times New Roman"/>
        </w:rPr>
        <w:t>9 </w:t>
      </w:r>
      <w:r>
        <w:rPr>
          <w:spacing w:val="-23"/>
        </w:rPr>
        <w:t>月 </w:t>
      </w:r>
      <w:r>
        <w:rPr>
          <w:rFonts w:ascii="Times New Roman" w:eastAsia="Times New Roman"/>
        </w:rPr>
        <w:t>1 </w:t>
      </w:r>
      <w:r>
        <w:rPr>
          <w:spacing w:val="-3"/>
        </w:rPr>
        <w:t>日起投资者可通过华宝证券办理定期定额业务，具体办理程序遵循华宝证券的规定。</w:t>
      </w:r>
    </w:p>
    <w:p>
      <w:pPr>
        <w:pStyle w:val="BodyText"/>
        <w:spacing w:line="417" w:lineRule="auto"/>
        <w:ind w:left="840" w:right="891" w:firstLine="419"/>
      </w:pPr>
      <w:r>
        <w:rPr>
          <w:spacing w:val="-23"/>
        </w:rPr>
        <w:t>自 </w:t>
      </w:r>
      <w:r>
        <w:rPr>
          <w:rFonts w:ascii="Times New Roman" w:eastAsia="Times New Roman"/>
          <w:spacing w:val="-3"/>
        </w:rPr>
        <w:t>2011 </w:t>
      </w:r>
      <w:r>
        <w:rPr>
          <w:spacing w:val="-23"/>
        </w:rPr>
        <w:t>年 </w:t>
      </w:r>
      <w:r>
        <w:rPr>
          <w:rFonts w:ascii="Times New Roman" w:eastAsia="Times New Roman"/>
          <w:spacing w:val="-4"/>
        </w:rPr>
        <w:t>11 </w:t>
      </w:r>
      <w:r>
        <w:rPr>
          <w:spacing w:val="-23"/>
        </w:rPr>
        <w:t>月 </w:t>
      </w:r>
      <w:r>
        <w:rPr>
          <w:rFonts w:ascii="Times New Roman" w:eastAsia="Times New Roman"/>
        </w:rPr>
        <w:t>4 </w:t>
      </w:r>
      <w:r>
        <w:rPr>
          <w:spacing w:val="-6"/>
        </w:rPr>
        <w:t>日起投资者可通过网上直销天天盈支付方式办理定期定额业务，具体</w:t>
      </w:r>
      <w:r>
        <w:rPr>
          <w:spacing w:val="-4"/>
        </w:rPr>
        <w:t>办理程序遵循景顺长城基金及天天盈的规定。</w:t>
      </w:r>
    </w:p>
    <w:p>
      <w:pPr>
        <w:pStyle w:val="BodyText"/>
        <w:spacing w:line="417" w:lineRule="auto"/>
        <w:ind w:left="840" w:right="893" w:firstLine="419"/>
      </w:pPr>
      <w:r>
        <w:rPr>
          <w:spacing w:val="-23"/>
        </w:rPr>
        <w:t>自 </w:t>
      </w:r>
      <w:r>
        <w:rPr>
          <w:rFonts w:ascii="Times New Roman" w:eastAsia="Times New Roman"/>
          <w:spacing w:val="-3"/>
        </w:rPr>
        <w:t>2011 </w:t>
      </w:r>
      <w:r>
        <w:rPr>
          <w:spacing w:val="-23"/>
        </w:rPr>
        <w:t>年 </w:t>
      </w:r>
      <w:r>
        <w:rPr>
          <w:rFonts w:ascii="Times New Roman" w:eastAsia="Times New Roman"/>
        </w:rPr>
        <w:t>12 </w:t>
      </w:r>
      <w:r>
        <w:rPr>
          <w:spacing w:val="-23"/>
        </w:rPr>
        <w:t>月 </w:t>
      </w:r>
      <w:r>
        <w:rPr>
          <w:rFonts w:ascii="Times New Roman" w:eastAsia="Times New Roman"/>
        </w:rPr>
        <w:t>1 </w:t>
      </w:r>
      <w:r>
        <w:rPr>
          <w:spacing w:val="-8"/>
        </w:rPr>
        <w:t>日起投资者可通过国海证券办理定期定额业务，具体办理程序遵循国</w:t>
      </w:r>
      <w:r>
        <w:rPr>
          <w:spacing w:val="-5"/>
        </w:rPr>
        <w:t>海证券的规定。</w:t>
      </w:r>
    </w:p>
    <w:p>
      <w:pPr>
        <w:pStyle w:val="BodyText"/>
        <w:spacing w:line="417" w:lineRule="auto"/>
        <w:ind w:left="840" w:right="891" w:firstLine="419"/>
      </w:pPr>
      <w:r>
        <w:rPr>
          <w:spacing w:val="-23"/>
        </w:rPr>
        <w:t>自 </w:t>
      </w:r>
      <w:r>
        <w:rPr>
          <w:rFonts w:ascii="Times New Roman" w:eastAsia="Times New Roman"/>
        </w:rPr>
        <w:t>2011 </w:t>
      </w:r>
      <w:r>
        <w:rPr>
          <w:spacing w:val="-23"/>
        </w:rPr>
        <w:t>年 </w:t>
      </w:r>
      <w:r>
        <w:rPr>
          <w:rFonts w:ascii="Times New Roman" w:eastAsia="Times New Roman"/>
        </w:rPr>
        <w:t>12 </w:t>
      </w:r>
      <w:r>
        <w:rPr>
          <w:spacing w:val="-24"/>
        </w:rPr>
        <w:t>月 </w:t>
      </w:r>
      <w:r>
        <w:rPr>
          <w:rFonts w:ascii="Times New Roman" w:eastAsia="Times New Roman"/>
        </w:rPr>
        <w:t>15 </w:t>
      </w:r>
      <w:r>
        <w:rPr>
          <w:spacing w:val="-3"/>
        </w:rPr>
        <w:t>日起投资者可通过中信万通证券办理定期定额业务，具体办理程序遵循中信万通证券的规定。</w:t>
      </w:r>
    </w:p>
    <w:p>
      <w:pPr>
        <w:pStyle w:val="BodyText"/>
        <w:spacing w:line="417" w:lineRule="auto"/>
        <w:ind w:left="840" w:right="891" w:firstLine="419"/>
      </w:pPr>
      <w:r>
        <w:rPr>
          <w:spacing w:val="-22"/>
        </w:rPr>
        <w:t>自 </w:t>
      </w:r>
      <w:r>
        <w:rPr>
          <w:rFonts w:ascii="Times New Roman" w:eastAsia="Times New Roman"/>
        </w:rPr>
        <w:t>2012 </w:t>
      </w:r>
      <w:r>
        <w:rPr>
          <w:spacing w:val="-24"/>
        </w:rPr>
        <w:t>年 </w:t>
      </w:r>
      <w:r>
        <w:rPr>
          <w:rFonts w:ascii="Times New Roman" w:eastAsia="Times New Roman"/>
        </w:rPr>
        <w:t>6 </w:t>
      </w:r>
      <w:r>
        <w:rPr>
          <w:spacing w:val="-22"/>
        </w:rPr>
        <w:t>月 </w:t>
      </w:r>
      <w:r>
        <w:rPr>
          <w:rFonts w:ascii="Times New Roman" w:eastAsia="Times New Roman"/>
        </w:rPr>
        <w:t>4 </w:t>
      </w:r>
      <w:r>
        <w:rPr>
          <w:spacing w:val="-3"/>
        </w:rPr>
        <w:t>日起投资者可通过直销网上交易建设银行及通联支付交易方式办理定期定额业务，具体办理程序遵循景顺长城基金及建设银行、通联支付的规定。</w:t>
      </w:r>
    </w:p>
    <w:p>
      <w:pPr>
        <w:pStyle w:val="BodyText"/>
        <w:spacing w:line="417" w:lineRule="auto"/>
        <w:ind w:left="840" w:right="891" w:firstLine="419"/>
      </w:pPr>
      <w:r>
        <w:rPr>
          <w:spacing w:val="-23"/>
        </w:rPr>
        <w:t>自 </w:t>
      </w:r>
      <w:r>
        <w:rPr>
          <w:rFonts w:ascii="Times New Roman" w:eastAsia="Times New Roman"/>
        </w:rPr>
        <w:t>2012</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6"/>
        </w:rPr>
        <w:t> </w:t>
      </w:r>
      <w:r>
        <w:rPr>
          <w:spacing w:val="-22"/>
        </w:rPr>
        <w:t>月 </w:t>
      </w:r>
      <w:r>
        <w:rPr>
          <w:rFonts w:ascii="Times New Roman" w:eastAsia="Times New Roman"/>
        </w:rPr>
        <w:t>6</w:t>
      </w:r>
      <w:r>
        <w:rPr>
          <w:rFonts w:ascii="Times New Roman" w:eastAsia="Times New Roman"/>
          <w:spacing w:val="6"/>
        </w:rPr>
        <w:t> </w:t>
      </w:r>
      <w:r>
        <w:rPr>
          <w:spacing w:val="-3"/>
        </w:rPr>
        <w:t>日起投资者可通过众禄基金办理定期定额业务，具体办理程序遵循众禄基金的规定。</w:t>
      </w:r>
    </w:p>
    <w:p>
      <w:pPr>
        <w:pStyle w:val="BodyText"/>
        <w:spacing w:line="417" w:lineRule="auto"/>
        <w:ind w:left="840" w:right="891" w:firstLine="419"/>
      </w:pPr>
      <w:r>
        <w:rPr>
          <w:spacing w:val="-22"/>
        </w:rPr>
        <w:t>自 </w:t>
      </w:r>
      <w:r>
        <w:rPr>
          <w:rFonts w:ascii="Times New Roman" w:eastAsia="Times New Roman"/>
        </w:rPr>
        <w:t>2012</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7"/>
        </w:rPr>
        <w:t> </w:t>
      </w:r>
      <w:r>
        <w:rPr>
          <w:spacing w:val="-22"/>
        </w:rPr>
        <w:t>月 </w:t>
      </w:r>
      <w:r>
        <w:rPr>
          <w:rFonts w:ascii="Times New Roman" w:eastAsia="Times New Roman"/>
        </w:rPr>
        <w:t>4</w:t>
      </w:r>
      <w:r>
        <w:rPr>
          <w:rFonts w:ascii="Times New Roman" w:eastAsia="Times New Roman"/>
          <w:spacing w:val="6"/>
        </w:rPr>
        <w:t> </w:t>
      </w:r>
      <w:r>
        <w:rPr>
          <w:spacing w:val="-3"/>
        </w:rPr>
        <w:t>日起投资者可通过中投证券办理定期定额业务，具体办理程序遵循中投证券的规定。</w:t>
      </w:r>
    </w:p>
    <w:p>
      <w:pPr>
        <w:pStyle w:val="BodyText"/>
        <w:spacing w:line="417" w:lineRule="auto"/>
        <w:ind w:left="840" w:right="891" w:firstLine="419"/>
      </w:pPr>
      <w:r>
        <w:rPr>
          <w:spacing w:val="-24"/>
        </w:rPr>
        <w:t>自 </w:t>
      </w:r>
      <w:r>
        <w:rPr>
          <w:rFonts w:ascii="Times New Roman" w:eastAsia="Times New Roman"/>
        </w:rPr>
        <w:t>2012</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12</w:t>
      </w:r>
      <w:r>
        <w:rPr>
          <w:rFonts w:ascii="Times New Roman" w:eastAsia="Times New Roman"/>
          <w:spacing w:val="7"/>
        </w:rPr>
        <w:t> </w:t>
      </w:r>
      <w:r>
        <w:rPr>
          <w:spacing w:val="-8"/>
        </w:rPr>
        <w:t>日起投资者可通过金华银行办理定期定额业务，具体办理程序遵循金</w:t>
      </w:r>
      <w:r>
        <w:rPr>
          <w:spacing w:val="-5"/>
        </w:rPr>
        <w:t>华银行的规定。</w:t>
      </w:r>
    </w:p>
    <w:p>
      <w:pPr>
        <w:pStyle w:val="BodyText"/>
        <w:spacing w:line="417" w:lineRule="auto"/>
        <w:ind w:left="840" w:right="891" w:firstLine="419"/>
      </w:pPr>
      <w:r>
        <w:rPr>
          <w:spacing w:val="-24"/>
        </w:rPr>
        <w:t>自 </w:t>
      </w:r>
      <w:r>
        <w:rPr>
          <w:rFonts w:ascii="Times New Roman" w:eastAsia="Times New Roman"/>
        </w:rPr>
        <w:t>2012</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25</w:t>
      </w:r>
      <w:r>
        <w:rPr>
          <w:rFonts w:ascii="Times New Roman" w:eastAsia="Times New Roman"/>
          <w:spacing w:val="7"/>
        </w:rPr>
        <w:t> </w:t>
      </w:r>
      <w:r>
        <w:rPr>
          <w:spacing w:val="-8"/>
        </w:rPr>
        <w:t>日起投资者可通过嘉兴银行办理定期定额业务，具体办理程序遵循嘉</w:t>
      </w:r>
      <w:r>
        <w:rPr>
          <w:spacing w:val="-5"/>
        </w:rPr>
        <w:t>兴银行的规定。</w:t>
      </w:r>
    </w:p>
    <w:p>
      <w:pPr>
        <w:pStyle w:val="BodyText"/>
        <w:spacing w:line="417" w:lineRule="auto"/>
        <w:ind w:left="840" w:right="891" w:firstLine="419"/>
      </w:pPr>
      <w:r>
        <w:rPr>
          <w:spacing w:val="-23"/>
        </w:rPr>
        <w:t>自 </w:t>
      </w:r>
      <w:r>
        <w:rPr>
          <w:rFonts w:ascii="Times New Roman" w:eastAsia="Times New Roman"/>
        </w:rPr>
        <w:t>2012 </w:t>
      </w:r>
      <w:r>
        <w:rPr>
          <w:spacing w:val="-22"/>
        </w:rPr>
        <w:t>年 </w:t>
      </w:r>
      <w:r>
        <w:rPr>
          <w:rFonts w:ascii="Times New Roman" w:eastAsia="Times New Roman"/>
        </w:rPr>
        <w:t>12 </w:t>
      </w:r>
      <w:r>
        <w:rPr>
          <w:spacing w:val="-23"/>
        </w:rPr>
        <w:t>月 </w:t>
      </w:r>
      <w:r>
        <w:rPr>
          <w:rFonts w:ascii="Times New Roman" w:eastAsia="Times New Roman"/>
        </w:rPr>
        <w:t>21 </w:t>
      </w:r>
      <w:r>
        <w:rPr>
          <w:spacing w:val="-3"/>
        </w:rPr>
        <w:t>日起投资者可通过数米基金网办理定期定额业务，具体办理程序遵循数米基金网的规定。</w:t>
      </w:r>
    </w:p>
    <w:p>
      <w:pPr>
        <w:pStyle w:val="BodyText"/>
        <w:spacing w:line="417" w:lineRule="auto"/>
        <w:ind w:left="840" w:right="891" w:firstLine="419"/>
      </w:pPr>
      <w:r>
        <w:rPr>
          <w:spacing w:val="-23"/>
        </w:rPr>
        <w:t>自 </w:t>
      </w:r>
      <w:r>
        <w:rPr>
          <w:rFonts w:ascii="Times New Roman" w:eastAsia="Times New Roman"/>
        </w:rPr>
        <w:t>2012 </w:t>
      </w:r>
      <w:r>
        <w:rPr>
          <w:spacing w:val="-22"/>
        </w:rPr>
        <w:t>年 </w:t>
      </w:r>
      <w:r>
        <w:rPr>
          <w:rFonts w:ascii="Times New Roman" w:eastAsia="Times New Roman"/>
        </w:rPr>
        <w:t>12 </w:t>
      </w:r>
      <w:r>
        <w:rPr>
          <w:spacing w:val="-23"/>
        </w:rPr>
        <w:t>月 </w:t>
      </w:r>
      <w:r>
        <w:rPr>
          <w:rFonts w:ascii="Times New Roman" w:eastAsia="Times New Roman"/>
        </w:rPr>
        <w:t>28 </w:t>
      </w:r>
      <w:r>
        <w:rPr>
          <w:spacing w:val="-3"/>
        </w:rPr>
        <w:t>日起投资者可通过诺亚正行办理定期定额业务，具体办理程序遵循诺亚正行的规定。</w:t>
      </w:r>
    </w:p>
    <w:p>
      <w:pPr>
        <w:pStyle w:val="BodyText"/>
        <w:spacing w:line="417" w:lineRule="auto"/>
        <w:ind w:left="840" w:right="893" w:firstLine="419"/>
      </w:pPr>
      <w:r>
        <w:rPr>
          <w:spacing w:val="-24"/>
        </w:rPr>
        <w:t>自 </w:t>
      </w:r>
      <w:r>
        <w:rPr>
          <w:rFonts w:ascii="Times New Roman" w:eastAsia="Times New Roman"/>
        </w:rPr>
        <w:t>2013</w:t>
      </w:r>
      <w:r>
        <w:rPr>
          <w:rFonts w:ascii="Times New Roman" w:eastAsia="Times New Roman"/>
          <w:spacing w:val="6"/>
        </w:rPr>
        <w:t> </w:t>
      </w:r>
      <w:r>
        <w:rPr>
          <w:spacing w:val="-24"/>
        </w:rPr>
        <w:t>年 </w:t>
      </w:r>
      <w:r>
        <w:rPr>
          <w:rFonts w:ascii="Times New Roman" w:eastAsia="Times New Roman"/>
        </w:rPr>
        <w:t>1</w:t>
      </w:r>
      <w:r>
        <w:rPr>
          <w:rFonts w:ascii="Times New Roman" w:eastAsia="Times New Roman"/>
          <w:spacing w:val="6"/>
        </w:rPr>
        <w:t> </w:t>
      </w:r>
      <w:r>
        <w:rPr>
          <w:spacing w:val="-25"/>
        </w:rPr>
        <w:t>月 </w:t>
      </w:r>
      <w:r>
        <w:rPr>
          <w:rFonts w:ascii="Times New Roman" w:eastAsia="Times New Roman"/>
          <w:spacing w:val="-4"/>
        </w:rPr>
        <w:t>11</w:t>
      </w:r>
      <w:r>
        <w:rPr>
          <w:rFonts w:ascii="Times New Roman" w:eastAsia="Times New Roman"/>
          <w:spacing w:val="5"/>
        </w:rPr>
        <w:t> </w:t>
      </w:r>
      <w:r>
        <w:rPr>
          <w:spacing w:val="-8"/>
        </w:rPr>
        <w:t>日起投资者可通过长量基金办理定期定额业务，具体办理程序遵循长</w:t>
      </w:r>
      <w:r>
        <w:rPr>
          <w:spacing w:val="-5"/>
        </w:rPr>
        <w:t>量基金的规定。</w:t>
      </w:r>
    </w:p>
    <w:p>
      <w:pPr>
        <w:pStyle w:val="BodyText"/>
        <w:spacing w:line="417" w:lineRule="auto"/>
        <w:ind w:left="840" w:right="891" w:firstLine="419"/>
      </w:pPr>
      <w:r>
        <w:rPr>
          <w:spacing w:val="-24"/>
        </w:rPr>
        <w:t>自 </w:t>
      </w:r>
      <w:r>
        <w:rPr>
          <w:rFonts w:ascii="Times New Roman" w:eastAsia="Times New Roman"/>
        </w:rPr>
        <w:t>2013</w:t>
      </w:r>
      <w:r>
        <w:rPr>
          <w:rFonts w:ascii="Times New Roman" w:eastAsia="Times New Roman"/>
          <w:spacing w:val="6"/>
        </w:rPr>
        <w:t> </w:t>
      </w:r>
      <w:r>
        <w:rPr>
          <w:spacing w:val="-24"/>
        </w:rPr>
        <w:t>年 </w:t>
      </w:r>
      <w:r>
        <w:rPr>
          <w:rFonts w:ascii="Times New Roman" w:eastAsia="Times New Roman"/>
        </w:rPr>
        <w:t>1</w:t>
      </w:r>
      <w:r>
        <w:rPr>
          <w:rFonts w:ascii="Times New Roman" w:eastAsia="Times New Roman"/>
          <w:spacing w:val="6"/>
        </w:rPr>
        <w:t> </w:t>
      </w:r>
      <w:r>
        <w:rPr>
          <w:spacing w:val="-25"/>
        </w:rPr>
        <w:t>月 </w:t>
      </w:r>
      <w:r>
        <w:rPr>
          <w:rFonts w:ascii="Times New Roman" w:eastAsia="Times New Roman"/>
        </w:rPr>
        <w:t>22</w:t>
      </w:r>
      <w:r>
        <w:rPr>
          <w:rFonts w:ascii="Times New Roman" w:eastAsia="Times New Roman"/>
          <w:spacing w:val="7"/>
        </w:rPr>
        <w:t> </w:t>
      </w:r>
      <w:r>
        <w:rPr>
          <w:spacing w:val="-8"/>
        </w:rPr>
        <w:t>日起投资者可通过西南证券办理定期定额业务，具体办理程序遵循西</w:t>
      </w:r>
      <w:r>
        <w:rPr>
          <w:spacing w:val="-5"/>
        </w:rPr>
        <w:t>南证券的规定。</w:t>
      </w:r>
    </w:p>
    <w:p>
      <w:pPr>
        <w:pStyle w:val="BodyText"/>
        <w:spacing w:line="417" w:lineRule="auto"/>
        <w:ind w:left="840" w:right="891" w:firstLine="419"/>
      </w:pPr>
      <w:r>
        <w:rPr>
          <w:spacing w:val="-24"/>
        </w:rPr>
        <w:t>自 </w:t>
      </w:r>
      <w:r>
        <w:rPr>
          <w:rFonts w:ascii="Times New Roman" w:eastAsia="Times New Roman"/>
        </w:rPr>
        <w:t>2013</w:t>
      </w:r>
      <w:r>
        <w:rPr>
          <w:rFonts w:ascii="Times New Roman" w:eastAsia="Times New Roman"/>
          <w:spacing w:val="6"/>
        </w:rPr>
        <w:t> </w:t>
      </w:r>
      <w:r>
        <w:rPr>
          <w:spacing w:val="-24"/>
        </w:rPr>
        <w:t>年 </w:t>
      </w:r>
      <w:r>
        <w:rPr>
          <w:rFonts w:ascii="Times New Roman" w:eastAsia="Times New Roman"/>
        </w:rPr>
        <w:t>3</w:t>
      </w:r>
      <w:r>
        <w:rPr>
          <w:rFonts w:ascii="Times New Roman" w:eastAsia="Times New Roman"/>
          <w:spacing w:val="6"/>
        </w:rPr>
        <w:t> </w:t>
      </w:r>
      <w:r>
        <w:rPr>
          <w:spacing w:val="-25"/>
        </w:rPr>
        <w:t>月 </w:t>
      </w:r>
      <w:r>
        <w:rPr>
          <w:rFonts w:ascii="Times New Roman" w:eastAsia="Times New Roman"/>
        </w:rPr>
        <w:t>15</w:t>
      </w:r>
      <w:r>
        <w:rPr>
          <w:rFonts w:ascii="Times New Roman" w:eastAsia="Times New Roman"/>
          <w:spacing w:val="7"/>
        </w:rPr>
        <w:t> </w:t>
      </w:r>
      <w:r>
        <w:rPr>
          <w:spacing w:val="-8"/>
        </w:rPr>
        <w:t>日起投资者可通过展恒基金办理定期定额业务，具体办理程序遵循展</w:t>
      </w:r>
      <w:r>
        <w:rPr>
          <w:spacing w:val="-5"/>
        </w:rPr>
        <w:t>恒基金的规定。</w:t>
      </w:r>
    </w:p>
    <w:p>
      <w:pPr>
        <w:spacing w:after="0" w:line="417" w:lineRule="auto"/>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1" w:firstLine="419"/>
      </w:pPr>
      <w:r>
        <w:rPr>
          <w:spacing w:val="-22"/>
        </w:rPr>
        <w:t>自 </w:t>
      </w:r>
      <w:r>
        <w:rPr>
          <w:rFonts w:ascii="Times New Roman" w:eastAsia="Times New Roman"/>
        </w:rPr>
        <w:t>2013</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7"/>
        </w:rPr>
        <w:t> </w:t>
      </w:r>
      <w:r>
        <w:rPr>
          <w:spacing w:val="-22"/>
        </w:rPr>
        <w:t>月 </w:t>
      </w:r>
      <w:r>
        <w:rPr>
          <w:rFonts w:ascii="Times New Roman" w:eastAsia="Times New Roman"/>
        </w:rPr>
        <w:t>1</w:t>
      </w:r>
      <w:r>
        <w:rPr>
          <w:rFonts w:ascii="Times New Roman" w:eastAsia="Times New Roman"/>
          <w:spacing w:val="6"/>
        </w:rPr>
        <w:t> </w:t>
      </w:r>
      <w:r>
        <w:rPr>
          <w:spacing w:val="-3"/>
        </w:rPr>
        <w:t>日起投资者可通过好买基金办理定期定额业务，具体办理程序遵循好买基金的规定。</w:t>
      </w:r>
    </w:p>
    <w:p>
      <w:pPr>
        <w:pStyle w:val="BodyText"/>
        <w:spacing w:line="417" w:lineRule="auto"/>
        <w:ind w:left="840" w:right="891" w:firstLine="419"/>
      </w:pPr>
      <w:r>
        <w:rPr>
          <w:spacing w:val="-24"/>
        </w:rPr>
        <w:t>自 </w:t>
      </w:r>
      <w:r>
        <w:rPr>
          <w:rFonts w:ascii="Times New Roman" w:eastAsia="Times New Roman"/>
        </w:rPr>
        <w:t>2013</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19</w:t>
      </w:r>
      <w:r>
        <w:rPr>
          <w:rFonts w:ascii="Times New Roman" w:eastAsia="Times New Roman"/>
          <w:spacing w:val="7"/>
        </w:rPr>
        <w:t> </w:t>
      </w:r>
      <w:r>
        <w:rPr>
          <w:spacing w:val="-8"/>
        </w:rPr>
        <w:t>日起投资者可通过和讯科技办理定期定额业务，具体办理程序遵循和</w:t>
      </w:r>
      <w:r>
        <w:rPr>
          <w:spacing w:val="-5"/>
        </w:rPr>
        <w:t>讯科技的规定。</w:t>
      </w:r>
    </w:p>
    <w:p>
      <w:pPr>
        <w:pStyle w:val="BodyText"/>
        <w:spacing w:line="417" w:lineRule="auto"/>
        <w:ind w:left="840" w:right="891" w:firstLine="419"/>
      </w:pPr>
      <w:r>
        <w:rPr>
          <w:spacing w:val="-24"/>
        </w:rPr>
        <w:t>自 </w:t>
      </w:r>
      <w:r>
        <w:rPr>
          <w:rFonts w:ascii="Times New Roman" w:eastAsia="Times New Roman"/>
        </w:rPr>
        <w:t>2013</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27</w:t>
      </w:r>
      <w:r>
        <w:rPr>
          <w:rFonts w:ascii="Times New Roman" w:eastAsia="Times New Roman"/>
          <w:spacing w:val="7"/>
        </w:rPr>
        <w:t> </w:t>
      </w:r>
      <w:r>
        <w:rPr>
          <w:spacing w:val="-8"/>
        </w:rPr>
        <w:t>日起投资者可通过天天基金办理定期定额业务，具体办理程序遵循天</w:t>
      </w:r>
      <w:r>
        <w:rPr>
          <w:spacing w:val="-5"/>
        </w:rPr>
        <w:t>天基金的规定。</w:t>
      </w:r>
    </w:p>
    <w:p>
      <w:pPr>
        <w:pStyle w:val="BodyText"/>
        <w:spacing w:line="417" w:lineRule="auto"/>
        <w:ind w:left="840" w:right="891" w:firstLine="419"/>
      </w:pPr>
      <w:r>
        <w:rPr>
          <w:spacing w:val="-22"/>
        </w:rPr>
        <w:t>自 </w:t>
      </w:r>
      <w:r>
        <w:rPr>
          <w:rFonts w:ascii="Times New Roman" w:eastAsia="Times New Roman"/>
        </w:rPr>
        <w:t>2013 </w:t>
      </w:r>
      <w:r>
        <w:rPr>
          <w:spacing w:val="-24"/>
        </w:rPr>
        <w:t>年 </w:t>
      </w:r>
      <w:r>
        <w:rPr>
          <w:rFonts w:ascii="Times New Roman" w:eastAsia="Times New Roman"/>
        </w:rPr>
        <w:t>7 </w:t>
      </w:r>
      <w:r>
        <w:rPr>
          <w:spacing w:val="-22"/>
        </w:rPr>
        <w:t>月 </w:t>
      </w:r>
      <w:r>
        <w:rPr>
          <w:rFonts w:ascii="Times New Roman" w:eastAsia="Times New Roman"/>
        </w:rPr>
        <w:t>9 </w:t>
      </w:r>
      <w:r>
        <w:rPr>
          <w:spacing w:val="-3"/>
        </w:rPr>
        <w:t>日起投资者可通过同花顺基金办理定期定额业务，具体办理程序遵循同花顺基金的规定。</w:t>
      </w:r>
    </w:p>
    <w:p>
      <w:pPr>
        <w:pStyle w:val="BodyText"/>
        <w:spacing w:line="417" w:lineRule="auto"/>
        <w:ind w:left="840" w:right="891" w:firstLine="419"/>
      </w:pPr>
      <w:r>
        <w:rPr>
          <w:spacing w:val="-24"/>
        </w:rPr>
        <w:t>自 </w:t>
      </w:r>
      <w:r>
        <w:rPr>
          <w:rFonts w:ascii="Times New Roman" w:eastAsia="Times New Roman"/>
        </w:rPr>
        <w:t>2013 </w:t>
      </w:r>
      <w:r>
        <w:rPr>
          <w:spacing w:val="-24"/>
        </w:rPr>
        <w:t>年 </w:t>
      </w:r>
      <w:r>
        <w:rPr>
          <w:rFonts w:ascii="Times New Roman" w:eastAsia="Times New Roman"/>
        </w:rPr>
        <w:t>8 </w:t>
      </w:r>
      <w:r>
        <w:rPr>
          <w:spacing w:val="-25"/>
        </w:rPr>
        <w:t>月 </w:t>
      </w:r>
      <w:r>
        <w:rPr>
          <w:rFonts w:ascii="Times New Roman" w:eastAsia="Times New Roman"/>
        </w:rPr>
        <w:t>26 </w:t>
      </w:r>
      <w:r>
        <w:rPr>
          <w:spacing w:val="-8"/>
        </w:rPr>
        <w:t>日起投资者可通过万银财富办理定期定额业务，具体办理程序遵循万</w:t>
      </w:r>
      <w:r>
        <w:rPr>
          <w:spacing w:val="-5"/>
        </w:rPr>
        <w:t>银财富的规定。</w:t>
      </w:r>
    </w:p>
    <w:p>
      <w:pPr>
        <w:pStyle w:val="BodyText"/>
        <w:spacing w:line="417" w:lineRule="auto"/>
        <w:ind w:left="840" w:right="891" w:firstLine="419"/>
      </w:pPr>
      <w:r>
        <w:rPr>
          <w:spacing w:val="-22"/>
        </w:rPr>
        <w:t>自 </w:t>
      </w:r>
      <w:r>
        <w:rPr>
          <w:rFonts w:ascii="Times New Roman" w:eastAsia="Times New Roman"/>
        </w:rPr>
        <w:t>2013 </w:t>
      </w:r>
      <w:r>
        <w:rPr>
          <w:spacing w:val="-23"/>
        </w:rPr>
        <w:t>年 </w:t>
      </w:r>
      <w:r>
        <w:rPr>
          <w:rFonts w:ascii="Times New Roman" w:eastAsia="Times New Roman"/>
          <w:spacing w:val="-4"/>
        </w:rPr>
        <w:t>11 </w:t>
      </w:r>
      <w:r>
        <w:rPr>
          <w:spacing w:val="-24"/>
        </w:rPr>
        <w:t>月 </w:t>
      </w:r>
      <w:r>
        <w:rPr>
          <w:rFonts w:ascii="Times New Roman" w:eastAsia="Times New Roman"/>
        </w:rPr>
        <w:t>18 </w:t>
      </w:r>
      <w:r>
        <w:rPr>
          <w:spacing w:val="-3"/>
        </w:rPr>
        <w:t>日起投资者可通过宜信普泽办理定期定额业务，具体办理程序遵循宜信普泽的规定。</w:t>
      </w:r>
    </w:p>
    <w:p>
      <w:pPr>
        <w:pStyle w:val="BodyText"/>
        <w:spacing w:line="417" w:lineRule="auto"/>
        <w:ind w:left="840" w:right="891" w:firstLine="419"/>
      </w:pPr>
      <w:r>
        <w:rPr>
          <w:spacing w:val="-24"/>
        </w:rPr>
        <w:t>自 </w:t>
      </w:r>
      <w:r>
        <w:rPr>
          <w:rFonts w:ascii="Times New Roman" w:eastAsia="Times New Roman"/>
        </w:rPr>
        <w:t>2013 </w:t>
      </w:r>
      <w:r>
        <w:rPr>
          <w:spacing w:val="-24"/>
        </w:rPr>
        <w:t>年 </w:t>
      </w:r>
      <w:r>
        <w:rPr>
          <w:rFonts w:ascii="Times New Roman" w:eastAsia="Times New Roman"/>
        </w:rPr>
        <w:t>12 </w:t>
      </w:r>
      <w:r>
        <w:rPr>
          <w:spacing w:val="-24"/>
        </w:rPr>
        <w:t>月 </w:t>
      </w:r>
      <w:r>
        <w:rPr>
          <w:rFonts w:ascii="Times New Roman" w:eastAsia="Times New Roman"/>
        </w:rPr>
        <w:t>4 </w:t>
      </w:r>
      <w:r>
        <w:rPr>
          <w:spacing w:val="-8"/>
        </w:rPr>
        <w:t>日起投资者可通过増财基金办理定期定额业务，具体办理程序遵循増</w:t>
      </w:r>
      <w:r>
        <w:rPr>
          <w:spacing w:val="-5"/>
        </w:rPr>
        <w:t>财基金的规定。</w:t>
      </w:r>
    </w:p>
    <w:p>
      <w:pPr>
        <w:pStyle w:val="BodyText"/>
        <w:spacing w:line="417" w:lineRule="auto"/>
        <w:ind w:left="840" w:right="891" w:firstLine="419"/>
      </w:pPr>
      <w:r>
        <w:rPr>
          <w:spacing w:val="-24"/>
        </w:rPr>
        <w:t>自 </w:t>
      </w:r>
      <w:r>
        <w:rPr>
          <w:rFonts w:ascii="Times New Roman" w:eastAsia="Times New Roman"/>
        </w:rPr>
        <w:t>2014 </w:t>
      </w:r>
      <w:r>
        <w:rPr>
          <w:spacing w:val="-24"/>
        </w:rPr>
        <w:t>年 </w:t>
      </w:r>
      <w:r>
        <w:rPr>
          <w:rFonts w:ascii="Times New Roman" w:eastAsia="Times New Roman"/>
        </w:rPr>
        <w:t>5 </w:t>
      </w:r>
      <w:r>
        <w:rPr>
          <w:spacing w:val="-25"/>
        </w:rPr>
        <w:t>月 </w:t>
      </w:r>
      <w:r>
        <w:rPr>
          <w:rFonts w:ascii="Times New Roman" w:eastAsia="Times New Roman"/>
        </w:rPr>
        <w:t>23 </w:t>
      </w:r>
      <w:r>
        <w:rPr>
          <w:spacing w:val="-8"/>
        </w:rPr>
        <w:t>日起投资者可通过新兰德办理定期定额业务，具体办理程序遵循新兰</w:t>
      </w:r>
      <w:r>
        <w:rPr>
          <w:spacing w:val="-5"/>
        </w:rPr>
        <w:t>德的规定。</w:t>
      </w:r>
    </w:p>
    <w:p>
      <w:pPr>
        <w:pStyle w:val="BodyText"/>
        <w:spacing w:line="417" w:lineRule="auto"/>
        <w:ind w:left="840" w:right="891" w:firstLine="419"/>
      </w:pPr>
      <w:r>
        <w:rPr>
          <w:spacing w:val="-24"/>
        </w:rPr>
        <w:t>自 </w:t>
      </w:r>
      <w:r>
        <w:rPr>
          <w:rFonts w:ascii="Times New Roman" w:eastAsia="Times New Roman"/>
        </w:rPr>
        <w:t>2014</w:t>
      </w:r>
      <w:r>
        <w:rPr>
          <w:rFonts w:ascii="Times New Roman" w:eastAsia="Times New Roman"/>
          <w:spacing w:val="6"/>
        </w:rPr>
        <w:t> </w:t>
      </w:r>
      <w:r>
        <w:rPr>
          <w:spacing w:val="-24"/>
        </w:rPr>
        <w:t>年 </w:t>
      </w:r>
      <w:r>
        <w:rPr>
          <w:rFonts w:ascii="Times New Roman" w:eastAsia="Times New Roman"/>
        </w:rPr>
        <w:t>5</w:t>
      </w:r>
      <w:r>
        <w:rPr>
          <w:rFonts w:ascii="Times New Roman" w:eastAsia="Times New Roman"/>
          <w:spacing w:val="6"/>
        </w:rPr>
        <w:t> </w:t>
      </w:r>
      <w:r>
        <w:rPr>
          <w:spacing w:val="-25"/>
        </w:rPr>
        <w:t>月 </w:t>
      </w:r>
      <w:r>
        <w:rPr>
          <w:rFonts w:ascii="Times New Roman" w:eastAsia="Times New Roman"/>
        </w:rPr>
        <w:t>27</w:t>
      </w:r>
      <w:r>
        <w:rPr>
          <w:rFonts w:ascii="Times New Roman" w:eastAsia="Times New Roman"/>
          <w:spacing w:val="7"/>
        </w:rPr>
        <w:t> </w:t>
      </w:r>
      <w:r>
        <w:rPr>
          <w:spacing w:val="-8"/>
        </w:rPr>
        <w:t>日起投资者可通过晟视天下办理定期定额业务，具体办理程序遵循晟</w:t>
      </w:r>
      <w:r>
        <w:rPr>
          <w:spacing w:val="-5"/>
        </w:rPr>
        <w:t>视天下的规定。</w:t>
      </w:r>
    </w:p>
    <w:p>
      <w:pPr>
        <w:pStyle w:val="BodyText"/>
        <w:spacing w:line="417" w:lineRule="auto"/>
        <w:ind w:left="840" w:right="891" w:firstLine="419"/>
      </w:pPr>
      <w:r>
        <w:rPr>
          <w:spacing w:val="-24"/>
        </w:rPr>
        <w:t>自 </w:t>
      </w:r>
      <w:r>
        <w:rPr>
          <w:rFonts w:ascii="Times New Roman" w:eastAsia="Times New Roman"/>
        </w:rPr>
        <w:t>2014</w:t>
      </w:r>
      <w:r>
        <w:rPr>
          <w:rFonts w:ascii="Times New Roman" w:eastAsia="Times New Roman"/>
          <w:spacing w:val="6"/>
        </w:rPr>
        <w:t> </w:t>
      </w:r>
      <w:r>
        <w:rPr>
          <w:spacing w:val="-25"/>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18</w:t>
      </w:r>
      <w:r>
        <w:rPr>
          <w:rFonts w:ascii="Times New Roman" w:eastAsia="Times New Roman"/>
          <w:spacing w:val="7"/>
        </w:rPr>
        <w:t> </w:t>
      </w:r>
      <w:r>
        <w:rPr>
          <w:spacing w:val="-8"/>
        </w:rPr>
        <w:t>日起投资者可通过一路财富办理定期定额业务，具体办理程序遵循一</w:t>
      </w:r>
      <w:r>
        <w:rPr>
          <w:spacing w:val="-5"/>
        </w:rPr>
        <w:t>路财富的规定。</w:t>
      </w:r>
    </w:p>
    <w:p>
      <w:pPr>
        <w:pStyle w:val="BodyText"/>
        <w:spacing w:line="417" w:lineRule="auto"/>
        <w:ind w:left="840" w:right="891" w:firstLine="419"/>
      </w:pPr>
      <w:r>
        <w:rPr>
          <w:spacing w:val="-24"/>
        </w:rPr>
        <w:t>自 </w:t>
      </w:r>
      <w:r>
        <w:rPr>
          <w:rFonts w:ascii="Times New Roman" w:eastAsia="Times New Roman"/>
        </w:rPr>
        <w:t>2014</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26</w:t>
      </w:r>
      <w:r>
        <w:rPr>
          <w:rFonts w:ascii="Times New Roman" w:eastAsia="Times New Roman"/>
          <w:spacing w:val="7"/>
        </w:rPr>
        <w:t> </w:t>
      </w:r>
      <w:r>
        <w:rPr>
          <w:spacing w:val="-8"/>
        </w:rPr>
        <w:t>日起投资者可通过恒天明泽办理定期定额业务，具体办理程序遵循恒</w:t>
      </w:r>
      <w:r>
        <w:rPr>
          <w:spacing w:val="-5"/>
        </w:rPr>
        <w:t>天明泽的规定。</w:t>
      </w:r>
    </w:p>
    <w:p>
      <w:pPr>
        <w:pStyle w:val="BodyText"/>
        <w:spacing w:line="417" w:lineRule="auto"/>
        <w:ind w:left="840" w:right="891" w:firstLine="419"/>
      </w:pPr>
      <w:r>
        <w:rPr>
          <w:spacing w:val="-24"/>
        </w:rPr>
        <w:t>自 </w:t>
      </w:r>
      <w:r>
        <w:rPr>
          <w:rFonts w:ascii="Times New Roman" w:eastAsia="Times New Roman"/>
        </w:rPr>
        <w:t>2014</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30</w:t>
      </w:r>
      <w:r>
        <w:rPr>
          <w:rFonts w:ascii="Times New Roman" w:eastAsia="Times New Roman"/>
          <w:spacing w:val="7"/>
        </w:rPr>
        <w:t> </w:t>
      </w:r>
      <w:r>
        <w:rPr>
          <w:spacing w:val="-8"/>
        </w:rPr>
        <w:t>日起投资者可通过钱景财富办理定期定额业务，具体办理程序遵循钱</w:t>
      </w:r>
      <w:r>
        <w:rPr>
          <w:spacing w:val="-5"/>
        </w:rPr>
        <w:t>景财富的规定。</w:t>
      </w:r>
    </w:p>
    <w:p>
      <w:pPr>
        <w:pStyle w:val="BodyText"/>
        <w:spacing w:line="417" w:lineRule="auto"/>
        <w:ind w:left="840" w:right="891" w:firstLine="419"/>
      </w:pPr>
      <w:r>
        <w:rPr>
          <w:spacing w:val="-22"/>
        </w:rPr>
        <w:t>自 </w:t>
      </w:r>
      <w:r>
        <w:rPr>
          <w:rFonts w:ascii="Times New Roman" w:eastAsia="Times New Roman"/>
        </w:rPr>
        <w:t>2014</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7"/>
        </w:rPr>
        <w:t> </w:t>
      </w:r>
      <w:r>
        <w:rPr>
          <w:spacing w:val="-22"/>
        </w:rPr>
        <w:t>月 </w:t>
      </w:r>
      <w:r>
        <w:rPr>
          <w:rFonts w:ascii="Times New Roman" w:eastAsia="Times New Roman"/>
        </w:rPr>
        <w:t>7</w:t>
      </w:r>
      <w:r>
        <w:rPr>
          <w:rFonts w:ascii="Times New Roman" w:eastAsia="Times New Roman"/>
          <w:spacing w:val="6"/>
        </w:rPr>
        <w:t> </w:t>
      </w:r>
      <w:r>
        <w:rPr>
          <w:spacing w:val="-3"/>
        </w:rPr>
        <w:t>日起投资者可通过腾元基金办理定期定额业务，具体办理程序遵循腾元基金的规定。</w:t>
      </w:r>
    </w:p>
    <w:p>
      <w:pPr>
        <w:pStyle w:val="BodyText"/>
        <w:spacing w:line="417" w:lineRule="auto"/>
        <w:ind w:left="840" w:right="891" w:firstLine="419"/>
      </w:pPr>
      <w:r>
        <w:rPr>
          <w:spacing w:val="-24"/>
        </w:rPr>
        <w:t>自 </w:t>
      </w:r>
      <w:r>
        <w:rPr>
          <w:rFonts w:ascii="Times New Roman" w:eastAsia="Times New Roman"/>
        </w:rPr>
        <w:t>2014</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30</w:t>
      </w:r>
      <w:r>
        <w:rPr>
          <w:rFonts w:ascii="Times New Roman" w:eastAsia="Times New Roman"/>
          <w:spacing w:val="7"/>
        </w:rPr>
        <w:t> </w:t>
      </w:r>
      <w:r>
        <w:rPr>
          <w:spacing w:val="-8"/>
        </w:rPr>
        <w:t>日起投资者可通过创金启富办理定期定额业务，具体办理程序遵循创</w:t>
      </w:r>
      <w:r>
        <w:rPr>
          <w:spacing w:val="-5"/>
        </w:rPr>
        <w:t>金启富的规定。</w:t>
      </w:r>
    </w:p>
    <w:p>
      <w:pPr>
        <w:pStyle w:val="BodyText"/>
        <w:spacing w:line="417" w:lineRule="auto"/>
        <w:ind w:left="840" w:right="891" w:firstLine="419"/>
      </w:pPr>
      <w:r>
        <w:rPr>
          <w:spacing w:val="-22"/>
        </w:rPr>
        <w:t>自 </w:t>
      </w:r>
      <w:r>
        <w:rPr>
          <w:rFonts w:ascii="Times New Roman" w:eastAsia="Times New Roman"/>
        </w:rPr>
        <w:t>2014</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7"/>
        </w:rPr>
        <w:t> </w:t>
      </w:r>
      <w:r>
        <w:rPr>
          <w:spacing w:val="-22"/>
        </w:rPr>
        <w:t>月 </w:t>
      </w:r>
      <w:r>
        <w:rPr>
          <w:rFonts w:ascii="Times New Roman" w:eastAsia="Times New Roman"/>
        </w:rPr>
        <w:t>4</w:t>
      </w:r>
      <w:r>
        <w:rPr>
          <w:rFonts w:ascii="Times New Roman" w:eastAsia="Times New Roman"/>
          <w:spacing w:val="6"/>
        </w:rPr>
        <w:t> </w:t>
      </w:r>
      <w:r>
        <w:rPr>
          <w:spacing w:val="-3"/>
        </w:rPr>
        <w:t>日起投资者可通过唐鼎耀华办理定期定额业务，具体办理程序遵循唐鼎耀华的规定。</w:t>
      </w:r>
    </w:p>
    <w:p>
      <w:pPr>
        <w:spacing w:after="0" w:line="417" w:lineRule="auto"/>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1" w:firstLine="419"/>
      </w:pPr>
      <w:r>
        <w:rPr>
          <w:spacing w:val="-22"/>
        </w:rPr>
        <w:t>自 </w:t>
      </w:r>
      <w:r>
        <w:rPr>
          <w:rFonts w:ascii="Times New Roman" w:eastAsia="Times New Roman"/>
        </w:rPr>
        <w:t>2014 </w:t>
      </w:r>
      <w:r>
        <w:rPr>
          <w:spacing w:val="-23"/>
        </w:rPr>
        <w:t>年 </w:t>
      </w:r>
      <w:r>
        <w:rPr>
          <w:rFonts w:ascii="Times New Roman" w:eastAsia="Times New Roman"/>
          <w:spacing w:val="-4"/>
        </w:rPr>
        <w:t>11 </w:t>
      </w:r>
      <w:r>
        <w:rPr>
          <w:spacing w:val="-24"/>
        </w:rPr>
        <w:t>月 </w:t>
      </w:r>
      <w:r>
        <w:rPr>
          <w:rFonts w:ascii="Times New Roman" w:eastAsia="Times New Roman"/>
        </w:rPr>
        <w:t>27 </w:t>
      </w:r>
      <w:r>
        <w:rPr>
          <w:spacing w:val="-3"/>
        </w:rPr>
        <w:t>日起投资者可通过第一创业办理定期定额业务，具体办理程序遵循第一创业的规定。</w:t>
      </w:r>
    </w:p>
    <w:p>
      <w:pPr>
        <w:pStyle w:val="BodyText"/>
        <w:spacing w:line="417" w:lineRule="auto"/>
        <w:ind w:left="840" w:right="891" w:firstLine="419"/>
      </w:pPr>
      <w:r>
        <w:rPr>
          <w:spacing w:val="-24"/>
        </w:rPr>
        <w:t>自 </w:t>
      </w:r>
      <w:r>
        <w:rPr>
          <w:rFonts w:ascii="Times New Roman" w:eastAsia="Times New Roman"/>
        </w:rPr>
        <w:t>2015</w:t>
      </w:r>
      <w:r>
        <w:rPr>
          <w:rFonts w:ascii="Times New Roman" w:eastAsia="Times New Roman"/>
          <w:spacing w:val="6"/>
        </w:rPr>
        <w:t> </w:t>
      </w:r>
      <w:r>
        <w:rPr>
          <w:spacing w:val="-24"/>
        </w:rPr>
        <w:t>年 </w:t>
      </w:r>
      <w:r>
        <w:rPr>
          <w:rFonts w:ascii="Times New Roman" w:eastAsia="Times New Roman"/>
        </w:rPr>
        <w:t>1</w:t>
      </w:r>
      <w:r>
        <w:rPr>
          <w:rFonts w:ascii="Times New Roman" w:eastAsia="Times New Roman"/>
          <w:spacing w:val="6"/>
        </w:rPr>
        <w:t> </w:t>
      </w:r>
      <w:r>
        <w:rPr>
          <w:spacing w:val="-25"/>
        </w:rPr>
        <w:t>月 </w:t>
      </w:r>
      <w:r>
        <w:rPr>
          <w:rFonts w:ascii="Times New Roman" w:eastAsia="Times New Roman"/>
        </w:rPr>
        <w:t>16</w:t>
      </w:r>
      <w:r>
        <w:rPr>
          <w:rFonts w:ascii="Times New Roman" w:eastAsia="Times New Roman"/>
          <w:spacing w:val="7"/>
        </w:rPr>
        <w:t> </w:t>
      </w:r>
      <w:r>
        <w:rPr>
          <w:spacing w:val="-8"/>
        </w:rPr>
        <w:t>日起投资者可通过苏州银行办理定期定额业务，具体办理程序遵循苏</w:t>
      </w:r>
      <w:r>
        <w:rPr>
          <w:spacing w:val="-5"/>
        </w:rPr>
        <w:t>州银行的规定。</w:t>
      </w:r>
    </w:p>
    <w:p>
      <w:pPr>
        <w:pStyle w:val="BodyText"/>
        <w:spacing w:line="417" w:lineRule="auto"/>
        <w:ind w:left="840" w:right="891" w:firstLine="419"/>
      </w:pPr>
      <w:r>
        <w:rPr>
          <w:spacing w:val="-24"/>
        </w:rPr>
        <w:t>自 </w:t>
      </w:r>
      <w:r>
        <w:rPr>
          <w:rFonts w:ascii="Times New Roman" w:eastAsia="Times New Roman"/>
        </w:rPr>
        <w:t>2015</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30</w:t>
      </w:r>
      <w:r>
        <w:rPr>
          <w:rFonts w:ascii="Times New Roman" w:eastAsia="Times New Roman"/>
          <w:spacing w:val="7"/>
        </w:rPr>
        <w:t> </w:t>
      </w:r>
      <w:r>
        <w:rPr>
          <w:spacing w:val="-8"/>
        </w:rPr>
        <w:t>日起投资者可通过汇付金融办理定期定额业务，具体办理程序遵循汇</w:t>
      </w:r>
      <w:r>
        <w:rPr>
          <w:spacing w:val="-5"/>
        </w:rPr>
        <w:t>付金融的规定。</w:t>
      </w:r>
    </w:p>
    <w:p>
      <w:pPr>
        <w:pStyle w:val="BodyText"/>
        <w:spacing w:line="417" w:lineRule="auto"/>
        <w:ind w:left="840" w:right="891" w:firstLine="419"/>
      </w:pPr>
      <w:r>
        <w:rPr>
          <w:spacing w:val="-22"/>
        </w:rPr>
        <w:t>自 </w:t>
      </w:r>
      <w:r>
        <w:rPr>
          <w:rFonts w:ascii="Times New Roman" w:eastAsia="Times New Roman"/>
        </w:rPr>
        <w:t>2015</w:t>
      </w:r>
      <w:r>
        <w:rPr>
          <w:rFonts w:ascii="Times New Roman" w:eastAsia="Times New Roman"/>
          <w:spacing w:val="6"/>
        </w:rPr>
        <w:t> </w:t>
      </w:r>
      <w:r>
        <w:rPr>
          <w:spacing w:val="-24"/>
        </w:rPr>
        <w:t>年 </w:t>
      </w:r>
      <w:r>
        <w:rPr>
          <w:rFonts w:ascii="Times New Roman" w:eastAsia="Times New Roman"/>
        </w:rPr>
        <w:t>5</w:t>
      </w:r>
      <w:r>
        <w:rPr>
          <w:rFonts w:ascii="Times New Roman" w:eastAsia="Times New Roman"/>
          <w:spacing w:val="7"/>
        </w:rPr>
        <w:t> </w:t>
      </w:r>
      <w:r>
        <w:rPr>
          <w:spacing w:val="-22"/>
        </w:rPr>
        <w:t>月 </w:t>
      </w:r>
      <w:r>
        <w:rPr>
          <w:rFonts w:ascii="Times New Roman" w:eastAsia="Times New Roman"/>
        </w:rPr>
        <w:t>8</w:t>
      </w:r>
      <w:r>
        <w:rPr>
          <w:rFonts w:ascii="Times New Roman" w:eastAsia="Times New Roman"/>
          <w:spacing w:val="6"/>
        </w:rPr>
        <w:t> </w:t>
      </w:r>
      <w:r>
        <w:rPr>
          <w:spacing w:val="-3"/>
        </w:rPr>
        <w:t>日起投资者可通过利得基金办理定期定额业务，具体办理程序遵循利得基金的规定。</w:t>
      </w:r>
    </w:p>
    <w:p>
      <w:pPr>
        <w:pStyle w:val="BodyText"/>
        <w:spacing w:line="417" w:lineRule="auto"/>
        <w:ind w:left="840" w:right="891" w:firstLine="419"/>
      </w:pPr>
      <w:r>
        <w:rPr>
          <w:spacing w:val="-24"/>
        </w:rPr>
        <w:t>自 </w:t>
      </w:r>
      <w:r>
        <w:rPr>
          <w:rFonts w:ascii="Times New Roman" w:eastAsia="Times New Roman"/>
        </w:rPr>
        <w:t>2015</w:t>
      </w:r>
      <w:r>
        <w:rPr>
          <w:rFonts w:ascii="Times New Roman" w:eastAsia="Times New Roman"/>
          <w:spacing w:val="6"/>
        </w:rPr>
        <w:t> </w:t>
      </w:r>
      <w:r>
        <w:rPr>
          <w:spacing w:val="-24"/>
        </w:rPr>
        <w:t>年 </w:t>
      </w:r>
      <w:r>
        <w:rPr>
          <w:rFonts w:ascii="Times New Roman" w:eastAsia="Times New Roman"/>
        </w:rPr>
        <w:t>5</w:t>
      </w:r>
      <w:r>
        <w:rPr>
          <w:rFonts w:ascii="Times New Roman" w:eastAsia="Times New Roman"/>
          <w:spacing w:val="6"/>
        </w:rPr>
        <w:t> </w:t>
      </w:r>
      <w:r>
        <w:rPr>
          <w:spacing w:val="-25"/>
        </w:rPr>
        <w:t>月 </w:t>
      </w:r>
      <w:r>
        <w:rPr>
          <w:rFonts w:ascii="Times New Roman" w:eastAsia="Times New Roman"/>
        </w:rPr>
        <w:t>29</w:t>
      </w:r>
      <w:r>
        <w:rPr>
          <w:rFonts w:ascii="Times New Roman" w:eastAsia="Times New Roman"/>
          <w:spacing w:val="7"/>
        </w:rPr>
        <w:t> </w:t>
      </w:r>
      <w:r>
        <w:rPr>
          <w:spacing w:val="-8"/>
        </w:rPr>
        <w:t>日起投资者可通过川财证券办理定期定额业务，具体办理程序遵循川</w:t>
      </w:r>
      <w:r>
        <w:rPr>
          <w:spacing w:val="-5"/>
        </w:rPr>
        <w:t>财证券的规定。</w:t>
      </w:r>
    </w:p>
    <w:p>
      <w:pPr>
        <w:pStyle w:val="BodyText"/>
        <w:spacing w:line="417" w:lineRule="auto"/>
        <w:ind w:left="840" w:right="891" w:firstLine="419"/>
      </w:pPr>
      <w:r>
        <w:rPr>
          <w:spacing w:val="-22"/>
        </w:rPr>
        <w:t>自 </w:t>
      </w:r>
      <w:r>
        <w:rPr>
          <w:rFonts w:ascii="Times New Roman" w:eastAsia="Times New Roman"/>
        </w:rPr>
        <w:t>2015</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7"/>
        </w:rPr>
        <w:t> </w:t>
      </w:r>
      <w:r>
        <w:rPr>
          <w:spacing w:val="-22"/>
        </w:rPr>
        <w:t>月 </w:t>
      </w:r>
      <w:r>
        <w:rPr>
          <w:rFonts w:ascii="Times New Roman" w:eastAsia="Times New Roman"/>
        </w:rPr>
        <w:t>4</w:t>
      </w:r>
      <w:r>
        <w:rPr>
          <w:rFonts w:ascii="Times New Roman" w:eastAsia="Times New Roman"/>
          <w:spacing w:val="6"/>
        </w:rPr>
        <w:t> </w:t>
      </w:r>
      <w:r>
        <w:rPr>
          <w:spacing w:val="-3"/>
        </w:rPr>
        <w:t>日起投资者可通过天风证券办理定期定额业务，具体办理程序遵循天风证券的规定。</w:t>
      </w:r>
    </w:p>
    <w:p>
      <w:pPr>
        <w:pStyle w:val="BodyText"/>
        <w:spacing w:line="417" w:lineRule="auto"/>
        <w:ind w:left="840" w:right="891" w:firstLine="419"/>
      </w:pPr>
      <w:r>
        <w:rPr>
          <w:spacing w:val="-24"/>
        </w:rPr>
        <w:t>自 </w:t>
      </w:r>
      <w:r>
        <w:rPr>
          <w:rFonts w:ascii="Times New Roman" w:eastAsia="Times New Roman"/>
        </w:rPr>
        <w:t>2015</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27</w:t>
      </w:r>
      <w:r>
        <w:rPr>
          <w:rFonts w:ascii="Times New Roman" w:eastAsia="Times New Roman"/>
          <w:spacing w:val="7"/>
        </w:rPr>
        <w:t> </w:t>
      </w:r>
      <w:r>
        <w:rPr>
          <w:spacing w:val="-8"/>
        </w:rPr>
        <w:t>日起投资者可通过中信期货办理定期定额业务，具体办理程序遵循中</w:t>
      </w:r>
      <w:r>
        <w:rPr>
          <w:spacing w:val="-5"/>
        </w:rPr>
        <w:t>信期货的规定。</w:t>
      </w:r>
    </w:p>
    <w:p>
      <w:pPr>
        <w:pStyle w:val="BodyText"/>
        <w:spacing w:line="417" w:lineRule="auto"/>
        <w:ind w:left="840" w:right="891" w:firstLine="419"/>
      </w:pPr>
      <w:r>
        <w:rPr>
          <w:spacing w:val="-24"/>
        </w:rPr>
        <w:t>自 </w:t>
      </w:r>
      <w:r>
        <w:rPr>
          <w:rFonts w:ascii="Times New Roman" w:eastAsia="Times New Roman"/>
        </w:rPr>
        <w:t>2015</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6"/>
        </w:rPr>
        <w:t> </w:t>
      </w:r>
      <w:r>
        <w:rPr>
          <w:spacing w:val="-25"/>
        </w:rPr>
        <w:t>月 </w:t>
      </w:r>
      <w:r>
        <w:rPr>
          <w:rFonts w:ascii="Times New Roman" w:eastAsia="Times New Roman"/>
        </w:rPr>
        <w:t>22</w:t>
      </w:r>
      <w:r>
        <w:rPr>
          <w:rFonts w:ascii="Times New Roman" w:eastAsia="Times New Roman"/>
          <w:spacing w:val="7"/>
        </w:rPr>
        <w:t> </w:t>
      </w:r>
      <w:r>
        <w:rPr>
          <w:spacing w:val="-8"/>
        </w:rPr>
        <w:t>日起投资者可通过泰诚财富办理定期定额业务，具体办理程序遵循泰</w:t>
      </w:r>
      <w:r>
        <w:rPr>
          <w:spacing w:val="-5"/>
        </w:rPr>
        <w:t>诚财富的规定。</w:t>
      </w:r>
    </w:p>
    <w:p>
      <w:pPr>
        <w:pStyle w:val="BodyText"/>
        <w:spacing w:line="417" w:lineRule="auto"/>
        <w:ind w:left="840" w:right="891" w:firstLine="419"/>
      </w:pPr>
      <w:r>
        <w:rPr>
          <w:spacing w:val="-24"/>
        </w:rPr>
        <w:t>自 </w:t>
      </w:r>
      <w:r>
        <w:rPr>
          <w:rFonts w:ascii="Times New Roman" w:eastAsia="Times New Roman"/>
        </w:rPr>
        <w:t>2015</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6"/>
        </w:rPr>
        <w:t> </w:t>
      </w:r>
      <w:r>
        <w:rPr>
          <w:spacing w:val="-25"/>
        </w:rPr>
        <w:t>月 </w:t>
      </w:r>
      <w:r>
        <w:rPr>
          <w:rFonts w:ascii="Times New Roman" w:eastAsia="Times New Roman"/>
        </w:rPr>
        <w:t>25</w:t>
      </w:r>
      <w:r>
        <w:rPr>
          <w:rFonts w:ascii="Times New Roman" w:eastAsia="Times New Roman"/>
          <w:spacing w:val="7"/>
        </w:rPr>
        <w:t> </w:t>
      </w:r>
      <w:r>
        <w:rPr>
          <w:spacing w:val="-8"/>
        </w:rPr>
        <w:t>日起投资者可通过富济财富办理定期定额业务，具体办理程序遵循富</w:t>
      </w:r>
      <w:r>
        <w:rPr>
          <w:spacing w:val="-5"/>
        </w:rPr>
        <w:t>济财富的规定。</w:t>
      </w:r>
    </w:p>
    <w:p>
      <w:pPr>
        <w:pStyle w:val="BodyText"/>
        <w:spacing w:line="417" w:lineRule="auto"/>
        <w:ind w:left="840" w:right="891" w:firstLine="419"/>
      </w:pPr>
      <w:r>
        <w:rPr>
          <w:spacing w:val="-23"/>
        </w:rPr>
        <w:t>自 </w:t>
      </w:r>
      <w:r>
        <w:rPr>
          <w:rFonts w:ascii="Times New Roman" w:eastAsia="Times New Roman"/>
        </w:rPr>
        <w:t>2015</w:t>
      </w:r>
      <w:r>
        <w:rPr>
          <w:rFonts w:ascii="Times New Roman" w:eastAsia="Times New Roman"/>
          <w:spacing w:val="5"/>
        </w:rPr>
        <w:t> </w:t>
      </w:r>
      <w:r>
        <w:rPr>
          <w:spacing w:val="-22"/>
        </w:rPr>
        <w:t>年 </w:t>
      </w:r>
      <w:r>
        <w:rPr>
          <w:rFonts w:ascii="Times New Roman" w:eastAsia="Times New Roman"/>
        </w:rPr>
        <w:t>10</w:t>
      </w:r>
      <w:r>
        <w:rPr>
          <w:rFonts w:ascii="Times New Roman" w:eastAsia="Times New Roman"/>
          <w:spacing w:val="5"/>
        </w:rPr>
        <w:t> </w:t>
      </w:r>
      <w:r>
        <w:rPr>
          <w:spacing w:val="-23"/>
        </w:rPr>
        <w:t>月 </w:t>
      </w:r>
      <w:r>
        <w:rPr>
          <w:rFonts w:ascii="Times New Roman" w:eastAsia="Times New Roman"/>
        </w:rPr>
        <w:t>14</w:t>
      </w:r>
      <w:r>
        <w:rPr>
          <w:rFonts w:ascii="Times New Roman" w:eastAsia="Times New Roman"/>
          <w:spacing w:val="9"/>
        </w:rPr>
        <w:t> </w:t>
      </w:r>
      <w:r>
        <w:rPr>
          <w:spacing w:val="-3"/>
        </w:rPr>
        <w:t>日起投资者可通过积木基金办理定期定额业务，具体办理程序遵循积木基金的规定。</w:t>
      </w:r>
    </w:p>
    <w:p>
      <w:pPr>
        <w:pStyle w:val="BodyText"/>
        <w:spacing w:line="417" w:lineRule="auto"/>
        <w:ind w:left="840" w:right="891" w:firstLine="419"/>
      </w:pPr>
      <w:r>
        <w:rPr>
          <w:spacing w:val="-23"/>
        </w:rPr>
        <w:t>自 </w:t>
      </w:r>
      <w:r>
        <w:rPr>
          <w:rFonts w:ascii="Times New Roman" w:eastAsia="Times New Roman"/>
        </w:rPr>
        <w:t>2015</w:t>
      </w:r>
      <w:r>
        <w:rPr>
          <w:rFonts w:ascii="Times New Roman" w:eastAsia="Times New Roman"/>
          <w:spacing w:val="5"/>
        </w:rPr>
        <w:t> </w:t>
      </w:r>
      <w:r>
        <w:rPr>
          <w:spacing w:val="-22"/>
        </w:rPr>
        <w:t>年 </w:t>
      </w:r>
      <w:r>
        <w:rPr>
          <w:rFonts w:ascii="Times New Roman" w:eastAsia="Times New Roman"/>
        </w:rPr>
        <w:t>10</w:t>
      </w:r>
      <w:r>
        <w:rPr>
          <w:rFonts w:ascii="Times New Roman" w:eastAsia="Times New Roman"/>
          <w:spacing w:val="5"/>
        </w:rPr>
        <w:t> </w:t>
      </w:r>
      <w:r>
        <w:rPr>
          <w:spacing w:val="-23"/>
        </w:rPr>
        <w:t>月 </w:t>
      </w:r>
      <w:r>
        <w:rPr>
          <w:rFonts w:ascii="Times New Roman" w:eastAsia="Times New Roman"/>
        </w:rPr>
        <w:t>26</w:t>
      </w:r>
      <w:r>
        <w:rPr>
          <w:rFonts w:ascii="Times New Roman" w:eastAsia="Times New Roman"/>
          <w:spacing w:val="9"/>
        </w:rPr>
        <w:t> </w:t>
      </w:r>
      <w:r>
        <w:rPr>
          <w:spacing w:val="-3"/>
        </w:rPr>
        <w:t>日起投资者可通过盈米财富办理定期定额业务，具体办理程序遵循盈米财富的规定。</w:t>
      </w:r>
    </w:p>
    <w:p>
      <w:pPr>
        <w:pStyle w:val="BodyText"/>
        <w:spacing w:line="417" w:lineRule="auto"/>
        <w:ind w:left="840" w:right="891" w:firstLine="419"/>
      </w:pPr>
      <w:r>
        <w:rPr>
          <w:spacing w:val="-24"/>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1</w:t>
      </w:r>
      <w:r>
        <w:rPr>
          <w:rFonts w:ascii="Times New Roman" w:eastAsia="Times New Roman"/>
          <w:spacing w:val="6"/>
        </w:rPr>
        <w:t> </w:t>
      </w:r>
      <w:r>
        <w:rPr>
          <w:spacing w:val="-25"/>
        </w:rPr>
        <w:t>月 </w:t>
      </w:r>
      <w:r>
        <w:rPr>
          <w:rFonts w:ascii="Times New Roman" w:eastAsia="Times New Roman"/>
        </w:rPr>
        <w:t>18</w:t>
      </w:r>
      <w:r>
        <w:rPr>
          <w:rFonts w:ascii="Times New Roman" w:eastAsia="Times New Roman"/>
          <w:spacing w:val="7"/>
        </w:rPr>
        <w:t> </w:t>
      </w:r>
      <w:r>
        <w:rPr>
          <w:spacing w:val="-8"/>
        </w:rPr>
        <w:t>日起投资者可通过中证金牛办理定期定额业务，具体办理程序遵循中</w:t>
      </w:r>
      <w:r>
        <w:rPr>
          <w:spacing w:val="-5"/>
        </w:rPr>
        <w:t>证金牛的规定。</w:t>
      </w:r>
    </w:p>
    <w:p>
      <w:pPr>
        <w:pStyle w:val="BodyText"/>
        <w:spacing w:line="417" w:lineRule="auto"/>
        <w:ind w:left="840" w:right="891" w:firstLine="419"/>
      </w:pPr>
      <w:r>
        <w:rPr>
          <w:spacing w:val="-24"/>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1</w:t>
      </w:r>
      <w:r>
        <w:rPr>
          <w:rFonts w:ascii="Times New Roman" w:eastAsia="Times New Roman"/>
          <w:spacing w:val="6"/>
        </w:rPr>
        <w:t> </w:t>
      </w:r>
      <w:r>
        <w:rPr>
          <w:spacing w:val="-25"/>
        </w:rPr>
        <w:t>月 </w:t>
      </w:r>
      <w:r>
        <w:rPr>
          <w:rFonts w:ascii="Times New Roman" w:eastAsia="Times New Roman"/>
        </w:rPr>
        <w:t>29</w:t>
      </w:r>
      <w:r>
        <w:rPr>
          <w:rFonts w:ascii="Times New Roman" w:eastAsia="Times New Roman"/>
          <w:spacing w:val="7"/>
        </w:rPr>
        <w:t> </w:t>
      </w:r>
      <w:r>
        <w:rPr>
          <w:spacing w:val="-8"/>
        </w:rPr>
        <w:t>日起投资者可通过奕丰公司办理定期定额业务，具体办理程序遵循奕</w:t>
      </w:r>
      <w:r>
        <w:rPr>
          <w:spacing w:val="-5"/>
        </w:rPr>
        <w:t>丰公司的规定。</w:t>
      </w:r>
    </w:p>
    <w:p>
      <w:pPr>
        <w:pStyle w:val="BodyText"/>
        <w:spacing w:line="417" w:lineRule="auto"/>
        <w:ind w:left="840" w:right="891" w:firstLine="419"/>
      </w:pPr>
      <w:r>
        <w:rPr>
          <w:spacing w:val="-22"/>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2</w:t>
      </w:r>
      <w:r>
        <w:rPr>
          <w:rFonts w:ascii="Times New Roman" w:eastAsia="Times New Roman"/>
          <w:spacing w:val="7"/>
        </w:rPr>
        <w:t> </w:t>
      </w:r>
      <w:r>
        <w:rPr>
          <w:spacing w:val="-22"/>
        </w:rPr>
        <w:t>月 </w:t>
      </w:r>
      <w:r>
        <w:rPr>
          <w:rFonts w:ascii="Times New Roman" w:eastAsia="Times New Roman"/>
        </w:rPr>
        <w:t>2</w:t>
      </w:r>
      <w:r>
        <w:rPr>
          <w:rFonts w:ascii="Times New Roman" w:eastAsia="Times New Roman"/>
          <w:spacing w:val="6"/>
        </w:rPr>
        <w:t> </w:t>
      </w:r>
      <w:r>
        <w:rPr>
          <w:spacing w:val="-3"/>
        </w:rPr>
        <w:t>日起投资者可通过和耕传承办理定期定额业务，具体办理程序遵循和耕传承的规定。</w:t>
      </w:r>
    </w:p>
    <w:p>
      <w:pPr>
        <w:pStyle w:val="BodyText"/>
        <w:spacing w:line="417" w:lineRule="auto"/>
        <w:ind w:left="840" w:right="891" w:firstLine="419"/>
      </w:pPr>
      <w:r>
        <w:rPr>
          <w:spacing w:val="-24"/>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2</w:t>
      </w:r>
      <w:r>
        <w:rPr>
          <w:rFonts w:ascii="Times New Roman" w:eastAsia="Times New Roman"/>
          <w:spacing w:val="6"/>
        </w:rPr>
        <w:t> </w:t>
      </w:r>
      <w:r>
        <w:rPr>
          <w:spacing w:val="-25"/>
        </w:rPr>
        <w:t>月 </w:t>
      </w:r>
      <w:r>
        <w:rPr>
          <w:rFonts w:ascii="Times New Roman" w:eastAsia="Times New Roman"/>
        </w:rPr>
        <w:t>25</w:t>
      </w:r>
      <w:r>
        <w:rPr>
          <w:rFonts w:ascii="Times New Roman" w:eastAsia="Times New Roman"/>
          <w:spacing w:val="7"/>
        </w:rPr>
        <w:t> </w:t>
      </w:r>
      <w:r>
        <w:rPr>
          <w:spacing w:val="-8"/>
        </w:rPr>
        <w:t>日起投资者可通过凯石财富办理定期定额业务，具体办理程序遵循凯</w:t>
      </w:r>
      <w:r>
        <w:rPr>
          <w:spacing w:val="-5"/>
        </w:rPr>
        <w:t>石财富的规定。</w:t>
      </w:r>
    </w:p>
    <w:p>
      <w:pPr>
        <w:spacing w:after="0" w:line="417" w:lineRule="auto"/>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3" w:firstLine="419"/>
      </w:pPr>
      <w:r>
        <w:rPr>
          <w:spacing w:val="-24"/>
        </w:rPr>
        <w:t>自 </w:t>
      </w:r>
      <w:r>
        <w:rPr>
          <w:rFonts w:ascii="Times New Roman" w:eastAsia="Times New Roman"/>
        </w:rPr>
        <w:t>2016 </w:t>
      </w:r>
      <w:r>
        <w:rPr>
          <w:spacing w:val="-25"/>
        </w:rPr>
        <w:t>年 </w:t>
      </w:r>
      <w:r>
        <w:rPr>
          <w:rFonts w:ascii="Times New Roman" w:eastAsia="Times New Roman"/>
        </w:rPr>
        <w:t>5 </w:t>
      </w:r>
      <w:r>
        <w:rPr>
          <w:spacing w:val="-25"/>
        </w:rPr>
        <w:t>月 </w:t>
      </w:r>
      <w:r>
        <w:rPr>
          <w:rFonts w:ascii="Times New Roman" w:eastAsia="Times New Roman"/>
          <w:spacing w:val="-4"/>
        </w:rPr>
        <w:t>11 </w:t>
      </w:r>
      <w:r>
        <w:rPr>
          <w:spacing w:val="-8"/>
        </w:rPr>
        <w:t>日起投资者可通过金斧子办理定期定额业务，具体办理程序遵循金斧</w:t>
      </w:r>
      <w:r>
        <w:rPr>
          <w:spacing w:val="-5"/>
        </w:rPr>
        <w:t>子的规定。</w:t>
      </w:r>
    </w:p>
    <w:p>
      <w:pPr>
        <w:pStyle w:val="BodyText"/>
        <w:spacing w:line="417" w:lineRule="auto"/>
        <w:ind w:left="840" w:right="891" w:firstLine="419"/>
      </w:pPr>
      <w:r>
        <w:rPr>
          <w:spacing w:val="-24"/>
        </w:rPr>
        <w:t>自 </w:t>
      </w:r>
      <w:r>
        <w:rPr>
          <w:rFonts w:ascii="Times New Roman" w:eastAsia="Times New Roman"/>
        </w:rPr>
        <w:t>2016 </w:t>
      </w:r>
      <w:r>
        <w:rPr>
          <w:spacing w:val="-24"/>
        </w:rPr>
        <w:t>年 </w:t>
      </w:r>
      <w:r>
        <w:rPr>
          <w:rFonts w:ascii="Times New Roman" w:eastAsia="Times New Roman"/>
        </w:rPr>
        <w:t>5 </w:t>
      </w:r>
      <w:r>
        <w:rPr>
          <w:spacing w:val="-25"/>
        </w:rPr>
        <w:t>月 </w:t>
      </w:r>
      <w:r>
        <w:rPr>
          <w:rFonts w:ascii="Times New Roman" w:eastAsia="Times New Roman"/>
        </w:rPr>
        <w:t>16 </w:t>
      </w:r>
      <w:r>
        <w:rPr>
          <w:spacing w:val="-8"/>
        </w:rPr>
        <w:t>日起投资者可通过伯嘉基金办理定期定额业务，具体办理程序遵循伯</w:t>
      </w:r>
      <w:r>
        <w:rPr>
          <w:spacing w:val="-5"/>
        </w:rPr>
        <w:t>嘉基金的规定。</w:t>
      </w:r>
    </w:p>
    <w:p>
      <w:pPr>
        <w:pStyle w:val="BodyText"/>
        <w:spacing w:line="417" w:lineRule="auto"/>
        <w:ind w:left="840" w:right="891" w:firstLine="419"/>
      </w:pPr>
      <w:r>
        <w:rPr>
          <w:spacing w:val="-24"/>
        </w:rPr>
        <w:t>自 </w:t>
      </w:r>
      <w:r>
        <w:rPr>
          <w:rFonts w:ascii="Times New Roman" w:eastAsia="Times New Roman"/>
        </w:rPr>
        <w:t>2016 </w:t>
      </w:r>
      <w:r>
        <w:rPr>
          <w:spacing w:val="-24"/>
        </w:rPr>
        <w:t>年 </w:t>
      </w:r>
      <w:r>
        <w:rPr>
          <w:rFonts w:ascii="Times New Roman" w:eastAsia="Times New Roman"/>
        </w:rPr>
        <w:t>5 </w:t>
      </w:r>
      <w:r>
        <w:rPr>
          <w:spacing w:val="-25"/>
        </w:rPr>
        <w:t>月 </w:t>
      </w:r>
      <w:r>
        <w:rPr>
          <w:rFonts w:ascii="Times New Roman" w:eastAsia="Times New Roman"/>
        </w:rPr>
        <w:t>26 </w:t>
      </w:r>
      <w:r>
        <w:rPr>
          <w:spacing w:val="-8"/>
        </w:rPr>
        <w:t>日起投资者可通过金观诚办理定期定额业务，具体办理程序遵循金观</w:t>
      </w:r>
      <w:r>
        <w:rPr>
          <w:spacing w:val="-5"/>
        </w:rPr>
        <w:t>诚的规定。</w:t>
      </w:r>
    </w:p>
    <w:p>
      <w:pPr>
        <w:pStyle w:val="BodyText"/>
        <w:spacing w:line="417" w:lineRule="auto"/>
        <w:ind w:left="840" w:right="891" w:firstLine="419"/>
      </w:pPr>
      <w:r>
        <w:rPr>
          <w:spacing w:val="-24"/>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5</w:t>
      </w:r>
      <w:r>
        <w:rPr>
          <w:rFonts w:ascii="Times New Roman" w:eastAsia="Times New Roman"/>
          <w:spacing w:val="6"/>
        </w:rPr>
        <w:t> </w:t>
      </w:r>
      <w:r>
        <w:rPr>
          <w:spacing w:val="-25"/>
        </w:rPr>
        <w:t>月 </w:t>
      </w:r>
      <w:r>
        <w:rPr>
          <w:rFonts w:ascii="Times New Roman" w:eastAsia="Times New Roman"/>
        </w:rPr>
        <w:t>27</w:t>
      </w:r>
      <w:r>
        <w:rPr>
          <w:rFonts w:ascii="Times New Roman" w:eastAsia="Times New Roman"/>
          <w:spacing w:val="7"/>
        </w:rPr>
        <w:t> </w:t>
      </w:r>
      <w:r>
        <w:rPr>
          <w:spacing w:val="-8"/>
        </w:rPr>
        <w:t>日起投资者可通过汇成基金办理定期定额业务，具体办理程序遵循汇</w:t>
      </w:r>
      <w:r>
        <w:rPr>
          <w:spacing w:val="-5"/>
        </w:rPr>
        <w:t>成基金的规定。</w:t>
      </w:r>
    </w:p>
    <w:p>
      <w:pPr>
        <w:pStyle w:val="BodyText"/>
        <w:spacing w:line="417" w:lineRule="auto"/>
        <w:ind w:left="840" w:right="891" w:firstLine="419"/>
      </w:pPr>
      <w:r>
        <w:rPr>
          <w:spacing w:val="-24"/>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22</w:t>
      </w:r>
      <w:r>
        <w:rPr>
          <w:rFonts w:ascii="Times New Roman" w:eastAsia="Times New Roman"/>
          <w:spacing w:val="7"/>
        </w:rPr>
        <w:t> </w:t>
      </w:r>
      <w:r>
        <w:rPr>
          <w:spacing w:val="-8"/>
        </w:rPr>
        <w:t>日起投资者可通过新浪仓石办理定期定额业务，具体办理程序遵循新</w:t>
      </w:r>
      <w:r>
        <w:rPr>
          <w:spacing w:val="-5"/>
        </w:rPr>
        <w:t>浪仓石的规定。</w:t>
      </w:r>
    </w:p>
    <w:p>
      <w:pPr>
        <w:pStyle w:val="BodyText"/>
        <w:spacing w:line="417" w:lineRule="auto"/>
        <w:ind w:left="840" w:right="891" w:firstLine="419"/>
      </w:pPr>
      <w:r>
        <w:rPr>
          <w:spacing w:val="-24"/>
        </w:rPr>
        <w:t>自 </w:t>
      </w:r>
      <w:r>
        <w:rPr>
          <w:rFonts w:ascii="Times New Roman" w:eastAsia="Times New Roman"/>
        </w:rPr>
        <w:t>2016 </w:t>
      </w:r>
      <w:r>
        <w:rPr>
          <w:spacing w:val="-24"/>
        </w:rPr>
        <w:t>年 </w:t>
      </w:r>
      <w:r>
        <w:rPr>
          <w:rFonts w:ascii="Times New Roman" w:eastAsia="Times New Roman"/>
        </w:rPr>
        <w:t>6 </w:t>
      </w:r>
      <w:r>
        <w:rPr>
          <w:spacing w:val="-25"/>
        </w:rPr>
        <w:t>月 </w:t>
      </w:r>
      <w:r>
        <w:rPr>
          <w:rFonts w:ascii="Times New Roman" w:eastAsia="Times New Roman"/>
        </w:rPr>
        <w:t>24 </w:t>
      </w:r>
      <w:r>
        <w:rPr>
          <w:spacing w:val="-8"/>
        </w:rPr>
        <w:t>日起投资者可通过陆金所资管办理定期定额业务，具体办理程序遵循</w:t>
      </w:r>
      <w:r>
        <w:rPr>
          <w:spacing w:val="-5"/>
        </w:rPr>
        <w:t>陆金所资管的规定。</w:t>
      </w:r>
    </w:p>
    <w:p>
      <w:pPr>
        <w:pStyle w:val="BodyText"/>
        <w:spacing w:line="417" w:lineRule="auto"/>
        <w:ind w:left="840" w:right="891" w:firstLine="419"/>
      </w:pPr>
      <w:r>
        <w:rPr>
          <w:spacing w:val="-22"/>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7"/>
        </w:rPr>
        <w:t> </w:t>
      </w:r>
      <w:r>
        <w:rPr>
          <w:spacing w:val="-22"/>
        </w:rPr>
        <w:t>月 </w:t>
      </w:r>
      <w:r>
        <w:rPr>
          <w:rFonts w:ascii="Times New Roman" w:eastAsia="Times New Roman"/>
        </w:rPr>
        <w:t>7</w:t>
      </w:r>
      <w:r>
        <w:rPr>
          <w:rFonts w:ascii="Times New Roman" w:eastAsia="Times New Roman"/>
          <w:spacing w:val="6"/>
        </w:rPr>
        <w:t> </w:t>
      </w:r>
      <w:r>
        <w:rPr>
          <w:spacing w:val="-3"/>
        </w:rPr>
        <w:t>日起投资者可通过鑫鼎盛办理定期定额业务，具体办理程序遵循鑫鼎盛的规定。</w:t>
      </w:r>
    </w:p>
    <w:p>
      <w:pPr>
        <w:pStyle w:val="BodyText"/>
        <w:spacing w:line="417" w:lineRule="auto"/>
        <w:ind w:left="840" w:right="891" w:firstLine="419"/>
      </w:pPr>
      <w:r>
        <w:rPr>
          <w:spacing w:val="-24"/>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20</w:t>
      </w:r>
      <w:r>
        <w:rPr>
          <w:rFonts w:ascii="Times New Roman" w:eastAsia="Times New Roman"/>
          <w:spacing w:val="7"/>
        </w:rPr>
        <w:t> </w:t>
      </w:r>
      <w:r>
        <w:rPr>
          <w:spacing w:val="-8"/>
        </w:rPr>
        <w:t>日起投资者可通过牛股王办理定期定额业务，具体办理程序遵循牛股</w:t>
      </w:r>
      <w:r>
        <w:rPr>
          <w:spacing w:val="-5"/>
        </w:rPr>
        <w:t>王的规定。</w:t>
      </w:r>
    </w:p>
    <w:p>
      <w:pPr>
        <w:pStyle w:val="BodyText"/>
        <w:spacing w:line="417" w:lineRule="auto"/>
        <w:ind w:left="840" w:right="891" w:firstLine="419"/>
      </w:pPr>
      <w:r>
        <w:rPr>
          <w:spacing w:val="-24"/>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27</w:t>
      </w:r>
      <w:r>
        <w:rPr>
          <w:rFonts w:ascii="Times New Roman" w:eastAsia="Times New Roman"/>
          <w:spacing w:val="7"/>
        </w:rPr>
        <w:t> </w:t>
      </w:r>
      <w:r>
        <w:rPr>
          <w:spacing w:val="-8"/>
        </w:rPr>
        <w:t>日起投资者可通过中正财富办理定期定额业务，具体办理程序遵循中</w:t>
      </w:r>
      <w:r>
        <w:rPr>
          <w:spacing w:val="-5"/>
        </w:rPr>
        <w:t>正财富的规定。</w:t>
      </w:r>
    </w:p>
    <w:p>
      <w:pPr>
        <w:pStyle w:val="BodyText"/>
        <w:spacing w:line="417" w:lineRule="auto"/>
        <w:ind w:left="840" w:right="891" w:firstLine="419"/>
      </w:pPr>
      <w:r>
        <w:rPr>
          <w:spacing w:val="-24"/>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28</w:t>
      </w:r>
      <w:r>
        <w:rPr>
          <w:rFonts w:ascii="Times New Roman" w:eastAsia="Times New Roman"/>
          <w:spacing w:val="7"/>
        </w:rPr>
        <w:t> </w:t>
      </w:r>
      <w:r>
        <w:rPr>
          <w:spacing w:val="-8"/>
        </w:rPr>
        <w:t>日起投资者可通过海银基金办理定期定额业务，具体办理程序遵循海</w:t>
      </w:r>
      <w:r>
        <w:rPr>
          <w:spacing w:val="-5"/>
        </w:rPr>
        <w:t>银基金的规定。</w:t>
      </w:r>
    </w:p>
    <w:p>
      <w:pPr>
        <w:pStyle w:val="BodyText"/>
        <w:spacing w:line="417" w:lineRule="auto"/>
        <w:ind w:left="840" w:right="891" w:firstLine="419"/>
      </w:pPr>
      <w:r>
        <w:rPr>
          <w:spacing w:val="-24"/>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10</w:t>
      </w:r>
      <w:r>
        <w:rPr>
          <w:rFonts w:ascii="Times New Roman" w:eastAsia="Times New Roman"/>
          <w:spacing w:val="7"/>
        </w:rPr>
        <w:t> </w:t>
      </w:r>
      <w:r>
        <w:rPr>
          <w:spacing w:val="-8"/>
        </w:rPr>
        <w:t>日起投资者可通过万得投顾办理定期定额业务，具体办理程序遵循万</w:t>
      </w:r>
      <w:r>
        <w:rPr>
          <w:spacing w:val="-5"/>
        </w:rPr>
        <w:t>得投顾的规定。</w:t>
      </w:r>
    </w:p>
    <w:p>
      <w:pPr>
        <w:pStyle w:val="BodyText"/>
        <w:spacing w:line="417" w:lineRule="auto"/>
        <w:ind w:left="840" w:right="891" w:firstLine="419"/>
      </w:pPr>
      <w:r>
        <w:rPr>
          <w:spacing w:val="-24"/>
        </w:rPr>
        <w:t>自 </w:t>
      </w:r>
      <w:r>
        <w:rPr>
          <w:rFonts w:ascii="Times New Roman" w:eastAsia="Times New Roman"/>
        </w:rPr>
        <w:t>2016 </w:t>
      </w:r>
      <w:r>
        <w:rPr>
          <w:spacing w:val="-25"/>
        </w:rPr>
        <w:t>年 </w:t>
      </w:r>
      <w:r>
        <w:rPr>
          <w:rFonts w:ascii="Times New Roman" w:eastAsia="Times New Roman"/>
        </w:rPr>
        <w:t>8 </w:t>
      </w:r>
      <w:r>
        <w:rPr>
          <w:spacing w:val="-25"/>
        </w:rPr>
        <w:t>月 </w:t>
      </w:r>
      <w:r>
        <w:rPr>
          <w:rFonts w:ascii="Times New Roman" w:eastAsia="Times New Roman"/>
        </w:rPr>
        <w:t>26 </w:t>
      </w:r>
      <w:r>
        <w:rPr>
          <w:spacing w:val="-8"/>
        </w:rPr>
        <w:t>日起投资者可通过前海凯恩斯办理定期定额业务，具体办理程序遵循</w:t>
      </w:r>
      <w:r>
        <w:rPr>
          <w:spacing w:val="-5"/>
        </w:rPr>
        <w:t>前海凯恩斯的规定。</w:t>
      </w:r>
    </w:p>
    <w:p>
      <w:pPr>
        <w:pStyle w:val="BodyText"/>
        <w:spacing w:line="417" w:lineRule="auto"/>
        <w:ind w:left="840" w:right="891" w:firstLine="419"/>
      </w:pPr>
      <w:r>
        <w:rPr>
          <w:spacing w:val="-24"/>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30</w:t>
      </w:r>
      <w:r>
        <w:rPr>
          <w:rFonts w:ascii="Times New Roman" w:eastAsia="Times New Roman"/>
          <w:spacing w:val="7"/>
        </w:rPr>
        <w:t> </w:t>
      </w:r>
      <w:r>
        <w:rPr>
          <w:spacing w:val="-8"/>
        </w:rPr>
        <w:t>日起投资者可通过中民财富办理定期定额业务，具体办理程序遵循中</w:t>
      </w:r>
      <w:r>
        <w:rPr>
          <w:spacing w:val="-5"/>
        </w:rPr>
        <w:t>民财富的规定。</w:t>
      </w:r>
    </w:p>
    <w:p>
      <w:pPr>
        <w:pStyle w:val="BodyText"/>
        <w:spacing w:line="417" w:lineRule="auto"/>
        <w:ind w:left="840" w:right="891" w:firstLine="419"/>
      </w:pPr>
      <w:r>
        <w:rPr>
          <w:spacing w:val="-24"/>
        </w:rPr>
        <w:t>自 </w:t>
      </w:r>
      <w:r>
        <w:rPr>
          <w:rFonts w:ascii="Times New Roman" w:eastAsia="Times New Roman"/>
        </w:rPr>
        <w:t>2016</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6"/>
        </w:rPr>
        <w:t> </w:t>
      </w:r>
      <w:r>
        <w:rPr>
          <w:spacing w:val="-25"/>
        </w:rPr>
        <w:t>月 </w:t>
      </w:r>
      <w:r>
        <w:rPr>
          <w:rFonts w:ascii="Times New Roman" w:eastAsia="Times New Roman"/>
        </w:rPr>
        <w:t>28</w:t>
      </w:r>
      <w:r>
        <w:rPr>
          <w:rFonts w:ascii="Times New Roman" w:eastAsia="Times New Roman"/>
          <w:spacing w:val="7"/>
        </w:rPr>
        <w:t> </w:t>
      </w:r>
      <w:r>
        <w:rPr>
          <w:spacing w:val="-8"/>
        </w:rPr>
        <w:t>日起投资者可通过国美基金办理定期定额业务，具体办理程序遵循国</w:t>
      </w:r>
      <w:r>
        <w:rPr>
          <w:spacing w:val="-5"/>
        </w:rPr>
        <w:t>美基金的规定。</w:t>
      </w:r>
    </w:p>
    <w:p>
      <w:pPr>
        <w:pStyle w:val="BodyText"/>
        <w:spacing w:line="417" w:lineRule="auto"/>
        <w:ind w:left="840" w:right="891" w:firstLine="419"/>
      </w:pPr>
      <w:r>
        <w:rPr>
          <w:spacing w:val="-23"/>
        </w:rPr>
        <w:t>自 </w:t>
      </w:r>
      <w:r>
        <w:rPr>
          <w:rFonts w:ascii="Times New Roman" w:eastAsia="Times New Roman"/>
        </w:rPr>
        <w:t>2016 </w:t>
      </w:r>
      <w:r>
        <w:rPr>
          <w:spacing w:val="-22"/>
        </w:rPr>
        <w:t>年 </w:t>
      </w:r>
      <w:r>
        <w:rPr>
          <w:rFonts w:ascii="Times New Roman" w:eastAsia="Times New Roman"/>
        </w:rPr>
        <w:t>10 </w:t>
      </w:r>
      <w:r>
        <w:rPr>
          <w:spacing w:val="-23"/>
        </w:rPr>
        <w:t>月 </w:t>
      </w:r>
      <w:r>
        <w:rPr>
          <w:rFonts w:ascii="Times New Roman" w:eastAsia="Times New Roman"/>
        </w:rPr>
        <w:t>13 </w:t>
      </w:r>
      <w:r>
        <w:rPr>
          <w:spacing w:val="-3"/>
        </w:rPr>
        <w:t>日起投资者可通过蛋卷基金办理定期定额业务，具体办理程序遵循蛋卷基金的规定。</w:t>
      </w:r>
    </w:p>
    <w:p>
      <w:pPr>
        <w:spacing w:after="0" w:line="417" w:lineRule="auto"/>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1" w:firstLine="419"/>
      </w:pPr>
      <w:r>
        <w:rPr>
          <w:spacing w:val="-22"/>
        </w:rPr>
        <w:t>自 </w:t>
      </w:r>
      <w:r>
        <w:rPr>
          <w:rFonts w:ascii="Times New Roman" w:eastAsia="Times New Roman"/>
        </w:rPr>
        <w:t>2016 </w:t>
      </w:r>
      <w:r>
        <w:rPr>
          <w:spacing w:val="-23"/>
        </w:rPr>
        <w:t>年 </w:t>
      </w:r>
      <w:r>
        <w:rPr>
          <w:rFonts w:ascii="Times New Roman" w:eastAsia="Times New Roman"/>
          <w:spacing w:val="-4"/>
        </w:rPr>
        <w:t>11 </w:t>
      </w:r>
      <w:r>
        <w:rPr>
          <w:spacing w:val="-24"/>
        </w:rPr>
        <w:t>月 </w:t>
      </w:r>
      <w:r>
        <w:rPr>
          <w:rFonts w:ascii="Times New Roman" w:eastAsia="Times New Roman"/>
        </w:rPr>
        <w:t>23 </w:t>
      </w:r>
      <w:r>
        <w:rPr>
          <w:spacing w:val="-3"/>
        </w:rPr>
        <w:t>日起投资者可通过凤凰金信办理定期定额业务，具体办理程序遵循凤凰金信的规定。</w:t>
      </w:r>
    </w:p>
    <w:p>
      <w:pPr>
        <w:pStyle w:val="BodyText"/>
        <w:spacing w:line="417" w:lineRule="auto"/>
        <w:ind w:left="840" w:right="891" w:firstLine="419"/>
      </w:pPr>
      <w:r>
        <w:rPr>
          <w:spacing w:val="-24"/>
        </w:rPr>
        <w:t>自 </w:t>
      </w:r>
      <w:r>
        <w:rPr>
          <w:rFonts w:ascii="Times New Roman" w:eastAsia="Times New Roman"/>
        </w:rPr>
        <w:t>2016 </w:t>
      </w:r>
      <w:r>
        <w:rPr>
          <w:spacing w:val="-24"/>
        </w:rPr>
        <w:t>年 </w:t>
      </w:r>
      <w:r>
        <w:rPr>
          <w:rFonts w:ascii="Times New Roman" w:eastAsia="Times New Roman"/>
        </w:rPr>
        <w:t>12 </w:t>
      </w:r>
      <w:r>
        <w:rPr>
          <w:spacing w:val="-24"/>
        </w:rPr>
        <w:t>月 </w:t>
      </w:r>
      <w:r>
        <w:rPr>
          <w:rFonts w:ascii="Times New Roman" w:eastAsia="Times New Roman"/>
        </w:rPr>
        <w:t>9 </w:t>
      </w:r>
      <w:r>
        <w:rPr>
          <w:spacing w:val="-8"/>
        </w:rPr>
        <w:t>日起投资者可通过联泰资产办理定期定额业务，具体办理程序遵循联</w:t>
      </w:r>
      <w:r>
        <w:rPr>
          <w:spacing w:val="-5"/>
        </w:rPr>
        <w:t>泰资产的规定。</w:t>
      </w:r>
    </w:p>
    <w:p>
      <w:pPr>
        <w:pStyle w:val="BodyText"/>
        <w:spacing w:line="417" w:lineRule="auto"/>
        <w:ind w:left="840" w:right="891" w:firstLine="419"/>
      </w:pPr>
      <w:r>
        <w:rPr>
          <w:spacing w:val="-23"/>
        </w:rPr>
        <w:t>自 </w:t>
      </w:r>
      <w:r>
        <w:rPr>
          <w:rFonts w:ascii="Times New Roman" w:eastAsia="Times New Roman"/>
        </w:rPr>
        <w:t>2016 </w:t>
      </w:r>
      <w:r>
        <w:rPr>
          <w:spacing w:val="-22"/>
        </w:rPr>
        <w:t>年 </w:t>
      </w:r>
      <w:r>
        <w:rPr>
          <w:rFonts w:ascii="Times New Roman" w:eastAsia="Times New Roman"/>
        </w:rPr>
        <w:t>12 </w:t>
      </w:r>
      <w:r>
        <w:rPr>
          <w:spacing w:val="-23"/>
        </w:rPr>
        <w:t>月 </w:t>
      </w:r>
      <w:r>
        <w:rPr>
          <w:rFonts w:ascii="Times New Roman" w:eastAsia="Times New Roman"/>
        </w:rPr>
        <w:t>22 </w:t>
      </w:r>
      <w:r>
        <w:rPr>
          <w:spacing w:val="-3"/>
        </w:rPr>
        <w:t>日起投资者可通过微动利办理定期定额业务，具体办理程序遵循微动利的规定。</w:t>
      </w:r>
    </w:p>
    <w:p>
      <w:pPr>
        <w:pStyle w:val="BodyText"/>
        <w:spacing w:line="417" w:lineRule="auto"/>
        <w:ind w:left="840" w:right="891" w:firstLine="419"/>
      </w:pPr>
      <w:r>
        <w:rPr>
          <w:spacing w:val="-23"/>
        </w:rPr>
        <w:t>自 </w:t>
      </w:r>
      <w:r>
        <w:rPr>
          <w:rFonts w:ascii="Times New Roman" w:eastAsia="Times New Roman"/>
        </w:rPr>
        <w:t>2016 </w:t>
      </w:r>
      <w:r>
        <w:rPr>
          <w:spacing w:val="-22"/>
        </w:rPr>
        <w:t>年 </w:t>
      </w:r>
      <w:r>
        <w:rPr>
          <w:rFonts w:ascii="Times New Roman" w:eastAsia="Times New Roman"/>
        </w:rPr>
        <w:t>12 </w:t>
      </w:r>
      <w:r>
        <w:rPr>
          <w:spacing w:val="-23"/>
        </w:rPr>
        <w:t>月 </w:t>
      </w:r>
      <w:r>
        <w:rPr>
          <w:rFonts w:ascii="Times New Roman" w:eastAsia="Times New Roman"/>
        </w:rPr>
        <w:t>29 </w:t>
      </w:r>
      <w:r>
        <w:rPr>
          <w:spacing w:val="-3"/>
        </w:rPr>
        <w:t>日起投资者可通过格上富信办理定期定额业务，具体办理程序遵循格上富信的规定。</w:t>
      </w:r>
    </w:p>
    <w:p>
      <w:pPr>
        <w:pStyle w:val="BodyText"/>
        <w:spacing w:line="417" w:lineRule="auto"/>
        <w:ind w:left="840" w:right="891" w:firstLine="419"/>
      </w:pPr>
      <w:r>
        <w:rPr>
          <w:spacing w:val="-24"/>
        </w:rPr>
        <w:t>自 </w:t>
      </w:r>
      <w:r>
        <w:rPr>
          <w:rFonts w:ascii="Times New Roman" w:eastAsia="Times New Roman"/>
        </w:rPr>
        <w:t>2017 </w:t>
      </w:r>
      <w:r>
        <w:rPr>
          <w:spacing w:val="-24"/>
        </w:rPr>
        <w:t>年 </w:t>
      </w:r>
      <w:r>
        <w:rPr>
          <w:rFonts w:ascii="Times New Roman" w:eastAsia="Times New Roman"/>
        </w:rPr>
        <w:t>1 </w:t>
      </w:r>
      <w:r>
        <w:rPr>
          <w:spacing w:val="-25"/>
        </w:rPr>
        <w:t>月 </w:t>
      </w:r>
      <w:r>
        <w:rPr>
          <w:rFonts w:ascii="Times New Roman" w:eastAsia="Times New Roman"/>
        </w:rPr>
        <w:t>20 </w:t>
      </w:r>
      <w:r>
        <w:rPr>
          <w:spacing w:val="-8"/>
        </w:rPr>
        <w:t>日起投资者可通过肯特瑞财富办理定期定额业务，具体办理程序遵循</w:t>
      </w:r>
      <w:r>
        <w:rPr>
          <w:spacing w:val="-5"/>
        </w:rPr>
        <w:t>肯特瑞财富的规定。</w:t>
      </w:r>
    </w:p>
    <w:p>
      <w:pPr>
        <w:pStyle w:val="BodyText"/>
        <w:spacing w:line="417" w:lineRule="auto"/>
        <w:ind w:left="840" w:right="891"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3</w:t>
      </w:r>
      <w:r>
        <w:rPr>
          <w:rFonts w:ascii="Times New Roman" w:eastAsia="Times New Roman"/>
          <w:spacing w:val="6"/>
        </w:rPr>
        <w:t> </w:t>
      </w:r>
      <w:r>
        <w:rPr>
          <w:spacing w:val="-25"/>
        </w:rPr>
        <w:t>月 </w:t>
      </w:r>
      <w:r>
        <w:rPr>
          <w:rFonts w:ascii="Times New Roman" w:eastAsia="Times New Roman"/>
        </w:rPr>
        <w:t>10</w:t>
      </w:r>
      <w:r>
        <w:rPr>
          <w:rFonts w:ascii="Times New Roman" w:eastAsia="Times New Roman"/>
          <w:spacing w:val="7"/>
        </w:rPr>
        <w:t> </w:t>
      </w:r>
      <w:r>
        <w:rPr>
          <w:spacing w:val="-8"/>
        </w:rPr>
        <w:t>日起投资者可通过好买基金办理定期定额业务，具体办理程序遵循好</w:t>
      </w:r>
      <w:r>
        <w:rPr>
          <w:spacing w:val="-5"/>
        </w:rPr>
        <w:t>买基金的规定。</w:t>
      </w:r>
    </w:p>
    <w:p>
      <w:pPr>
        <w:pStyle w:val="BodyText"/>
        <w:spacing w:line="417" w:lineRule="auto"/>
        <w:ind w:left="840" w:right="891"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3</w:t>
      </w:r>
      <w:r>
        <w:rPr>
          <w:rFonts w:ascii="Times New Roman" w:eastAsia="Times New Roman"/>
          <w:spacing w:val="6"/>
        </w:rPr>
        <w:t> </w:t>
      </w:r>
      <w:r>
        <w:rPr>
          <w:spacing w:val="-25"/>
        </w:rPr>
        <w:t>月 </w:t>
      </w:r>
      <w:r>
        <w:rPr>
          <w:rFonts w:ascii="Times New Roman" w:eastAsia="Times New Roman"/>
        </w:rPr>
        <w:t>22</w:t>
      </w:r>
      <w:r>
        <w:rPr>
          <w:rFonts w:ascii="Times New Roman" w:eastAsia="Times New Roman"/>
          <w:spacing w:val="7"/>
        </w:rPr>
        <w:t> </w:t>
      </w:r>
      <w:r>
        <w:rPr>
          <w:spacing w:val="-8"/>
        </w:rPr>
        <w:t>日起投资者可通过泛华普益办理定期定额业务，具体办理程序遵循泛</w:t>
      </w:r>
      <w:r>
        <w:rPr>
          <w:spacing w:val="-5"/>
        </w:rPr>
        <w:t>华普益的规定。</w:t>
      </w:r>
    </w:p>
    <w:p>
      <w:pPr>
        <w:pStyle w:val="BodyText"/>
        <w:spacing w:line="417" w:lineRule="auto"/>
        <w:ind w:left="840" w:right="891"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17</w:t>
      </w:r>
      <w:r>
        <w:rPr>
          <w:rFonts w:ascii="Times New Roman" w:eastAsia="Times New Roman"/>
          <w:spacing w:val="7"/>
        </w:rPr>
        <w:t> </w:t>
      </w:r>
      <w:r>
        <w:rPr>
          <w:spacing w:val="-8"/>
        </w:rPr>
        <w:t>日起投资者可通过云湾投资办理定期定额业务，具体办理程序遵循云</w:t>
      </w:r>
      <w:r>
        <w:rPr>
          <w:spacing w:val="-5"/>
        </w:rPr>
        <w:t>湾投资的规定。</w:t>
      </w:r>
    </w:p>
    <w:p>
      <w:pPr>
        <w:pStyle w:val="BodyText"/>
        <w:spacing w:line="417" w:lineRule="auto"/>
        <w:ind w:left="840" w:right="891"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17</w:t>
      </w:r>
      <w:r>
        <w:rPr>
          <w:rFonts w:ascii="Times New Roman" w:eastAsia="Times New Roman"/>
          <w:spacing w:val="7"/>
        </w:rPr>
        <w:t> </w:t>
      </w:r>
      <w:r>
        <w:rPr>
          <w:spacing w:val="-8"/>
        </w:rPr>
        <w:t>日起投资者可通过中银国际办理定期定额业务，具体办理程序遵循中</w:t>
      </w:r>
      <w:r>
        <w:rPr>
          <w:spacing w:val="-5"/>
        </w:rPr>
        <w:t>银国际的规定。</w:t>
      </w:r>
    </w:p>
    <w:p>
      <w:pPr>
        <w:pStyle w:val="BodyText"/>
        <w:spacing w:line="417" w:lineRule="auto"/>
        <w:ind w:left="840" w:right="891"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21</w:t>
      </w:r>
      <w:r>
        <w:rPr>
          <w:rFonts w:ascii="Times New Roman" w:eastAsia="Times New Roman"/>
          <w:spacing w:val="7"/>
        </w:rPr>
        <w:t> </w:t>
      </w:r>
      <w:r>
        <w:rPr>
          <w:spacing w:val="-8"/>
        </w:rPr>
        <w:t>日起投资者可通过挖财金融办理定期定额业务，具体办理程序遵循挖</w:t>
      </w:r>
      <w:r>
        <w:rPr>
          <w:spacing w:val="-5"/>
        </w:rPr>
        <w:t>财金融的规定。</w:t>
      </w:r>
    </w:p>
    <w:p>
      <w:pPr>
        <w:pStyle w:val="BodyText"/>
        <w:spacing w:line="417" w:lineRule="auto"/>
        <w:ind w:left="840" w:right="891" w:firstLine="419"/>
      </w:pPr>
      <w:r>
        <w:rPr>
          <w:spacing w:val="-24"/>
        </w:rPr>
        <w:t>自 </w:t>
      </w:r>
      <w:r>
        <w:rPr>
          <w:rFonts w:ascii="Times New Roman" w:eastAsia="Times New Roman"/>
        </w:rPr>
        <w:t>2017 </w:t>
      </w:r>
      <w:r>
        <w:rPr>
          <w:spacing w:val="-24"/>
        </w:rPr>
        <w:t>年 </w:t>
      </w:r>
      <w:r>
        <w:rPr>
          <w:rFonts w:ascii="Times New Roman" w:eastAsia="Times New Roman"/>
        </w:rPr>
        <w:t>4 </w:t>
      </w:r>
      <w:r>
        <w:rPr>
          <w:spacing w:val="-25"/>
        </w:rPr>
        <w:t>月 </w:t>
      </w:r>
      <w:r>
        <w:rPr>
          <w:rFonts w:ascii="Times New Roman" w:eastAsia="Times New Roman"/>
        </w:rPr>
        <w:t>27 </w:t>
      </w:r>
      <w:r>
        <w:rPr>
          <w:spacing w:val="-8"/>
        </w:rPr>
        <w:t>日起投资者可通过江南农商行办理定期定额业务，具体办理程序遵循</w:t>
      </w:r>
      <w:r>
        <w:rPr>
          <w:spacing w:val="-5"/>
        </w:rPr>
        <w:t>江南农商行的规定。</w:t>
      </w:r>
    </w:p>
    <w:p>
      <w:pPr>
        <w:pStyle w:val="BodyText"/>
        <w:spacing w:line="417" w:lineRule="auto"/>
        <w:ind w:left="840" w:right="893"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5</w:t>
      </w:r>
      <w:r>
        <w:rPr>
          <w:rFonts w:ascii="Times New Roman" w:eastAsia="Times New Roman"/>
          <w:spacing w:val="6"/>
        </w:rPr>
        <w:t> </w:t>
      </w:r>
      <w:r>
        <w:rPr>
          <w:spacing w:val="-25"/>
        </w:rPr>
        <w:t>月 </w:t>
      </w:r>
      <w:r>
        <w:rPr>
          <w:rFonts w:ascii="Times New Roman" w:eastAsia="Times New Roman"/>
          <w:spacing w:val="-4"/>
        </w:rPr>
        <w:t>11</w:t>
      </w:r>
      <w:r>
        <w:rPr>
          <w:rFonts w:ascii="Times New Roman" w:eastAsia="Times New Roman"/>
          <w:spacing w:val="5"/>
        </w:rPr>
        <w:t> </w:t>
      </w:r>
      <w:r>
        <w:rPr>
          <w:spacing w:val="-8"/>
        </w:rPr>
        <w:t>日起投资者可通过秋实财富办理定期定额业务，具体办理程序遵循秋</w:t>
      </w:r>
      <w:r>
        <w:rPr>
          <w:spacing w:val="-5"/>
        </w:rPr>
        <w:t>实财富的规定。</w:t>
      </w:r>
    </w:p>
    <w:p>
      <w:pPr>
        <w:pStyle w:val="BodyText"/>
        <w:spacing w:line="417" w:lineRule="auto"/>
        <w:ind w:left="840" w:right="891" w:firstLine="419"/>
      </w:pPr>
      <w:r>
        <w:rPr>
          <w:spacing w:val="-23"/>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6"/>
        </w:rPr>
        <w:t> </w:t>
      </w:r>
      <w:r>
        <w:rPr>
          <w:spacing w:val="-22"/>
        </w:rPr>
        <w:t>月 </w:t>
      </w:r>
      <w:r>
        <w:rPr>
          <w:rFonts w:ascii="Times New Roman" w:eastAsia="Times New Roman"/>
        </w:rPr>
        <w:t>2</w:t>
      </w:r>
      <w:r>
        <w:rPr>
          <w:rFonts w:ascii="Times New Roman" w:eastAsia="Times New Roman"/>
          <w:spacing w:val="6"/>
        </w:rPr>
        <w:t> </w:t>
      </w:r>
      <w:r>
        <w:rPr>
          <w:spacing w:val="-3"/>
        </w:rPr>
        <w:t>日起投资者可通过大河财富办理定期定额业务，具体办理程序遵循大河财富的规定。</w:t>
      </w:r>
    </w:p>
    <w:p>
      <w:pPr>
        <w:pStyle w:val="BodyText"/>
        <w:spacing w:line="417" w:lineRule="auto"/>
        <w:ind w:left="840" w:right="891"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16</w:t>
      </w:r>
      <w:r>
        <w:rPr>
          <w:rFonts w:ascii="Times New Roman" w:eastAsia="Times New Roman"/>
          <w:spacing w:val="7"/>
        </w:rPr>
        <w:t> </w:t>
      </w:r>
      <w:r>
        <w:rPr>
          <w:spacing w:val="-8"/>
        </w:rPr>
        <w:t>日起投资者可通过华夏财富办理定期定额业务，具体办理程序遵循华</w:t>
      </w:r>
      <w:r>
        <w:rPr>
          <w:spacing w:val="-5"/>
        </w:rPr>
        <w:t>夏财富的规定。</w:t>
      </w:r>
    </w:p>
    <w:p>
      <w:pPr>
        <w:pStyle w:val="BodyText"/>
        <w:spacing w:line="417" w:lineRule="auto"/>
        <w:ind w:left="840" w:right="891"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22</w:t>
      </w:r>
      <w:r>
        <w:rPr>
          <w:rFonts w:ascii="Times New Roman" w:eastAsia="Times New Roman"/>
          <w:spacing w:val="7"/>
        </w:rPr>
        <w:t> </w:t>
      </w:r>
      <w:r>
        <w:rPr>
          <w:spacing w:val="-8"/>
        </w:rPr>
        <w:t>日起投资者可通过恒丰银行办理定期定额业务，具体办理程序遵循恒</w:t>
      </w:r>
      <w:r>
        <w:rPr>
          <w:spacing w:val="-5"/>
        </w:rPr>
        <w:t>丰银行的规定。</w:t>
      </w:r>
    </w:p>
    <w:p>
      <w:pPr>
        <w:spacing w:after="0" w:line="417" w:lineRule="auto"/>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3" w:firstLine="419"/>
      </w:pPr>
      <w:r>
        <w:rPr>
          <w:spacing w:val="-24"/>
        </w:rPr>
        <w:t>自 </w:t>
      </w:r>
      <w:r>
        <w:rPr>
          <w:rFonts w:ascii="Times New Roman" w:eastAsia="Times New Roman"/>
        </w:rPr>
        <w:t>2017 </w:t>
      </w:r>
      <w:r>
        <w:rPr>
          <w:spacing w:val="-25"/>
        </w:rPr>
        <w:t>年 </w:t>
      </w:r>
      <w:r>
        <w:rPr>
          <w:rFonts w:ascii="Times New Roman" w:eastAsia="Times New Roman"/>
        </w:rPr>
        <w:t>8 </w:t>
      </w:r>
      <w:r>
        <w:rPr>
          <w:spacing w:val="-25"/>
        </w:rPr>
        <w:t>月 </w:t>
      </w:r>
      <w:r>
        <w:rPr>
          <w:rFonts w:ascii="Times New Roman" w:eastAsia="Times New Roman"/>
        </w:rPr>
        <w:t>25 </w:t>
      </w:r>
      <w:r>
        <w:rPr>
          <w:spacing w:val="-8"/>
        </w:rPr>
        <w:t>日起投资者可通过大智慧办理定期定额业务，具体办理程序遵循大智</w:t>
      </w:r>
      <w:r>
        <w:rPr>
          <w:spacing w:val="-1"/>
        </w:rPr>
        <w:t>慧的规定。</w:t>
      </w:r>
    </w:p>
    <w:p>
      <w:pPr>
        <w:pStyle w:val="BodyText"/>
        <w:spacing w:line="417" w:lineRule="auto"/>
        <w:ind w:left="840" w:right="891" w:firstLine="419"/>
      </w:pPr>
      <w:r>
        <w:rPr>
          <w:spacing w:val="-24"/>
        </w:rPr>
        <w:t>自 </w:t>
      </w:r>
      <w:r>
        <w:rPr>
          <w:rFonts w:ascii="Times New Roman" w:eastAsia="Times New Roman"/>
        </w:rPr>
        <w:t>2017 </w:t>
      </w:r>
      <w:r>
        <w:rPr>
          <w:spacing w:val="-24"/>
        </w:rPr>
        <w:t>年 </w:t>
      </w:r>
      <w:r>
        <w:rPr>
          <w:rFonts w:ascii="Times New Roman" w:eastAsia="Times New Roman"/>
        </w:rPr>
        <w:t>9 </w:t>
      </w:r>
      <w:r>
        <w:rPr>
          <w:spacing w:val="-25"/>
        </w:rPr>
        <w:t>月 </w:t>
      </w:r>
      <w:r>
        <w:rPr>
          <w:rFonts w:ascii="Times New Roman" w:eastAsia="Times New Roman"/>
        </w:rPr>
        <w:t>18 </w:t>
      </w:r>
      <w:r>
        <w:rPr>
          <w:spacing w:val="-8"/>
        </w:rPr>
        <w:t>日起投资者可通过东莞证券办理定期定额业务，具体办理程序遵循东</w:t>
      </w:r>
      <w:r>
        <w:rPr>
          <w:spacing w:val="-5"/>
        </w:rPr>
        <w:t>莞证券的规定。</w:t>
      </w:r>
    </w:p>
    <w:p>
      <w:pPr>
        <w:pStyle w:val="BodyText"/>
        <w:spacing w:line="417" w:lineRule="auto"/>
        <w:ind w:left="840" w:right="891" w:firstLine="419"/>
      </w:pPr>
      <w:r>
        <w:rPr>
          <w:spacing w:val="-22"/>
        </w:rPr>
        <w:t>自 </w:t>
      </w:r>
      <w:r>
        <w:rPr>
          <w:rFonts w:ascii="Times New Roman" w:eastAsia="Times New Roman"/>
        </w:rPr>
        <w:t>2017 </w:t>
      </w:r>
      <w:r>
        <w:rPr>
          <w:spacing w:val="-23"/>
        </w:rPr>
        <w:t>年 </w:t>
      </w:r>
      <w:r>
        <w:rPr>
          <w:rFonts w:ascii="Times New Roman" w:eastAsia="Times New Roman"/>
        </w:rPr>
        <w:t>10 </w:t>
      </w:r>
      <w:r>
        <w:rPr>
          <w:spacing w:val="-24"/>
        </w:rPr>
        <w:t>月 </w:t>
      </w:r>
      <w:r>
        <w:rPr>
          <w:rFonts w:ascii="Times New Roman" w:eastAsia="Times New Roman"/>
          <w:spacing w:val="-4"/>
        </w:rPr>
        <w:t>11 </w:t>
      </w:r>
      <w:r>
        <w:rPr>
          <w:spacing w:val="-3"/>
        </w:rPr>
        <w:t>日起投资者可通过电盈基金办理定期定额业务，具体办理程序遵循电盈基金的规定。</w:t>
      </w:r>
    </w:p>
    <w:p>
      <w:pPr>
        <w:pStyle w:val="BodyText"/>
        <w:spacing w:line="417" w:lineRule="auto"/>
        <w:ind w:left="840" w:right="893" w:firstLine="419"/>
      </w:pPr>
      <w:r>
        <w:rPr>
          <w:spacing w:val="-24"/>
        </w:rPr>
        <w:t>自 </w:t>
      </w:r>
      <w:r>
        <w:rPr>
          <w:rFonts w:ascii="Times New Roman" w:eastAsia="Times New Roman"/>
        </w:rPr>
        <w:t>2017 </w:t>
      </w:r>
      <w:r>
        <w:rPr>
          <w:spacing w:val="-24"/>
        </w:rPr>
        <w:t>年 </w:t>
      </w:r>
      <w:r>
        <w:rPr>
          <w:rFonts w:ascii="Times New Roman" w:eastAsia="Times New Roman"/>
          <w:spacing w:val="-4"/>
        </w:rPr>
        <w:t>11 </w:t>
      </w:r>
      <w:r>
        <w:rPr>
          <w:spacing w:val="-24"/>
        </w:rPr>
        <w:t>月 </w:t>
      </w:r>
      <w:r>
        <w:rPr>
          <w:rFonts w:ascii="Times New Roman" w:eastAsia="Times New Roman"/>
        </w:rPr>
        <w:t>3 </w:t>
      </w:r>
      <w:r>
        <w:rPr>
          <w:spacing w:val="-8"/>
        </w:rPr>
        <w:t>日起投资者可通过喜鹊财富办理定期定额业务，具体办理程序遵循喜</w:t>
      </w:r>
      <w:r>
        <w:rPr>
          <w:spacing w:val="-5"/>
        </w:rPr>
        <w:t>鹊财富的规定。</w:t>
      </w:r>
    </w:p>
    <w:p>
      <w:pPr>
        <w:pStyle w:val="BodyText"/>
        <w:spacing w:line="417" w:lineRule="auto"/>
        <w:ind w:left="840" w:right="891" w:firstLine="419"/>
      </w:pPr>
      <w:r>
        <w:rPr>
          <w:spacing w:val="-22"/>
        </w:rPr>
        <w:t>自 </w:t>
      </w:r>
      <w:r>
        <w:rPr>
          <w:rFonts w:ascii="Times New Roman" w:eastAsia="Times New Roman"/>
        </w:rPr>
        <w:t>2017 </w:t>
      </w:r>
      <w:r>
        <w:rPr>
          <w:spacing w:val="-23"/>
        </w:rPr>
        <w:t>年 </w:t>
      </w:r>
      <w:r>
        <w:rPr>
          <w:rFonts w:ascii="Times New Roman" w:eastAsia="Times New Roman"/>
          <w:spacing w:val="-4"/>
        </w:rPr>
        <w:t>11 </w:t>
      </w:r>
      <w:r>
        <w:rPr>
          <w:spacing w:val="-24"/>
        </w:rPr>
        <w:t>月 </w:t>
      </w:r>
      <w:r>
        <w:rPr>
          <w:rFonts w:ascii="Times New Roman" w:eastAsia="Times New Roman"/>
        </w:rPr>
        <w:t>17 </w:t>
      </w:r>
      <w:r>
        <w:rPr>
          <w:spacing w:val="-3"/>
        </w:rPr>
        <w:t>日起投资者可通过济安财富办理定期定额业务，具体办理程序遵循济安财富的规定。</w:t>
      </w:r>
    </w:p>
    <w:p>
      <w:pPr>
        <w:pStyle w:val="BodyText"/>
        <w:spacing w:line="417" w:lineRule="auto"/>
        <w:ind w:left="840" w:right="891" w:firstLine="419"/>
      </w:pPr>
      <w:r>
        <w:rPr>
          <w:spacing w:val="-24"/>
        </w:rPr>
        <w:t>自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12</w:t>
      </w:r>
      <w:r>
        <w:rPr>
          <w:rFonts w:ascii="Times New Roman" w:eastAsia="Times New Roman"/>
          <w:spacing w:val="3"/>
        </w:rPr>
        <w:t> </w:t>
      </w:r>
      <w:r>
        <w:rPr>
          <w:spacing w:val="-24"/>
        </w:rPr>
        <w:t>月 </w:t>
      </w:r>
      <w:r>
        <w:rPr>
          <w:rFonts w:ascii="Times New Roman" w:eastAsia="Times New Roman"/>
        </w:rPr>
        <w:t>8</w:t>
      </w:r>
      <w:r>
        <w:rPr>
          <w:rFonts w:ascii="Times New Roman" w:eastAsia="Times New Roman"/>
          <w:spacing w:val="7"/>
        </w:rPr>
        <w:t> </w:t>
      </w:r>
      <w:r>
        <w:rPr>
          <w:spacing w:val="-8"/>
        </w:rPr>
        <w:t>日起投资者可通过华信期货办理定期定额业务，具体办理程序遵循华</w:t>
      </w:r>
      <w:r>
        <w:rPr>
          <w:spacing w:val="-5"/>
        </w:rPr>
        <w:t>信期货的规定。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1</w:t>
      </w:r>
      <w:r>
        <w:rPr>
          <w:rFonts w:ascii="Times New Roman" w:eastAsia="Times New Roman"/>
          <w:spacing w:val="6"/>
        </w:rPr>
        <w:t> </w:t>
      </w:r>
      <w:r>
        <w:rPr>
          <w:spacing w:val="-25"/>
        </w:rPr>
        <w:t>月 </w:t>
      </w:r>
      <w:r>
        <w:rPr>
          <w:rFonts w:ascii="Times New Roman" w:eastAsia="Times New Roman"/>
        </w:rPr>
        <w:t>22</w:t>
      </w:r>
      <w:r>
        <w:rPr>
          <w:rFonts w:ascii="Times New Roman" w:eastAsia="Times New Roman"/>
          <w:spacing w:val="7"/>
        </w:rPr>
        <w:t> </w:t>
      </w:r>
      <w:r>
        <w:rPr>
          <w:spacing w:val="-8"/>
        </w:rPr>
        <w:t>日起投资者可通过洪泰财富办理定期定额业务，具体办理程序遵循洪</w:t>
      </w:r>
      <w:r>
        <w:rPr>
          <w:spacing w:val="-5"/>
        </w:rPr>
        <w:t>泰财富的规定。</w:t>
      </w:r>
    </w:p>
    <w:p>
      <w:pPr>
        <w:pStyle w:val="BodyText"/>
        <w:spacing w:line="417" w:lineRule="auto"/>
        <w:ind w:left="840" w:right="891" w:firstLine="419"/>
      </w:pPr>
      <w:r>
        <w:rPr>
          <w:spacing w:val="-23"/>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2</w:t>
      </w:r>
      <w:r>
        <w:rPr>
          <w:rFonts w:ascii="Times New Roman" w:eastAsia="Times New Roman"/>
          <w:spacing w:val="6"/>
        </w:rPr>
        <w:t> </w:t>
      </w:r>
      <w:r>
        <w:rPr>
          <w:spacing w:val="-22"/>
        </w:rPr>
        <w:t>月 </w:t>
      </w:r>
      <w:r>
        <w:rPr>
          <w:rFonts w:ascii="Times New Roman" w:eastAsia="Times New Roman"/>
        </w:rPr>
        <w:t>7</w:t>
      </w:r>
      <w:r>
        <w:rPr>
          <w:rFonts w:ascii="Times New Roman" w:eastAsia="Times New Roman"/>
          <w:spacing w:val="6"/>
        </w:rPr>
        <w:t> </w:t>
      </w:r>
      <w:r>
        <w:rPr>
          <w:spacing w:val="-3"/>
        </w:rPr>
        <w:t>日起投资者可通过兴业银行办理定期定额业务，具体办理程序遵循兴业银行的规定。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2</w:t>
      </w:r>
      <w:r>
        <w:rPr>
          <w:rFonts w:ascii="Times New Roman" w:eastAsia="Times New Roman"/>
          <w:spacing w:val="6"/>
        </w:rPr>
        <w:t> </w:t>
      </w:r>
      <w:r>
        <w:rPr>
          <w:spacing w:val="-25"/>
        </w:rPr>
        <w:t>月 </w:t>
      </w:r>
      <w:r>
        <w:rPr>
          <w:rFonts w:ascii="Times New Roman" w:eastAsia="Times New Roman"/>
        </w:rPr>
        <w:t>28</w:t>
      </w:r>
      <w:r>
        <w:rPr>
          <w:rFonts w:ascii="Times New Roman" w:eastAsia="Times New Roman"/>
          <w:spacing w:val="7"/>
        </w:rPr>
        <w:t> </w:t>
      </w:r>
      <w:r>
        <w:rPr>
          <w:spacing w:val="-8"/>
        </w:rPr>
        <w:t>日起投资者可通过有鱼基金办理定期定额业务，具体办理程序遵循有</w:t>
      </w:r>
      <w:r>
        <w:rPr>
          <w:spacing w:val="-5"/>
        </w:rPr>
        <w:t>鱼基金的规定。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3</w:t>
      </w:r>
      <w:r>
        <w:rPr>
          <w:rFonts w:ascii="Times New Roman" w:eastAsia="Times New Roman"/>
          <w:spacing w:val="6"/>
        </w:rPr>
        <w:t> </w:t>
      </w:r>
      <w:r>
        <w:rPr>
          <w:spacing w:val="-25"/>
        </w:rPr>
        <w:t>月 </w:t>
      </w:r>
      <w:r>
        <w:rPr>
          <w:rFonts w:ascii="Times New Roman" w:eastAsia="Times New Roman"/>
        </w:rPr>
        <w:t>30</w:t>
      </w:r>
      <w:r>
        <w:rPr>
          <w:rFonts w:ascii="Times New Roman" w:eastAsia="Times New Roman"/>
          <w:spacing w:val="7"/>
        </w:rPr>
        <w:t> </w:t>
      </w:r>
      <w:r>
        <w:rPr>
          <w:spacing w:val="-8"/>
        </w:rPr>
        <w:t>日起投资者可通过西部证券办理定期定额业务，具体办理程序遵循西</w:t>
      </w:r>
      <w:r>
        <w:rPr>
          <w:spacing w:val="-5"/>
        </w:rPr>
        <w:t>部证券的规定。</w:t>
      </w:r>
    </w:p>
    <w:p>
      <w:pPr>
        <w:pStyle w:val="BodyText"/>
        <w:spacing w:line="417" w:lineRule="auto"/>
        <w:ind w:left="840" w:right="893"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spacing w:val="-4"/>
        </w:rPr>
        <w:t>11</w:t>
      </w:r>
      <w:r>
        <w:rPr>
          <w:rFonts w:ascii="Times New Roman" w:eastAsia="Times New Roman"/>
          <w:spacing w:val="5"/>
        </w:rPr>
        <w:t> </w:t>
      </w:r>
      <w:r>
        <w:rPr>
          <w:spacing w:val="-8"/>
        </w:rPr>
        <w:t>日起投资者可通过盈信基金办理定期定额业务，具体办理程序遵循盈</w:t>
      </w:r>
      <w:r>
        <w:rPr>
          <w:spacing w:val="-5"/>
        </w:rPr>
        <w:t>信基金的规定。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19</w:t>
      </w:r>
      <w:r>
        <w:rPr>
          <w:rFonts w:ascii="Times New Roman" w:eastAsia="Times New Roman"/>
          <w:spacing w:val="7"/>
        </w:rPr>
        <w:t> </w:t>
      </w:r>
      <w:r>
        <w:rPr>
          <w:spacing w:val="-8"/>
        </w:rPr>
        <w:t>日起投资者可通过华福证券办理定期定额业务，具体办理程序遵循华</w:t>
      </w:r>
      <w:r>
        <w:rPr>
          <w:spacing w:val="-5"/>
        </w:rPr>
        <w:t>福证券的规定。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23</w:t>
      </w:r>
      <w:r>
        <w:rPr>
          <w:rFonts w:ascii="Times New Roman" w:eastAsia="Times New Roman"/>
          <w:spacing w:val="7"/>
        </w:rPr>
        <w:t> </w:t>
      </w:r>
      <w:r>
        <w:rPr>
          <w:spacing w:val="-8"/>
        </w:rPr>
        <w:t>日起投资者可通过钜派钰茂办理定期定额业务，具体办理程序遵循钜</w:t>
      </w:r>
      <w:r>
        <w:rPr>
          <w:spacing w:val="-5"/>
        </w:rPr>
        <w:t>派钰茂的规定。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25</w:t>
      </w:r>
      <w:r>
        <w:rPr>
          <w:rFonts w:ascii="Times New Roman" w:eastAsia="Times New Roman"/>
          <w:spacing w:val="7"/>
        </w:rPr>
        <w:t> </w:t>
      </w:r>
      <w:r>
        <w:rPr>
          <w:spacing w:val="-8"/>
        </w:rPr>
        <w:t>日起投资者可通过财通证券办理定期定额业务，具体办理程序遵循财</w:t>
      </w:r>
      <w:r>
        <w:rPr>
          <w:spacing w:val="-5"/>
        </w:rPr>
        <w:t>通证券的规定。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6"/>
        </w:rPr>
        <w:t> </w:t>
      </w:r>
      <w:r>
        <w:rPr>
          <w:spacing w:val="-25"/>
        </w:rPr>
        <w:t>月 </w:t>
      </w:r>
      <w:r>
        <w:rPr>
          <w:rFonts w:ascii="Times New Roman" w:eastAsia="Times New Roman"/>
        </w:rPr>
        <w:t>27</w:t>
      </w:r>
      <w:r>
        <w:rPr>
          <w:rFonts w:ascii="Times New Roman" w:eastAsia="Times New Roman"/>
          <w:spacing w:val="7"/>
        </w:rPr>
        <w:t> </w:t>
      </w:r>
      <w:r>
        <w:rPr>
          <w:spacing w:val="-8"/>
        </w:rPr>
        <w:t>日起投资者可通过华鑫证券办理定期定额业务，具体办理程序遵循华</w:t>
      </w:r>
      <w:r>
        <w:rPr>
          <w:spacing w:val="-5"/>
        </w:rPr>
        <w:t>鑫证券的规定。</w:t>
      </w:r>
    </w:p>
    <w:p>
      <w:pPr>
        <w:spacing w:after="0" w:line="417" w:lineRule="auto"/>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3" w:firstLine="419"/>
      </w:pPr>
      <w:r>
        <w:rPr>
          <w:spacing w:val="-22"/>
        </w:rPr>
        <w:t>自 </w:t>
      </w:r>
      <w:r>
        <w:rPr>
          <w:rFonts w:ascii="Times New Roman" w:eastAsia="Times New Roman"/>
        </w:rPr>
        <w:t>2018 </w:t>
      </w:r>
      <w:r>
        <w:rPr>
          <w:spacing w:val="-24"/>
        </w:rPr>
        <w:t>年 </w:t>
      </w:r>
      <w:r>
        <w:rPr>
          <w:rFonts w:ascii="Times New Roman" w:eastAsia="Times New Roman"/>
        </w:rPr>
        <w:t>5 </w:t>
      </w:r>
      <w:r>
        <w:rPr>
          <w:spacing w:val="-22"/>
        </w:rPr>
        <w:t>月 </w:t>
      </w:r>
      <w:r>
        <w:rPr>
          <w:rFonts w:ascii="Times New Roman" w:eastAsia="Times New Roman"/>
        </w:rPr>
        <w:t>3 </w:t>
      </w:r>
      <w:r>
        <w:rPr>
          <w:spacing w:val="-3"/>
        </w:rPr>
        <w:t>日起投资者可通过钱滚滚办理定期定额业务，具体办理程序遵循钱滚</w:t>
      </w:r>
      <w:r>
        <w:rPr>
          <w:spacing w:val="-1"/>
        </w:rPr>
        <w:t>滚的规定。</w:t>
      </w:r>
    </w:p>
    <w:p>
      <w:pPr>
        <w:pStyle w:val="BodyText"/>
        <w:spacing w:line="417" w:lineRule="auto"/>
        <w:ind w:left="840" w:right="891" w:firstLine="419"/>
      </w:pPr>
      <w:r>
        <w:rPr>
          <w:spacing w:val="-24"/>
        </w:rPr>
        <w:t>自 </w:t>
      </w:r>
      <w:r>
        <w:rPr>
          <w:rFonts w:ascii="Times New Roman" w:eastAsia="Times New Roman"/>
        </w:rPr>
        <w:t>2018 </w:t>
      </w:r>
      <w:r>
        <w:rPr>
          <w:spacing w:val="-24"/>
        </w:rPr>
        <w:t>年 </w:t>
      </w:r>
      <w:r>
        <w:rPr>
          <w:rFonts w:ascii="Times New Roman" w:eastAsia="Times New Roman"/>
        </w:rPr>
        <w:t>5 </w:t>
      </w:r>
      <w:r>
        <w:rPr>
          <w:spacing w:val="-25"/>
        </w:rPr>
        <w:t>月 </w:t>
      </w:r>
      <w:r>
        <w:rPr>
          <w:rFonts w:ascii="Times New Roman" w:eastAsia="Times New Roman"/>
        </w:rPr>
        <w:t>23 </w:t>
      </w:r>
      <w:r>
        <w:rPr>
          <w:spacing w:val="-7"/>
        </w:rPr>
        <w:t>日起投资者可通过四川天府银行办理定期定额业务，具体办理程序遵</w:t>
      </w:r>
      <w:r>
        <w:rPr>
          <w:spacing w:val="-5"/>
        </w:rPr>
        <w:t>循四川天府银行的规定。</w:t>
      </w:r>
    </w:p>
    <w:p>
      <w:pPr>
        <w:pStyle w:val="BodyText"/>
        <w:spacing w:line="417" w:lineRule="auto"/>
        <w:ind w:left="840" w:right="893" w:firstLine="419"/>
      </w:pPr>
      <w:r>
        <w:rPr>
          <w:spacing w:val="-24"/>
        </w:rPr>
        <w:t>自 </w:t>
      </w:r>
      <w:r>
        <w:rPr>
          <w:rFonts w:ascii="Times New Roman" w:eastAsia="Times New Roman"/>
        </w:rPr>
        <w:t>2018 </w:t>
      </w:r>
      <w:r>
        <w:rPr>
          <w:spacing w:val="-25"/>
        </w:rPr>
        <w:t>年 </w:t>
      </w:r>
      <w:r>
        <w:rPr>
          <w:rFonts w:ascii="Times New Roman" w:eastAsia="Times New Roman"/>
        </w:rPr>
        <w:t>5 </w:t>
      </w:r>
      <w:r>
        <w:rPr>
          <w:spacing w:val="-25"/>
        </w:rPr>
        <w:t>月 </w:t>
      </w:r>
      <w:r>
        <w:rPr>
          <w:rFonts w:ascii="Times New Roman" w:eastAsia="Times New Roman"/>
        </w:rPr>
        <w:t>31 </w:t>
      </w:r>
      <w:r>
        <w:rPr>
          <w:spacing w:val="-8"/>
        </w:rPr>
        <w:t>日起投资者可通国信嘉利办理定期定额业务，具体办理程序遵循国信</w:t>
      </w:r>
      <w:r>
        <w:rPr>
          <w:spacing w:val="-2"/>
        </w:rPr>
        <w:t>嘉利的规定。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20</w:t>
      </w:r>
      <w:r>
        <w:rPr>
          <w:rFonts w:ascii="Times New Roman" w:eastAsia="Times New Roman"/>
          <w:spacing w:val="7"/>
        </w:rPr>
        <w:t> </w:t>
      </w:r>
      <w:r>
        <w:rPr>
          <w:spacing w:val="-8"/>
        </w:rPr>
        <w:t>日起投资者可通过民商基金办理定期定额业务，具体办理程序遵循民</w:t>
      </w:r>
      <w:r>
        <w:rPr>
          <w:spacing w:val="-5"/>
        </w:rPr>
        <w:t>商基金的规定。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12</w:t>
      </w:r>
      <w:r>
        <w:rPr>
          <w:rFonts w:ascii="Times New Roman" w:eastAsia="Times New Roman"/>
          <w:spacing w:val="7"/>
        </w:rPr>
        <w:t> </w:t>
      </w:r>
      <w:r>
        <w:rPr>
          <w:spacing w:val="-8"/>
        </w:rPr>
        <w:t>日起投资者可通过广州证券办理定期定额业务，具体办理程序遵循广</w:t>
      </w:r>
      <w:r>
        <w:rPr>
          <w:spacing w:val="-5"/>
        </w:rPr>
        <w:t>州证券的规定。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7</w:t>
      </w:r>
      <w:r>
        <w:rPr>
          <w:rFonts w:ascii="Times New Roman" w:eastAsia="Times New Roman"/>
          <w:spacing w:val="6"/>
        </w:rPr>
        <w:t> </w:t>
      </w:r>
      <w:r>
        <w:rPr>
          <w:spacing w:val="-25"/>
        </w:rPr>
        <w:t>月 </w:t>
      </w:r>
      <w:r>
        <w:rPr>
          <w:rFonts w:ascii="Times New Roman" w:eastAsia="Times New Roman"/>
        </w:rPr>
        <w:t>23</w:t>
      </w:r>
      <w:r>
        <w:rPr>
          <w:rFonts w:ascii="Times New Roman" w:eastAsia="Times New Roman"/>
          <w:spacing w:val="7"/>
        </w:rPr>
        <w:t> </w:t>
      </w:r>
      <w:r>
        <w:rPr>
          <w:spacing w:val="-8"/>
        </w:rPr>
        <w:t>日起投资者可通过南京银行办理定期定额业务，具体办理程序遵循南</w:t>
      </w:r>
      <w:r>
        <w:rPr>
          <w:spacing w:val="-5"/>
        </w:rPr>
        <w:t>京银行的规定。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14</w:t>
      </w:r>
      <w:r>
        <w:rPr>
          <w:rFonts w:ascii="Times New Roman" w:eastAsia="Times New Roman"/>
          <w:spacing w:val="7"/>
        </w:rPr>
        <w:t> </w:t>
      </w:r>
      <w:r>
        <w:rPr>
          <w:spacing w:val="-8"/>
        </w:rPr>
        <w:t>日起投资者可通过上海银行办理定期定额业务，具体办理程序遵循上</w:t>
      </w:r>
      <w:r>
        <w:rPr>
          <w:spacing w:val="-5"/>
        </w:rPr>
        <w:t>海银行的规定。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15</w:t>
      </w:r>
      <w:r>
        <w:rPr>
          <w:rFonts w:ascii="Times New Roman" w:eastAsia="Times New Roman"/>
          <w:spacing w:val="7"/>
        </w:rPr>
        <w:t> </w:t>
      </w:r>
      <w:r>
        <w:rPr>
          <w:spacing w:val="-8"/>
        </w:rPr>
        <w:t>日起投资者可通过国金证券办理定期定额业务，具体办理程序遵循国</w:t>
      </w:r>
      <w:r>
        <w:rPr>
          <w:spacing w:val="-5"/>
        </w:rPr>
        <w:t>金证券的规定。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17</w:t>
      </w:r>
      <w:r>
        <w:rPr>
          <w:rFonts w:ascii="Times New Roman" w:eastAsia="Times New Roman"/>
          <w:spacing w:val="7"/>
        </w:rPr>
        <w:t> </w:t>
      </w:r>
      <w:r>
        <w:rPr>
          <w:spacing w:val="-8"/>
        </w:rPr>
        <w:t>日起投资者可通过微众银行办理定期定额业务，具体办理程序遵循微</w:t>
      </w:r>
      <w:r>
        <w:rPr>
          <w:spacing w:val="-5"/>
        </w:rPr>
        <w:t>众银行的规定。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30</w:t>
      </w:r>
      <w:r>
        <w:rPr>
          <w:rFonts w:ascii="Times New Roman" w:eastAsia="Times New Roman"/>
          <w:spacing w:val="7"/>
        </w:rPr>
        <w:t> </w:t>
      </w:r>
      <w:r>
        <w:rPr>
          <w:spacing w:val="-8"/>
        </w:rPr>
        <w:t>日起投资者可通过中金公司办理定期定额业务，具体办理程序遵循中</w:t>
      </w:r>
      <w:r>
        <w:rPr>
          <w:spacing w:val="-5"/>
        </w:rPr>
        <w:t>金公司的规定。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8</w:t>
      </w:r>
      <w:r>
        <w:rPr>
          <w:rFonts w:ascii="Times New Roman" w:eastAsia="Times New Roman"/>
          <w:spacing w:val="6"/>
        </w:rPr>
        <w:t> </w:t>
      </w:r>
      <w:r>
        <w:rPr>
          <w:spacing w:val="-25"/>
        </w:rPr>
        <w:t>月 </w:t>
      </w:r>
      <w:r>
        <w:rPr>
          <w:rFonts w:ascii="Times New Roman" w:eastAsia="Times New Roman"/>
        </w:rPr>
        <w:t>31</w:t>
      </w:r>
      <w:r>
        <w:rPr>
          <w:rFonts w:ascii="Times New Roman" w:eastAsia="Times New Roman"/>
          <w:spacing w:val="7"/>
        </w:rPr>
        <w:t> </w:t>
      </w:r>
      <w:r>
        <w:rPr>
          <w:spacing w:val="-8"/>
        </w:rPr>
        <w:t>日起投资者可通过江苏银行办理定期定额业务，具体办理程序遵循江</w:t>
      </w:r>
      <w:r>
        <w:rPr>
          <w:spacing w:val="-5"/>
        </w:rPr>
        <w:t>苏银行的规定。</w:t>
      </w:r>
    </w:p>
    <w:p>
      <w:pPr>
        <w:pStyle w:val="BodyText"/>
        <w:spacing w:line="417" w:lineRule="auto"/>
        <w:ind w:left="840" w:right="891" w:firstLine="419"/>
      </w:pPr>
      <w:r>
        <w:rPr>
          <w:spacing w:val="-24"/>
        </w:rPr>
        <w:t>自 </w:t>
      </w:r>
      <w:r>
        <w:rPr>
          <w:rFonts w:ascii="Times New Roman" w:eastAsia="Times New Roman"/>
        </w:rPr>
        <w:t>2018</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6"/>
        </w:rPr>
        <w:t> </w:t>
      </w:r>
      <w:r>
        <w:rPr>
          <w:spacing w:val="-25"/>
        </w:rPr>
        <w:t>月 </w:t>
      </w:r>
      <w:r>
        <w:rPr>
          <w:rFonts w:ascii="Times New Roman" w:eastAsia="Times New Roman"/>
        </w:rPr>
        <w:t>10</w:t>
      </w:r>
      <w:r>
        <w:rPr>
          <w:rFonts w:ascii="Times New Roman" w:eastAsia="Times New Roman"/>
          <w:spacing w:val="7"/>
        </w:rPr>
        <w:t> </w:t>
      </w:r>
      <w:r>
        <w:rPr>
          <w:spacing w:val="-8"/>
        </w:rPr>
        <w:t>日起投资者可通过东海证券办理定期定额业务，具体办理程序遵循东</w:t>
      </w:r>
      <w:r>
        <w:rPr>
          <w:spacing w:val="-5"/>
        </w:rPr>
        <w:t>海证券的规定。</w:t>
      </w:r>
    </w:p>
    <w:p>
      <w:pPr>
        <w:pStyle w:val="BodyText"/>
        <w:spacing w:line="417" w:lineRule="auto"/>
        <w:ind w:left="840" w:right="891" w:firstLine="419"/>
      </w:pPr>
      <w:r>
        <w:rPr>
          <w:spacing w:val="-23"/>
        </w:rPr>
        <w:t>自 </w:t>
      </w:r>
      <w:r>
        <w:rPr>
          <w:rFonts w:ascii="Times New Roman" w:eastAsia="Times New Roman"/>
        </w:rPr>
        <w:t>2018</w:t>
      </w:r>
      <w:r>
        <w:rPr>
          <w:rFonts w:ascii="Times New Roman" w:eastAsia="Times New Roman"/>
          <w:spacing w:val="5"/>
        </w:rPr>
        <w:t> </w:t>
      </w:r>
      <w:r>
        <w:rPr>
          <w:spacing w:val="-22"/>
        </w:rPr>
        <w:t>年 </w:t>
      </w:r>
      <w:r>
        <w:rPr>
          <w:rFonts w:ascii="Times New Roman" w:eastAsia="Times New Roman"/>
        </w:rPr>
        <w:t>10</w:t>
      </w:r>
      <w:r>
        <w:rPr>
          <w:rFonts w:ascii="Times New Roman" w:eastAsia="Times New Roman"/>
          <w:spacing w:val="5"/>
        </w:rPr>
        <w:t> </w:t>
      </w:r>
      <w:r>
        <w:rPr>
          <w:spacing w:val="-23"/>
        </w:rPr>
        <w:t>月 </w:t>
      </w:r>
      <w:r>
        <w:rPr>
          <w:rFonts w:ascii="Times New Roman" w:eastAsia="Times New Roman"/>
        </w:rPr>
        <w:t>12</w:t>
      </w:r>
      <w:r>
        <w:rPr>
          <w:rFonts w:ascii="Times New Roman" w:eastAsia="Times New Roman"/>
          <w:spacing w:val="9"/>
        </w:rPr>
        <w:t> </w:t>
      </w:r>
      <w:r>
        <w:rPr>
          <w:spacing w:val="-3"/>
        </w:rPr>
        <w:t>日起投资者可通过九江银行办理定期定额业务，具体办理程序遵循九江银行的规定。</w:t>
      </w:r>
    </w:p>
    <w:p>
      <w:pPr>
        <w:pStyle w:val="BodyText"/>
        <w:spacing w:line="417" w:lineRule="auto"/>
        <w:ind w:left="840" w:right="891" w:firstLine="419"/>
      </w:pPr>
      <w:r>
        <w:rPr>
          <w:spacing w:val="-23"/>
        </w:rPr>
        <w:t>自 </w:t>
      </w:r>
      <w:r>
        <w:rPr>
          <w:rFonts w:ascii="Times New Roman" w:eastAsia="Times New Roman"/>
        </w:rPr>
        <w:t>2018</w:t>
      </w:r>
      <w:r>
        <w:rPr>
          <w:rFonts w:ascii="Times New Roman" w:eastAsia="Times New Roman"/>
          <w:spacing w:val="5"/>
        </w:rPr>
        <w:t> </w:t>
      </w:r>
      <w:r>
        <w:rPr>
          <w:spacing w:val="-22"/>
        </w:rPr>
        <w:t>年 </w:t>
      </w:r>
      <w:r>
        <w:rPr>
          <w:rFonts w:ascii="Times New Roman" w:eastAsia="Times New Roman"/>
        </w:rPr>
        <w:t>12</w:t>
      </w:r>
      <w:r>
        <w:rPr>
          <w:rFonts w:ascii="Times New Roman" w:eastAsia="Times New Roman"/>
          <w:spacing w:val="5"/>
        </w:rPr>
        <w:t> </w:t>
      </w:r>
      <w:r>
        <w:rPr>
          <w:spacing w:val="-23"/>
        </w:rPr>
        <w:t>月 </w:t>
      </w:r>
      <w:r>
        <w:rPr>
          <w:rFonts w:ascii="Times New Roman" w:eastAsia="Times New Roman"/>
        </w:rPr>
        <w:t>18</w:t>
      </w:r>
      <w:r>
        <w:rPr>
          <w:rFonts w:ascii="Times New Roman" w:eastAsia="Times New Roman"/>
          <w:spacing w:val="9"/>
        </w:rPr>
        <w:t> </w:t>
      </w:r>
      <w:r>
        <w:rPr>
          <w:spacing w:val="-3"/>
        </w:rPr>
        <w:t>日起投资者可通过百度百盈办理定期定额业务，具体办理程序遵循百度百盈的规定。</w:t>
      </w:r>
    </w:p>
    <w:p>
      <w:pPr>
        <w:pStyle w:val="BodyText"/>
        <w:spacing w:line="417" w:lineRule="auto"/>
        <w:ind w:left="840" w:right="891" w:firstLine="419"/>
      </w:pPr>
      <w:r>
        <w:rPr>
          <w:spacing w:val="-24"/>
        </w:rPr>
        <w:t>自 </w:t>
      </w:r>
      <w:r>
        <w:rPr>
          <w:rFonts w:ascii="Times New Roman" w:eastAsia="Times New Roman"/>
        </w:rPr>
        <w:t>2019 </w:t>
      </w:r>
      <w:r>
        <w:rPr>
          <w:spacing w:val="-25"/>
        </w:rPr>
        <w:t>年 </w:t>
      </w:r>
      <w:r>
        <w:rPr>
          <w:rFonts w:ascii="Times New Roman" w:eastAsia="Times New Roman"/>
        </w:rPr>
        <w:t>3 </w:t>
      </w:r>
      <w:r>
        <w:rPr>
          <w:spacing w:val="-25"/>
        </w:rPr>
        <w:t>月 </w:t>
      </w:r>
      <w:r>
        <w:rPr>
          <w:rFonts w:ascii="Times New Roman" w:eastAsia="Times New Roman"/>
        </w:rPr>
        <w:t>27 </w:t>
      </w:r>
      <w:r>
        <w:rPr>
          <w:spacing w:val="-8"/>
        </w:rPr>
        <w:t>日起投资者可通过方正证券办理定期定额业务，具体办理程序遵循方</w:t>
      </w:r>
      <w:r>
        <w:rPr>
          <w:spacing w:val="-5"/>
        </w:rPr>
        <w:t>正证券的规定。</w:t>
      </w:r>
    </w:p>
    <w:p>
      <w:pPr>
        <w:spacing w:after="0" w:line="417" w:lineRule="auto"/>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1" w:firstLine="419"/>
      </w:pPr>
      <w:r>
        <w:rPr>
          <w:spacing w:val="-24"/>
        </w:rPr>
        <w:t>自 </w:t>
      </w:r>
      <w:r>
        <w:rPr>
          <w:rFonts w:ascii="Times New Roman" w:eastAsia="Times New Roman"/>
        </w:rPr>
        <w:t>2019 </w:t>
      </w:r>
      <w:r>
        <w:rPr>
          <w:spacing w:val="-24"/>
        </w:rPr>
        <w:t>年 </w:t>
      </w:r>
      <w:r>
        <w:rPr>
          <w:rFonts w:ascii="Times New Roman" w:eastAsia="Times New Roman"/>
        </w:rPr>
        <w:t>3 </w:t>
      </w:r>
      <w:r>
        <w:rPr>
          <w:spacing w:val="-25"/>
        </w:rPr>
        <w:t>月 </w:t>
      </w:r>
      <w:r>
        <w:rPr>
          <w:rFonts w:ascii="Times New Roman" w:eastAsia="Times New Roman"/>
        </w:rPr>
        <w:t>27 </w:t>
      </w:r>
      <w:r>
        <w:rPr>
          <w:spacing w:val="-7"/>
        </w:rPr>
        <w:t>日起投资者可通过中国民族证券办理定期定额业务，具体办理程序遵</w:t>
      </w:r>
      <w:r>
        <w:rPr>
          <w:spacing w:val="-5"/>
        </w:rPr>
        <w:t>循中国民族证券的规定。</w:t>
      </w:r>
    </w:p>
    <w:p>
      <w:pPr>
        <w:pStyle w:val="BodyText"/>
        <w:spacing w:line="417" w:lineRule="auto"/>
        <w:ind w:left="840" w:right="891" w:firstLine="419"/>
      </w:pPr>
      <w:r>
        <w:rPr>
          <w:spacing w:val="-23"/>
        </w:rPr>
        <w:t>自 </w:t>
      </w:r>
      <w:r>
        <w:rPr>
          <w:rFonts w:ascii="Times New Roman" w:eastAsia="Times New Roman"/>
        </w:rPr>
        <w:t>2019</w:t>
      </w:r>
      <w:r>
        <w:rPr>
          <w:rFonts w:ascii="Times New Roman" w:eastAsia="Times New Roman"/>
          <w:spacing w:val="6"/>
        </w:rPr>
        <w:t> </w:t>
      </w:r>
      <w:r>
        <w:rPr>
          <w:spacing w:val="-24"/>
        </w:rPr>
        <w:t>年 </w:t>
      </w:r>
      <w:r>
        <w:rPr>
          <w:rFonts w:ascii="Times New Roman" w:eastAsia="Times New Roman"/>
        </w:rPr>
        <w:t>4</w:t>
      </w:r>
      <w:r>
        <w:rPr>
          <w:rFonts w:ascii="Times New Roman" w:eastAsia="Times New Roman"/>
          <w:spacing w:val="5"/>
        </w:rPr>
        <w:t> </w:t>
      </w:r>
      <w:r>
        <w:rPr>
          <w:spacing w:val="-22"/>
        </w:rPr>
        <w:t>月 </w:t>
      </w:r>
      <w:r>
        <w:rPr>
          <w:rFonts w:ascii="Times New Roman" w:eastAsia="Times New Roman"/>
        </w:rPr>
        <w:t>4</w:t>
      </w:r>
      <w:r>
        <w:rPr>
          <w:rFonts w:ascii="Times New Roman" w:eastAsia="Times New Roman"/>
          <w:spacing w:val="5"/>
        </w:rPr>
        <w:t> </w:t>
      </w:r>
      <w:r>
        <w:rPr>
          <w:spacing w:val="-3"/>
        </w:rPr>
        <w:t>日起投资者可通过玄元保险办理定期定额业务，具体办理程序遵循玄元保险的规定。</w:t>
      </w:r>
    </w:p>
    <w:p>
      <w:pPr>
        <w:pStyle w:val="BodyText"/>
        <w:spacing w:line="417" w:lineRule="auto"/>
        <w:ind w:left="840" w:right="891" w:firstLine="419"/>
      </w:pPr>
      <w:r>
        <w:rPr>
          <w:spacing w:val="-24"/>
        </w:rPr>
        <w:t>自 </w:t>
      </w:r>
      <w:r>
        <w:rPr>
          <w:rFonts w:ascii="Times New Roman" w:eastAsia="Times New Roman"/>
        </w:rPr>
        <w:t>2019</w:t>
      </w:r>
      <w:r>
        <w:rPr>
          <w:rFonts w:ascii="Times New Roman" w:eastAsia="Times New Roman"/>
          <w:spacing w:val="6"/>
        </w:rPr>
        <w:t> </w:t>
      </w:r>
      <w:r>
        <w:rPr>
          <w:spacing w:val="-24"/>
        </w:rPr>
        <w:t>年 </w:t>
      </w:r>
      <w:r>
        <w:rPr>
          <w:rFonts w:ascii="Times New Roman" w:eastAsia="Times New Roman"/>
        </w:rPr>
        <w:t>6</w:t>
      </w:r>
      <w:r>
        <w:rPr>
          <w:rFonts w:ascii="Times New Roman" w:eastAsia="Times New Roman"/>
          <w:spacing w:val="6"/>
        </w:rPr>
        <w:t> </w:t>
      </w:r>
      <w:r>
        <w:rPr>
          <w:spacing w:val="-25"/>
        </w:rPr>
        <w:t>月 </w:t>
      </w:r>
      <w:r>
        <w:rPr>
          <w:rFonts w:ascii="Times New Roman" w:eastAsia="Times New Roman"/>
        </w:rPr>
        <w:t>18</w:t>
      </w:r>
      <w:r>
        <w:rPr>
          <w:rFonts w:ascii="Times New Roman" w:eastAsia="Times New Roman"/>
          <w:spacing w:val="7"/>
        </w:rPr>
        <w:t> </w:t>
      </w:r>
      <w:r>
        <w:rPr>
          <w:spacing w:val="-8"/>
        </w:rPr>
        <w:t>日起投资者可通过东亚银行办理定期定额业务，具体办理程序遵循东</w:t>
      </w:r>
      <w:r>
        <w:rPr>
          <w:spacing w:val="-5"/>
        </w:rPr>
        <w:t>亚银行的规定。</w:t>
      </w:r>
    </w:p>
    <w:p>
      <w:pPr>
        <w:pStyle w:val="BodyText"/>
        <w:spacing w:line="417" w:lineRule="auto"/>
        <w:ind w:left="840" w:right="891" w:firstLine="419"/>
      </w:pPr>
      <w:r>
        <w:rPr>
          <w:spacing w:val="-23"/>
        </w:rPr>
        <w:t>自 </w:t>
      </w:r>
      <w:r>
        <w:rPr>
          <w:rFonts w:ascii="Times New Roman" w:eastAsia="Times New Roman"/>
        </w:rPr>
        <w:t>2019</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5"/>
        </w:rPr>
        <w:t> </w:t>
      </w:r>
      <w:r>
        <w:rPr>
          <w:spacing w:val="-22"/>
        </w:rPr>
        <w:t>月 </w:t>
      </w:r>
      <w:r>
        <w:rPr>
          <w:rFonts w:ascii="Times New Roman" w:eastAsia="Times New Roman"/>
        </w:rPr>
        <w:t>3</w:t>
      </w:r>
      <w:r>
        <w:rPr>
          <w:rFonts w:ascii="Times New Roman" w:eastAsia="Times New Roman"/>
          <w:spacing w:val="5"/>
        </w:rPr>
        <w:t> </w:t>
      </w:r>
      <w:r>
        <w:rPr>
          <w:spacing w:val="-3"/>
        </w:rPr>
        <w:t>日起投资者可通过宁波银行办理定期定额业务，具体办理程序遵循宁波银行的规定。</w:t>
      </w:r>
    </w:p>
    <w:p>
      <w:pPr>
        <w:pStyle w:val="BodyText"/>
        <w:spacing w:line="417" w:lineRule="auto"/>
        <w:ind w:left="840" w:right="891" w:firstLine="419"/>
      </w:pPr>
      <w:r>
        <w:rPr>
          <w:spacing w:val="-23"/>
        </w:rPr>
        <w:t>自 </w:t>
      </w:r>
      <w:r>
        <w:rPr>
          <w:rFonts w:ascii="Times New Roman" w:eastAsia="Times New Roman"/>
        </w:rPr>
        <w:t>2019</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5"/>
        </w:rPr>
        <w:t> </w:t>
      </w:r>
      <w:r>
        <w:rPr>
          <w:spacing w:val="-22"/>
        </w:rPr>
        <w:t>月 </w:t>
      </w:r>
      <w:r>
        <w:rPr>
          <w:rFonts w:ascii="Times New Roman" w:eastAsia="Times New Roman"/>
        </w:rPr>
        <w:t>5</w:t>
      </w:r>
      <w:r>
        <w:rPr>
          <w:rFonts w:ascii="Times New Roman" w:eastAsia="Times New Roman"/>
          <w:spacing w:val="5"/>
        </w:rPr>
        <w:t> </w:t>
      </w:r>
      <w:r>
        <w:rPr>
          <w:spacing w:val="-3"/>
        </w:rPr>
        <w:t>日起投资者可通过嘉实财富办理定期定额业务，具体办理程序遵循嘉实财富的规定。</w:t>
      </w:r>
    </w:p>
    <w:p>
      <w:pPr>
        <w:pStyle w:val="BodyText"/>
        <w:spacing w:line="417" w:lineRule="auto"/>
        <w:ind w:left="840" w:right="891" w:firstLine="419"/>
      </w:pPr>
      <w:r>
        <w:rPr>
          <w:spacing w:val="-24"/>
        </w:rPr>
        <w:t>自 </w:t>
      </w:r>
      <w:r>
        <w:rPr>
          <w:rFonts w:ascii="Times New Roman" w:eastAsia="Times New Roman"/>
        </w:rPr>
        <w:t>2019</w:t>
      </w:r>
      <w:r>
        <w:rPr>
          <w:rFonts w:ascii="Times New Roman" w:eastAsia="Times New Roman"/>
          <w:spacing w:val="6"/>
        </w:rPr>
        <w:t> </w:t>
      </w:r>
      <w:r>
        <w:rPr>
          <w:spacing w:val="-24"/>
        </w:rPr>
        <w:t>年 </w:t>
      </w:r>
      <w:r>
        <w:rPr>
          <w:rFonts w:ascii="Times New Roman" w:eastAsia="Times New Roman"/>
        </w:rPr>
        <w:t>9</w:t>
      </w:r>
      <w:r>
        <w:rPr>
          <w:rFonts w:ascii="Times New Roman" w:eastAsia="Times New Roman"/>
          <w:spacing w:val="6"/>
        </w:rPr>
        <w:t> </w:t>
      </w:r>
      <w:r>
        <w:rPr>
          <w:spacing w:val="-25"/>
        </w:rPr>
        <w:t>月 </w:t>
      </w:r>
      <w:r>
        <w:rPr>
          <w:rFonts w:ascii="Times New Roman" w:eastAsia="Times New Roman"/>
        </w:rPr>
        <w:t>12</w:t>
      </w:r>
      <w:r>
        <w:rPr>
          <w:rFonts w:ascii="Times New Roman" w:eastAsia="Times New Roman"/>
          <w:spacing w:val="7"/>
        </w:rPr>
        <w:t> </w:t>
      </w:r>
      <w:r>
        <w:rPr>
          <w:spacing w:val="-8"/>
        </w:rPr>
        <w:t>日起投资者可通过联储证券办理定期定额业务，具体办理程序遵循联</w:t>
      </w:r>
      <w:r>
        <w:rPr>
          <w:spacing w:val="-5"/>
        </w:rPr>
        <w:t>储证券的规定。</w:t>
      </w:r>
    </w:p>
    <w:p>
      <w:pPr>
        <w:pStyle w:val="BodyText"/>
        <w:spacing w:line="417" w:lineRule="auto"/>
        <w:ind w:left="840" w:right="893" w:firstLine="419"/>
      </w:pPr>
      <w:r>
        <w:rPr>
          <w:spacing w:val="-24"/>
        </w:rPr>
        <w:t>自 </w:t>
      </w:r>
      <w:r>
        <w:rPr>
          <w:rFonts w:ascii="Times New Roman" w:eastAsia="Times New Roman"/>
        </w:rPr>
        <w:t>2019</w:t>
      </w:r>
      <w:r>
        <w:rPr>
          <w:rFonts w:ascii="Times New Roman" w:eastAsia="Times New Roman"/>
          <w:spacing w:val="6"/>
        </w:rPr>
        <w:t> </w:t>
      </w:r>
      <w:r>
        <w:rPr>
          <w:spacing w:val="-24"/>
        </w:rPr>
        <w:t>年 </w:t>
      </w:r>
      <w:r>
        <w:rPr>
          <w:rFonts w:ascii="Times New Roman" w:eastAsia="Times New Roman"/>
          <w:spacing w:val="-4"/>
        </w:rPr>
        <w:t>11</w:t>
      </w:r>
      <w:r>
        <w:rPr>
          <w:rFonts w:ascii="Times New Roman" w:eastAsia="Times New Roman"/>
          <w:spacing w:val="3"/>
        </w:rPr>
        <w:t> </w:t>
      </w:r>
      <w:r>
        <w:rPr>
          <w:spacing w:val="-24"/>
        </w:rPr>
        <w:t>月 </w:t>
      </w:r>
      <w:r>
        <w:rPr>
          <w:rFonts w:ascii="Times New Roman" w:eastAsia="Times New Roman"/>
        </w:rPr>
        <w:t>1</w:t>
      </w:r>
      <w:r>
        <w:rPr>
          <w:rFonts w:ascii="Times New Roman" w:eastAsia="Times New Roman"/>
          <w:spacing w:val="5"/>
        </w:rPr>
        <w:t> </w:t>
      </w:r>
      <w:r>
        <w:rPr>
          <w:spacing w:val="-8"/>
        </w:rPr>
        <w:t>日起投资者可通过中国人寿办理定期定额业务，具体办理程序遵循中</w:t>
      </w:r>
      <w:r>
        <w:rPr>
          <w:spacing w:val="-5"/>
        </w:rPr>
        <w:t>国人寿的规定。</w:t>
      </w:r>
    </w:p>
    <w:p>
      <w:pPr>
        <w:pStyle w:val="BodyText"/>
        <w:spacing w:line="417" w:lineRule="auto"/>
        <w:ind w:left="840" w:right="891" w:firstLine="419"/>
      </w:pPr>
      <w:r>
        <w:rPr>
          <w:spacing w:val="-23"/>
        </w:rPr>
        <w:t>自 </w:t>
      </w:r>
      <w:r>
        <w:rPr>
          <w:rFonts w:ascii="Times New Roman" w:eastAsia="Times New Roman"/>
        </w:rPr>
        <w:t>2019 </w:t>
      </w:r>
      <w:r>
        <w:rPr>
          <w:spacing w:val="-23"/>
        </w:rPr>
        <w:t>年 </w:t>
      </w:r>
      <w:r>
        <w:rPr>
          <w:rFonts w:ascii="Times New Roman" w:eastAsia="Times New Roman"/>
        </w:rPr>
        <w:t>12 </w:t>
      </w:r>
      <w:r>
        <w:rPr>
          <w:spacing w:val="-23"/>
        </w:rPr>
        <w:t>月 </w:t>
      </w:r>
      <w:r>
        <w:rPr>
          <w:rFonts w:ascii="Times New Roman" w:eastAsia="Times New Roman"/>
        </w:rPr>
        <w:t>17 </w:t>
      </w:r>
      <w:r>
        <w:rPr>
          <w:spacing w:val="-3"/>
        </w:rPr>
        <w:t>日起投资者可通过苏州农商行办理定期定额业务，具体办理程序遵循苏州农商行的规定。</w:t>
      </w:r>
    </w:p>
    <w:p>
      <w:pPr>
        <w:pStyle w:val="BodyText"/>
        <w:spacing w:line="417" w:lineRule="auto"/>
        <w:ind w:left="840" w:right="891" w:firstLine="419"/>
      </w:pPr>
      <w:r>
        <w:rPr>
          <w:spacing w:val="-23"/>
        </w:rPr>
        <w:t>自 </w:t>
      </w:r>
      <w:r>
        <w:rPr>
          <w:rFonts w:ascii="Times New Roman" w:eastAsia="Times New Roman"/>
        </w:rPr>
        <w:t>2020</w:t>
      </w:r>
      <w:r>
        <w:rPr>
          <w:rFonts w:ascii="Times New Roman" w:eastAsia="Times New Roman"/>
          <w:spacing w:val="6"/>
        </w:rPr>
        <w:t> </w:t>
      </w:r>
      <w:r>
        <w:rPr>
          <w:spacing w:val="-24"/>
        </w:rPr>
        <w:t>年 </w:t>
      </w:r>
      <w:r>
        <w:rPr>
          <w:rFonts w:ascii="Times New Roman" w:eastAsia="Times New Roman"/>
        </w:rPr>
        <w:t>1</w:t>
      </w:r>
      <w:r>
        <w:rPr>
          <w:rFonts w:ascii="Times New Roman" w:eastAsia="Times New Roman"/>
          <w:spacing w:val="6"/>
        </w:rPr>
        <w:t> </w:t>
      </w:r>
      <w:r>
        <w:rPr>
          <w:spacing w:val="-22"/>
        </w:rPr>
        <w:t>月 </w:t>
      </w:r>
      <w:r>
        <w:rPr>
          <w:rFonts w:ascii="Times New Roman" w:eastAsia="Times New Roman"/>
        </w:rPr>
        <w:t>6</w:t>
      </w:r>
      <w:r>
        <w:rPr>
          <w:rFonts w:ascii="Times New Roman" w:eastAsia="Times New Roman"/>
          <w:spacing w:val="6"/>
        </w:rPr>
        <w:t> </w:t>
      </w:r>
      <w:r>
        <w:rPr>
          <w:spacing w:val="-3"/>
        </w:rPr>
        <w:t>日起投资者可通过中航证券办理定期定额业务，具体办理程序遵循中航证券的规定。</w:t>
      </w:r>
    </w:p>
    <w:p>
      <w:pPr>
        <w:pStyle w:val="BodyText"/>
        <w:spacing w:line="417" w:lineRule="auto"/>
        <w:ind w:left="840" w:right="891" w:firstLine="419"/>
      </w:pPr>
      <w:r>
        <w:rPr>
          <w:spacing w:val="-24"/>
        </w:rPr>
        <w:t>自 </w:t>
      </w:r>
      <w:r>
        <w:rPr>
          <w:rFonts w:ascii="Times New Roman" w:eastAsia="Times New Roman"/>
        </w:rPr>
        <w:t>2020</w:t>
      </w:r>
      <w:r>
        <w:rPr>
          <w:rFonts w:ascii="Times New Roman" w:eastAsia="Times New Roman"/>
          <w:spacing w:val="6"/>
        </w:rPr>
        <w:t> </w:t>
      </w:r>
      <w:r>
        <w:rPr>
          <w:spacing w:val="-24"/>
        </w:rPr>
        <w:t>年 </w:t>
      </w:r>
      <w:r>
        <w:rPr>
          <w:rFonts w:ascii="Times New Roman" w:eastAsia="Times New Roman"/>
        </w:rPr>
        <w:t>3</w:t>
      </w:r>
      <w:r>
        <w:rPr>
          <w:rFonts w:ascii="Times New Roman" w:eastAsia="Times New Roman"/>
          <w:spacing w:val="6"/>
        </w:rPr>
        <w:t> </w:t>
      </w:r>
      <w:r>
        <w:rPr>
          <w:spacing w:val="-25"/>
        </w:rPr>
        <w:t>月 </w:t>
      </w:r>
      <w:r>
        <w:rPr>
          <w:rFonts w:ascii="Times New Roman" w:eastAsia="Times New Roman"/>
        </w:rPr>
        <w:t>25</w:t>
      </w:r>
      <w:r>
        <w:rPr>
          <w:rFonts w:ascii="Times New Roman" w:eastAsia="Times New Roman"/>
          <w:spacing w:val="7"/>
        </w:rPr>
        <w:t> </w:t>
      </w:r>
      <w:r>
        <w:rPr>
          <w:spacing w:val="-8"/>
        </w:rPr>
        <w:t>日起投资者可通过鼎信汇金办理定期定额业务，具体办理程序遵循鼎</w:t>
      </w:r>
      <w:r>
        <w:rPr>
          <w:spacing w:val="-5"/>
        </w:rPr>
        <w:t>信汇金的规定。</w:t>
      </w:r>
    </w:p>
    <w:p>
      <w:pPr>
        <w:pStyle w:val="BodyText"/>
        <w:spacing w:line="417" w:lineRule="auto"/>
        <w:ind w:left="840" w:right="894" w:firstLine="419"/>
      </w:pPr>
      <w:r>
        <w:rPr/>
        <w:t>其他代销机构根据实际需要也将适时开通，景顺长城基金管理有限公司将及时予以公告。</w:t>
      </w:r>
    </w:p>
    <w:p>
      <w:pPr>
        <w:pStyle w:val="BodyText"/>
        <w:ind w:left="1260"/>
      </w:pPr>
      <w:r>
        <w:rPr>
          <w:rFonts w:ascii="Times New Roman" w:eastAsia="Times New Roman"/>
        </w:rPr>
        <w:t>3</w:t>
      </w:r>
      <w:r>
        <w:rPr/>
        <w:t>、定期定额投资计划适用费率</w:t>
      </w:r>
    </w:p>
    <w:p>
      <w:pPr>
        <w:pStyle w:val="BodyText"/>
        <w:spacing w:before="197"/>
        <w:ind w:left="1260"/>
      </w:pPr>
      <w:r>
        <w:rPr/>
        <w:t>如无另行公告，定期定额申购费率、赎回费率及计费方式等同于正常的申购赎回业务。</w:t>
      </w:r>
    </w:p>
    <w:p>
      <w:pPr>
        <w:pStyle w:val="BodyText"/>
        <w:rPr>
          <w:sz w:val="20"/>
        </w:rPr>
      </w:pPr>
    </w:p>
    <w:p>
      <w:pPr>
        <w:pStyle w:val="BodyText"/>
        <w:rPr>
          <w:sz w:val="20"/>
        </w:rPr>
      </w:pPr>
    </w:p>
    <w:p>
      <w:pPr>
        <w:pStyle w:val="Heading4"/>
        <w:spacing w:before="154"/>
      </w:pPr>
      <w:r>
        <w:rPr/>
        <w:t>十六、基金的冻结、解冻及质押</w:t>
      </w:r>
    </w:p>
    <w:p>
      <w:pPr>
        <w:pStyle w:val="BodyText"/>
        <w:spacing w:before="7"/>
        <w:rPr>
          <w:b/>
          <w:sz w:val="15"/>
        </w:rPr>
      </w:pPr>
    </w:p>
    <w:p>
      <w:pPr>
        <w:pStyle w:val="BodyText"/>
        <w:spacing w:line="417" w:lineRule="auto"/>
        <w:ind w:left="840" w:right="797" w:firstLine="419"/>
      </w:pPr>
      <w:r>
        <w:rPr>
          <w:spacing w:val="-6"/>
        </w:rPr>
        <w:t>基金注册登记人只受理国家有权机关依法要求的基金账户或基金份额的冻结与解冻。基</w:t>
      </w:r>
      <w:r>
        <w:rPr>
          <w:spacing w:val="-10"/>
        </w:rPr>
        <w:t>金账户或基金份额被冻结的，被冻结部分份额仍然参与基金收益分配，被冻结部分产生的权</w:t>
      </w:r>
      <w:r>
        <w:rPr>
          <w:spacing w:val="-5"/>
        </w:rPr>
        <w:t>益一并冻结。具体执行办法由《景顺长城基金管理有限公司开放式基金注册登记业务规则》约定。</w:t>
      </w:r>
    </w:p>
    <w:p>
      <w:pPr>
        <w:spacing w:after="0" w:line="417" w:lineRule="auto"/>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firstLine="419"/>
      </w:pPr>
      <w:r>
        <w:rPr>
          <w:spacing w:val="-9"/>
        </w:rPr>
        <w:t>在有关法律法规有明确规定的情况下，基金管理人将可以办理基金份额的质押或其它业</w:t>
      </w:r>
      <w:r>
        <w:rPr>
          <w:spacing w:val="-5"/>
        </w:rPr>
        <w:t>务，并会同注册登记人制定、公布和实施相应的业务规则。</w:t>
      </w:r>
    </w:p>
    <w:p>
      <w:pPr>
        <w:spacing w:after="0" w:line="417" w:lineRule="auto"/>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59"/>
      </w:pPr>
      <w:bookmarkStart w:name="_TOC_250017" w:id="7"/>
      <w:bookmarkEnd w:id="7"/>
      <w:r>
        <w:rPr/>
        <w:t>七、基金的非交易过户与转托管</w:t>
      </w:r>
    </w:p>
    <w:p>
      <w:pPr>
        <w:pStyle w:val="BodyText"/>
        <w:spacing w:before="12"/>
        <w:rPr>
          <w:rFonts w:ascii="黑体"/>
          <w:b/>
          <w:sz w:val="41"/>
        </w:rPr>
      </w:pPr>
    </w:p>
    <w:p>
      <w:pPr>
        <w:pStyle w:val="Heading4"/>
      </w:pPr>
      <w:r>
        <w:rPr/>
        <w:t>一、基金的非交易过户</w:t>
      </w:r>
    </w:p>
    <w:p>
      <w:pPr>
        <w:pStyle w:val="BodyText"/>
        <w:spacing w:before="6"/>
        <w:rPr>
          <w:b/>
          <w:sz w:val="15"/>
        </w:rPr>
      </w:pPr>
    </w:p>
    <w:p>
      <w:pPr>
        <w:pStyle w:val="BodyText"/>
        <w:spacing w:line="417" w:lineRule="auto" w:before="1"/>
        <w:ind w:left="840" w:right="891" w:firstLine="419"/>
      </w:pPr>
      <w:r>
        <w:rPr>
          <w:spacing w:val="-9"/>
        </w:rPr>
        <w:t>非交易过户是指不采用申购、赎回等基金交易方式，将一定数量的基金份额按照一定规</w:t>
      </w:r>
      <w:r>
        <w:rPr>
          <w:spacing w:val="-5"/>
        </w:rPr>
        <w:t>则从某一投资者基金账户转移到另一投资者基金账户的行为。</w:t>
      </w:r>
    </w:p>
    <w:p>
      <w:pPr>
        <w:pStyle w:val="BodyText"/>
        <w:spacing w:line="417" w:lineRule="auto"/>
        <w:ind w:left="840" w:right="891" w:firstLine="419"/>
        <w:jc w:val="both"/>
      </w:pPr>
      <w:r>
        <w:rPr>
          <w:spacing w:val="-12"/>
          <w:w w:val="100"/>
        </w:rPr>
        <w:t>基金注册登记人只受理继承、捐赠、司法执行等法律法规允许的非交易过户。其中</w:t>
      </w:r>
      <w:r>
        <w:rPr>
          <w:spacing w:val="-54"/>
          <w:w w:val="100"/>
        </w:rPr>
        <w:t>，“继</w:t>
      </w:r>
      <w:r>
        <w:rPr>
          <w:spacing w:val="-15"/>
          <w:w w:val="100"/>
        </w:rPr>
        <w:t>承”指基金份额持有人死亡，其持有的基金份额由其合法的继承人继承；“捐赠”只受理基</w:t>
      </w:r>
      <w:r>
        <w:rPr>
          <w:spacing w:val="-10"/>
          <w:w w:val="100"/>
        </w:rPr>
        <w:t>金份额持有人将其合法持有的基金份额捐赠给福利性质的基金会或社会团体的情形；“司法</w:t>
      </w:r>
      <w:r>
        <w:rPr>
          <w:spacing w:val="-13"/>
        </w:rPr>
        <w:t>执行”是指司法机构依据生效司法文书将基金份额持有人持有的基金份额强制划转给其他自然人、法人、社会团体或其他组织。无论在上述何种情况下，接受划转的主体应符合相关法</w:t>
      </w:r>
      <w:r>
        <w:rPr>
          <w:spacing w:val="-11"/>
        </w:rPr>
        <w:t>律和基金合同规定的持有本基金份额的条件。办理非交易过户必须提供基金注册登记机构要</w:t>
      </w:r>
      <w:r>
        <w:rPr>
          <w:spacing w:val="-6"/>
        </w:rPr>
        <w:t>求提供的相关资料。</w:t>
      </w:r>
    </w:p>
    <w:p>
      <w:pPr>
        <w:pStyle w:val="BodyText"/>
        <w:spacing w:line="268" w:lineRule="exact"/>
        <w:ind w:left="1260"/>
      </w:pPr>
      <w:r>
        <w:rPr/>
        <w:t>注册登记人受理上述情况下的非交易过户，其他销售机构不得办理该项业务。</w:t>
      </w:r>
    </w:p>
    <w:p>
      <w:pPr>
        <w:pStyle w:val="BodyText"/>
        <w:spacing w:before="6"/>
        <w:rPr>
          <w:sz w:val="15"/>
        </w:rPr>
      </w:pPr>
    </w:p>
    <w:p>
      <w:pPr>
        <w:pStyle w:val="BodyText"/>
        <w:spacing w:line="417" w:lineRule="auto"/>
        <w:ind w:left="840" w:right="891" w:firstLine="419"/>
      </w:pPr>
      <w:r>
        <w:rPr>
          <w:spacing w:val="-10"/>
        </w:rPr>
        <w:t>对于符合条件的非交易过户申请按《景顺长城基金管理有限公司开放式基金注册登记业</w:t>
      </w:r>
      <w:r>
        <w:rPr>
          <w:spacing w:val="-5"/>
        </w:rPr>
        <w:t>务规则》的有关规定办理。</w:t>
      </w:r>
    </w:p>
    <w:p>
      <w:pPr>
        <w:pStyle w:val="Heading4"/>
        <w:spacing w:line="269" w:lineRule="exact"/>
      </w:pPr>
      <w:r>
        <w:rPr/>
        <w:t>二、基金的转托管</w:t>
      </w:r>
    </w:p>
    <w:p>
      <w:pPr>
        <w:pStyle w:val="BodyText"/>
        <w:spacing w:before="7"/>
        <w:rPr>
          <w:b/>
          <w:sz w:val="15"/>
        </w:rPr>
      </w:pPr>
    </w:p>
    <w:p>
      <w:pPr>
        <w:pStyle w:val="BodyText"/>
        <w:spacing w:line="417" w:lineRule="auto"/>
        <w:ind w:left="840" w:right="891" w:firstLine="419"/>
        <w:jc w:val="both"/>
      </w:pPr>
      <w:r>
        <w:rPr>
          <w:spacing w:val="-9"/>
        </w:rPr>
        <w:t>本基金目前实行份额托管的交易制度。投资者可将所持有的基金份额从一个交易账户转</w:t>
      </w:r>
      <w:r>
        <w:rPr>
          <w:spacing w:val="-11"/>
        </w:rPr>
        <w:t>入另一个交易账户进行交易。具体办理方法参照《景顺长城基金管理有限公司开放式基金注</w:t>
      </w:r>
      <w:r>
        <w:rPr>
          <w:spacing w:val="-6"/>
        </w:rPr>
        <w:t>册登记业务规则》的有关规定以及基金代销机构的具体规定。</w:t>
      </w:r>
    </w:p>
    <w:p>
      <w:pPr>
        <w:pStyle w:val="BodyText"/>
        <w:spacing w:line="417" w:lineRule="auto"/>
        <w:ind w:left="840" w:right="891" w:firstLine="419"/>
      </w:pPr>
      <w:r>
        <w:rPr>
          <w:spacing w:val="-11"/>
        </w:rPr>
        <w:t>如果出现基金管理人、注册登记机构、办理转托管的销售机构因技术系统性能限制或其</w:t>
      </w:r>
      <w:r>
        <w:rPr>
          <w:spacing w:val="-6"/>
        </w:rPr>
        <w:t>它合理原因，可以暂停该业务或者拒绝基金份额持有人的转托管申请。</w:t>
      </w:r>
    </w:p>
    <w:p>
      <w:pPr>
        <w:spacing w:after="0" w:line="417" w:lineRule="auto"/>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51"/>
      </w:pPr>
      <w:bookmarkStart w:name="_TOC_250016" w:id="8"/>
      <w:bookmarkEnd w:id="8"/>
      <w:r>
        <w:rPr/>
        <w:t>八、基金的投资</w:t>
      </w:r>
    </w:p>
    <w:p>
      <w:pPr>
        <w:pStyle w:val="BodyText"/>
        <w:rPr>
          <w:rFonts w:ascii="黑体"/>
          <w:b/>
          <w:sz w:val="20"/>
        </w:rPr>
      </w:pPr>
    </w:p>
    <w:p>
      <w:pPr>
        <w:pStyle w:val="BodyText"/>
        <w:spacing w:before="4"/>
        <w:rPr>
          <w:rFonts w:ascii="黑体"/>
          <w:b/>
          <w:sz w:val="16"/>
        </w:rPr>
      </w:pPr>
    </w:p>
    <w:p>
      <w:pPr>
        <w:pStyle w:val="Heading4"/>
        <w:spacing w:before="72"/>
      </w:pPr>
      <w:r>
        <w:rPr/>
        <w:t>一、投资目标</w:t>
      </w:r>
    </w:p>
    <w:p>
      <w:pPr>
        <w:pStyle w:val="BodyText"/>
        <w:spacing w:before="7"/>
        <w:rPr>
          <w:b/>
          <w:sz w:val="15"/>
        </w:rPr>
      </w:pPr>
    </w:p>
    <w:p>
      <w:pPr>
        <w:pStyle w:val="BodyText"/>
        <w:spacing w:line="417" w:lineRule="auto"/>
        <w:ind w:left="840" w:right="891" w:firstLine="419"/>
      </w:pPr>
      <w:r>
        <w:rPr>
          <w:spacing w:val="-7"/>
        </w:rPr>
        <w:t>本基金以长期看好中国经济增长和资本市场发展为立足点，通过投资于具有合理估值的</w:t>
      </w:r>
      <w:r>
        <w:rPr>
          <w:spacing w:val="-5"/>
        </w:rPr>
        <w:t>高成长性上市公司股票，以获取基金资产的长期稳定增值。</w:t>
      </w:r>
    </w:p>
    <w:p>
      <w:pPr>
        <w:pStyle w:val="BodyText"/>
        <w:rPr>
          <w:sz w:val="20"/>
        </w:rPr>
      </w:pPr>
    </w:p>
    <w:p>
      <w:pPr>
        <w:pStyle w:val="BodyText"/>
        <w:spacing w:before="7"/>
        <w:rPr>
          <w:sz w:val="16"/>
        </w:rPr>
      </w:pPr>
    </w:p>
    <w:p>
      <w:pPr>
        <w:pStyle w:val="Heading4"/>
      </w:pPr>
      <w:r>
        <w:rPr/>
        <w:t>二、投资范围</w:t>
      </w:r>
    </w:p>
    <w:p>
      <w:pPr>
        <w:pStyle w:val="BodyText"/>
        <w:spacing w:before="6"/>
        <w:rPr>
          <w:b/>
          <w:sz w:val="15"/>
        </w:rPr>
      </w:pPr>
    </w:p>
    <w:p>
      <w:pPr>
        <w:pStyle w:val="BodyText"/>
        <w:ind w:left="417" w:right="60"/>
        <w:jc w:val="center"/>
      </w:pPr>
      <w:r>
        <w:rPr/>
        <w:t>本基金投资于具有良好流动性的金融工具，包括国内依法发行和上市交易的公司股票</w:t>
      </w:r>
    </w:p>
    <w:p>
      <w:pPr>
        <w:pStyle w:val="BodyText"/>
        <w:spacing w:before="7"/>
        <w:rPr>
          <w:sz w:val="15"/>
        </w:rPr>
      </w:pPr>
    </w:p>
    <w:p>
      <w:pPr>
        <w:pStyle w:val="BodyText"/>
        <w:ind w:left="840"/>
      </w:pPr>
      <w:r>
        <w:rPr/>
        <w:t>（含存托凭证）和债券以及经中国证监会批准的允许基金投资的其他金融工具。</w:t>
      </w:r>
    </w:p>
    <w:p>
      <w:pPr>
        <w:pStyle w:val="BodyText"/>
        <w:rPr>
          <w:sz w:val="20"/>
        </w:rPr>
      </w:pPr>
    </w:p>
    <w:p>
      <w:pPr>
        <w:pStyle w:val="BodyText"/>
        <w:rPr>
          <w:sz w:val="20"/>
        </w:rPr>
      </w:pPr>
    </w:p>
    <w:p>
      <w:pPr>
        <w:pStyle w:val="Heading4"/>
        <w:spacing w:before="155"/>
      </w:pPr>
      <w:r>
        <w:rPr/>
        <w:t>三、投资理念</w:t>
      </w:r>
    </w:p>
    <w:p>
      <w:pPr>
        <w:pStyle w:val="BodyText"/>
        <w:spacing w:before="6"/>
        <w:rPr>
          <w:b/>
          <w:sz w:val="15"/>
        </w:rPr>
      </w:pPr>
    </w:p>
    <w:p>
      <w:pPr>
        <w:pStyle w:val="BodyText"/>
        <w:spacing w:line="417" w:lineRule="auto"/>
        <w:ind w:left="840" w:right="891" w:firstLine="419"/>
      </w:pPr>
      <w:r>
        <w:rPr>
          <w:spacing w:val="-10"/>
        </w:rPr>
        <w:t>宁取细水长流，不要惊涛裂岸。本基金的所有投资都基于基本面分析和价值投资，通过</w:t>
      </w:r>
      <w:r>
        <w:rPr>
          <w:spacing w:val="-5"/>
        </w:rPr>
        <w:t>深入挖掘具有合理估值的高成长性上市公司股票，实现基金资产的长期稳定增值。</w:t>
      </w:r>
    </w:p>
    <w:p>
      <w:pPr>
        <w:pStyle w:val="BodyText"/>
        <w:rPr>
          <w:sz w:val="20"/>
        </w:rPr>
      </w:pPr>
    </w:p>
    <w:p>
      <w:pPr>
        <w:pStyle w:val="BodyText"/>
        <w:spacing w:before="7"/>
        <w:rPr>
          <w:sz w:val="16"/>
        </w:rPr>
      </w:pPr>
    </w:p>
    <w:p>
      <w:pPr>
        <w:pStyle w:val="Heading4"/>
      </w:pPr>
      <w:r>
        <w:rPr/>
        <w:t>四、投资策略</w:t>
      </w:r>
    </w:p>
    <w:p>
      <w:pPr>
        <w:pStyle w:val="BodyText"/>
        <w:spacing w:before="7"/>
        <w:rPr>
          <w:b/>
          <w:sz w:val="15"/>
        </w:rPr>
      </w:pPr>
    </w:p>
    <w:p>
      <w:pPr>
        <w:pStyle w:val="BodyText"/>
        <w:ind w:left="840"/>
      </w:pPr>
      <w:r>
        <w:rPr>
          <w:rFonts w:ascii="Times New Roman" w:eastAsia="Times New Roman"/>
        </w:rPr>
        <w:t>1</w:t>
      </w:r>
      <w:r>
        <w:rPr/>
        <w:t>、投资管理的决策依据</w:t>
      </w:r>
    </w:p>
    <w:p>
      <w:pPr>
        <w:pStyle w:val="BodyText"/>
        <w:spacing w:before="7"/>
        <w:rPr>
          <w:sz w:val="15"/>
        </w:rPr>
      </w:pPr>
    </w:p>
    <w:p>
      <w:pPr>
        <w:pStyle w:val="BodyText"/>
        <w:spacing w:line="417" w:lineRule="auto"/>
        <w:ind w:left="840" w:right="785" w:firstLine="419"/>
      </w:pPr>
      <w:r>
        <w:rPr>
          <w:spacing w:val="-6"/>
        </w:rPr>
        <w:t>本基金依据以宏观经济分析模型</w:t>
      </w:r>
      <w:r>
        <w:rPr>
          <w:spacing w:val="-8"/>
        </w:rPr>
        <w:t>（</w:t>
      </w:r>
      <w:r>
        <w:rPr>
          <w:rFonts w:ascii="Times New Roman" w:hAnsi="Times New Roman" w:eastAsia="Times New Roman"/>
          <w:spacing w:val="-8"/>
        </w:rPr>
        <w:t>MEM</w:t>
      </w:r>
      <w:r>
        <w:rPr>
          <w:spacing w:val="-8"/>
        </w:rPr>
        <w:t>）</w:t>
      </w:r>
      <w:r>
        <w:rPr>
          <w:spacing w:val="-3"/>
        </w:rPr>
        <w:t>为基础的资产配置模型决定基金的资产配置， </w:t>
      </w:r>
      <w:r>
        <w:rPr>
          <w:spacing w:val="-20"/>
          <w:w w:val="100"/>
        </w:rPr>
        <w:t>通过对个股成长性的定性分析，结合景顺长城“股票研究数据库</w:t>
      </w:r>
      <w:r>
        <w:rPr>
          <w:spacing w:val="-3"/>
          <w:w w:val="100"/>
        </w:rPr>
        <w:t>（</w:t>
      </w:r>
      <w:r>
        <w:rPr>
          <w:rFonts w:ascii="Times New Roman" w:hAnsi="Times New Roman" w:eastAsia="Times New Roman"/>
          <w:w w:val="100"/>
        </w:rPr>
        <w:t>S</w:t>
      </w:r>
      <w:r>
        <w:rPr>
          <w:rFonts w:ascii="Times New Roman" w:hAnsi="Times New Roman" w:eastAsia="Times New Roman"/>
          <w:spacing w:val="-2"/>
          <w:w w:val="100"/>
        </w:rPr>
        <w:t>R</w:t>
      </w:r>
      <w:r>
        <w:rPr>
          <w:rFonts w:ascii="Times New Roman" w:hAnsi="Times New Roman" w:eastAsia="Times New Roman"/>
          <w:spacing w:val="1"/>
          <w:w w:val="100"/>
        </w:rPr>
        <w:t>D</w:t>
      </w:r>
      <w:r>
        <w:rPr>
          <w:spacing w:val="-108"/>
          <w:w w:val="100"/>
        </w:rPr>
        <w:t>）</w:t>
      </w:r>
      <w:r>
        <w:rPr>
          <w:spacing w:val="-18"/>
          <w:w w:val="100"/>
        </w:rPr>
        <w:t>”等分析系统及</w:t>
      </w:r>
      <w:r>
        <w:rPr>
          <w:spacing w:val="-18"/>
        </w:rPr>
        <w:t> </w:t>
      </w:r>
      <w:r>
        <w:rPr>
          <w:rFonts w:ascii="Times New Roman" w:hAnsi="Times New Roman" w:eastAsia="Times New Roman"/>
          <w:spacing w:val="-5"/>
          <w:w w:val="100"/>
        </w:rPr>
        <w:t>F</w:t>
      </w:r>
      <w:r>
        <w:rPr>
          <w:rFonts w:ascii="Times New Roman" w:hAnsi="Times New Roman" w:eastAsia="Times New Roman"/>
          <w:w w:val="100"/>
        </w:rPr>
        <w:t>V</w:t>
      </w:r>
      <w:r>
        <w:rPr>
          <w:rFonts w:ascii="Times New Roman" w:hAnsi="Times New Roman" w:eastAsia="Times New Roman"/>
          <w:w w:val="100"/>
        </w:rPr>
        <w:t>MC</w:t>
      </w:r>
      <w:r>
        <w:rPr>
          <w:spacing w:val="-10"/>
        </w:rPr>
        <w:t>等选股模型作为个股选择的依据，同时依据景顺长城风险管理系统和绩效评估系统进行投资</w:t>
      </w:r>
      <w:r>
        <w:rPr>
          <w:spacing w:val="-5"/>
        </w:rPr>
        <w:t>组合的调整。</w:t>
      </w:r>
    </w:p>
    <w:p>
      <w:pPr>
        <w:pStyle w:val="BodyText"/>
        <w:ind w:left="840"/>
      </w:pPr>
      <w:r>
        <w:rPr>
          <w:rFonts w:ascii="Times New Roman" w:eastAsia="Times New Roman"/>
        </w:rPr>
        <w:t>2</w:t>
      </w:r>
      <w:r>
        <w:rPr/>
        <w:t>、投资管理的方法和标准</w:t>
      </w:r>
    </w:p>
    <w:p>
      <w:pPr>
        <w:pStyle w:val="BodyText"/>
        <w:spacing w:before="6"/>
        <w:rPr>
          <w:sz w:val="15"/>
        </w:rPr>
      </w:pPr>
    </w:p>
    <w:p>
      <w:pPr>
        <w:pStyle w:val="ListParagraph"/>
        <w:numPr>
          <w:ilvl w:val="0"/>
          <w:numId w:val="19"/>
        </w:numPr>
        <w:tabs>
          <w:tab w:pos="1370" w:val="left" w:leader="none"/>
        </w:tabs>
        <w:spacing w:line="240" w:lineRule="auto" w:before="0" w:after="0"/>
        <w:ind w:left="1369" w:right="0" w:hanging="530"/>
        <w:jc w:val="left"/>
        <w:rPr>
          <w:sz w:val="21"/>
        </w:rPr>
      </w:pPr>
      <w:r>
        <w:rPr>
          <w:spacing w:val="-2"/>
          <w:sz w:val="21"/>
        </w:rPr>
        <w:t>资产配置</w:t>
      </w:r>
    </w:p>
    <w:p>
      <w:pPr>
        <w:pStyle w:val="BodyText"/>
        <w:spacing w:before="7"/>
        <w:rPr>
          <w:sz w:val="15"/>
        </w:rPr>
      </w:pPr>
    </w:p>
    <w:p>
      <w:pPr>
        <w:pStyle w:val="BodyText"/>
        <w:spacing w:line="417" w:lineRule="auto"/>
        <w:ind w:left="840" w:right="891" w:firstLine="419"/>
        <w:jc w:val="both"/>
      </w:pPr>
      <w:r>
        <w:rPr>
          <w:spacing w:val="-7"/>
        </w:rPr>
        <w:t>基金经理依据定期公布的宏观和金融数据以及投资部对于宏观经济、股市政策、市场趋势的综合分析，运用宏观经济模型</w:t>
      </w:r>
      <w:r>
        <w:rPr/>
        <w:t>（</w:t>
      </w:r>
      <w:r>
        <w:rPr>
          <w:rFonts w:ascii="Times New Roman" w:eastAsia="Times New Roman"/>
        </w:rPr>
        <w:t>MEM</w:t>
      </w:r>
      <w:r>
        <w:rPr/>
        <w:t>）</w:t>
      </w:r>
      <w:r>
        <w:rPr>
          <w:spacing w:val="-4"/>
        </w:rPr>
        <w:t>做出对于宏观经济的评价，结合基金合同、投</w:t>
      </w:r>
      <w:r>
        <w:rPr>
          <w:spacing w:val="-3"/>
        </w:rPr>
        <w:t>资制度的要求提出资产配置建议，经投资决策委员审核后形成资产配置方案。</w:t>
      </w:r>
    </w:p>
    <w:p>
      <w:pPr>
        <w:pStyle w:val="BodyText"/>
        <w:spacing w:line="417" w:lineRule="auto"/>
        <w:ind w:left="840" w:right="891" w:firstLine="419"/>
        <w:jc w:val="both"/>
      </w:pPr>
      <w:r>
        <w:rPr>
          <w:spacing w:val="1"/>
        </w:rPr>
        <w:t>本基金是一只较高持股的混合型基金，对于股票的投资不少于基金资产净值的 </w:t>
      </w:r>
      <w:r>
        <w:rPr>
          <w:rFonts w:ascii="Times New Roman" w:eastAsia="Times New Roman"/>
          <w:spacing w:val="-5"/>
        </w:rPr>
        <w:t>65%</w:t>
      </w:r>
      <w:r>
        <w:rPr>
          <w:spacing w:val="-5"/>
        </w:rPr>
        <w:t>， </w:t>
      </w:r>
      <w:r>
        <w:rPr>
          <w:spacing w:val="-4"/>
        </w:rPr>
        <w:t>持有现金或者到期日在一年以内的政府债券的比例不低于基金资产净值的 </w:t>
      </w:r>
      <w:r>
        <w:rPr>
          <w:rFonts w:ascii="Times New Roman" w:eastAsia="Times New Roman"/>
          <w:spacing w:val="-4"/>
        </w:rPr>
        <w:t>5%</w:t>
      </w:r>
      <w:r>
        <w:rPr>
          <w:spacing w:val="-3"/>
        </w:rPr>
        <w:t>，其中现金不包括结算备付金、存出保证金和应收申购款等。</w:t>
      </w:r>
    </w:p>
    <w:p>
      <w:pPr>
        <w:pStyle w:val="BodyText"/>
        <w:ind w:left="1260"/>
        <w:jc w:val="both"/>
      </w:pPr>
      <w:r>
        <w:rPr/>
        <w:t>本基金投资于成长型上市公司的股票比例至少高于非现金基金资产的 </w:t>
      </w:r>
      <w:r>
        <w:rPr>
          <w:rFonts w:ascii="Times New Roman" w:eastAsia="Times New Roman"/>
        </w:rPr>
        <w:t>80%</w:t>
      </w:r>
      <w:r>
        <w:rPr/>
        <w:t>。</w:t>
      </w:r>
    </w:p>
    <w:p>
      <w:pPr>
        <w:spacing w:after="0"/>
        <w:jc w:val="both"/>
        <w:sectPr>
          <w:pgSz w:w="11910" w:h="16840"/>
          <w:pgMar w:header="877" w:footer="995" w:top="1100" w:bottom="1180" w:left="960" w:right="900"/>
        </w:sectPr>
      </w:pPr>
    </w:p>
    <w:p>
      <w:pPr>
        <w:pStyle w:val="BodyText"/>
        <w:spacing w:before="10"/>
        <w:rPr>
          <w:sz w:val="26"/>
        </w:rPr>
      </w:pPr>
    </w:p>
    <w:p>
      <w:pPr>
        <w:pStyle w:val="ListParagraph"/>
        <w:numPr>
          <w:ilvl w:val="0"/>
          <w:numId w:val="19"/>
        </w:numPr>
        <w:tabs>
          <w:tab w:pos="1370" w:val="left" w:leader="none"/>
        </w:tabs>
        <w:spacing w:line="240" w:lineRule="auto" w:before="78" w:after="0"/>
        <w:ind w:left="1369" w:right="0" w:hanging="530"/>
        <w:jc w:val="left"/>
        <w:rPr>
          <w:sz w:val="21"/>
        </w:rPr>
      </w:pPr>
      <w:r>
        <w:rPr>
          <w:spacing w:val="-3"/>
          <w:sz w:val="21"/>
        </w:rPr>
        <w:t>股票投资策略</w:t>
      </w:r>
    </w:p>
    <w:p>
      <w:pPr>
        <w:pStyle w:val="BodyText"/>
        <w:spacing w:before="7"/>
        <w:rPr>
          <w:sz w:val="15"/>
        </w:rPr>
      </w:pPr>
    </w:p>
    <w:p>
      <w:pPr>
        <w:pStyle w:val="ListParagraph"/>
        <w:numPr>
          <w:ilvl w:val="1"/>
          <w:numId w:val="19"/>
        </w:numPr>
        <w:tabs>
          <w:tab w:pos="1742" w:val="left" w:leader="none"/>
        </w:tabs>
        <w:spacing w:line="240" w:lineRule="auto" w:before="0" w:after="0"/>
        <w:ind w:left="1741" w:right="0" w:hanging="482"/>
        <w:jc w:val="left"/>
        <w:rPr>
          <w:sz w:val="21"/>
        </w:rPr>
      </w:pPr>
      <w:r>
        <w:rPr>
          <w:spacing w:val="-3"/>
          <w:sz w:val="21"/>
        </w:rPr>
        <w:t>成长型股票的判别</w:t>
      </w:r>
    </w:p>
    <w:p>
      <w:pPr>
        <w:pStyle w:val="BodyText"/>
        <w:spacing w:before="6"/>
        <w:rPr>
          <w:sz w:val="15"/>
        </w:rPr>
      </w:pPr>
    </w:p>
    <w:p>
      <w:pPr>
        <w:pStyle w:val="BodyText"/>
        <w:spacing w:line="417" w:lineRule="auto" w:before="1"/>
        <w:ind w:left="840" w:right="891" w:firstLine="419"/>
      </w:pPr>
      <w:r>
        <w:rPr>
          <w:spacing w:val="-6"/>
        </w:rPr>
        <w:t>本基金合同中所指的成长型公司是那些销售收入具备持续增长能力的公司，具体判别标</w:t>
      </w:r>
      <w:r>
        <w:rPr>
          <w:spacing w:val="-4"/>
        </w:rPr>
        <w:t>准为预期未来两年销售收入保持较快增长。</w:t>
      </w:r>
    </w:p>
    <w:p>
      <w:pPr>
        <w:pStyle w:val="ListParagraph"/>
        <w:numPr>
          <w:ilvl w:val="1"/>
          <w:numId w:val="19"/>
        </w:numPr>
        <w:tabs>
          <w:tab w:pos="1799" w:val="left" w:leader="none"/>
        </w:tabs>
        <w:spacing w:line="269" w:lineRule="exact" w:before="0" w:after="0"/>
        <w:ind w:left="1799" w:right="0" w:hanging="539"/>
        <w:jc w:val="left"/>
        <w:rPr>
          <w:sz w:val="21"/>
        </w:rPr>
      </w:pPr>
      <w:r>
        <w:rPr>
          <w:spacing w:val="-3"/>
          <w:sz w:val="21"/>
        </w:rPr>
        <w:t>成长型股票投资策略</w:t>
      </w:r>
    </w:p>
    <w:p>
      <w:pPr>
        <w:pStyle w:val="BodyText"/>
        <w:spacing w:before="6"/>
        <w:rPr>
          <w:sz w:val="15"/>
        </w:rPr>
      </w:pPr>
    </w:p>
    <w:p>
      <w:pPr>
        <w:pStyle w:val="BodyText"/>
        <w:spacing w:line="417" w:lineRule="auto"/>
        <w:ind w:left="840" w:right="891" w:firstLine="419"/>
        <w:jc w:val="both"/>
      </w:pPr>
      <w:r>
        <w:rPr>
          <w:spacing w:val="-8"/>
        </w:rPr>
        <w:t>根据不同类型成长型公司扩张起源的背景因素，本基金主要采取“自下而上”的投资策</w:t>
      </w:r>
      <w:r>
        <w:rPr>
          <w:spacing w:val="-11"/>
        </w:rPr>
        <w:t>略，并结合估值因素最终确定投资标的。在“自下而上”的研究中重点关注经营与管理、创</w:t>
      </w:r>
      <w:r>
        <w:rPr>
          <w:spacing w:val="-6"/>
        </w:rPr>
        <w:t>新及融资。</w:t>
      </w:r>
    </w:p>
    <w:p>
      <w:pPr>
        <w:pStyle w:val="ListParagraph"/>
        <w:numPr>
          <w:ilvl w:val="1"/>
          <w:numId w:val="19"/>
        </w:numPr>
        <w:tabs>
          <w:tab w:pos="1999" w:val="left" w:leader="none"/>
        </w:tabs>
        <w:spacing w:line="240" w:lineRule="auto" w:before="1" w:after="0"/>
        <w:ind w:left="1998" w:right="0" w:hanging="739"/>
        <w:jc w:val="left"/>
        <w:rPr>
          <w:sz w:val="21"/>
        </w:rPr>
      </w:pPr>
      <w:r>
        <w:rPr>
          <w:spacing w:val="-3"/>
          <w:sz w:val="21"/>
        </w:rPr>
        <w:t>本基金投资存托凭证的策略依照上述境内上市交易的股票投资策略执行。</w:t>
      </w:r>
    </w:p>
    <w:p>
      <w:pPr>
        <w:pStyle w:val="BodyText"/>
        <w:spacing w:before="6"/>
        <w:rPr>
          <w:sz w:val="15"/>
        </w:rPr>
      </w:pPr>
    </w:p>
    <w:p>
      <w:pPr>
        <w:pStyle w:val="ListParagraph"/>
        <w:numPr>
          <w:ilvl w:val="0"/>
          <w:numId w:val="19"/>
        </w:numPr>
        <w:tabs>
          <w:tab w:pos="1370" w:val="left" w:leader="none"/>
        </w:tabs>
        <w:spacing w:line="240" w:lineRule="auto" w:before="0" w:after="0"/>
        <w:ind w:left="1369" w:right="0" w:hanging="530"/>
        <w:jc w:val="left"/>
        <w:rPr>
          <w:sz w:val="21"/>
        </w:rPr>
      </w:pPr>
      <w:r>
        <w:rPr>
          <w:spacing w:val="-3"/>
          <w:sz w:val="21"/>
        </w:rPr>
        <w:t>债券投资策略</w:t>
      </w:r>
    </w:p>
    <w:p>
      <w:pPr>
        <w:pStyle w:val="BodyText"/>
        <w:spacing w:before="7"/>
        <w:rPr>
          <w:sz w:val="15"/>
        </w:rPr>
      </w:pPr>
    </w:p>
    <w:p>
      <w:pPr>
        <w:pStyle w:val="BodyText"/>
        <w:spacing w:line="417" w:lineRule="auto"/>
        <w:ind w:left="840" w:right="891" w:firstLine="419"/>
      </w:pPr>
      <w:r>
        <w:rPr>
          <w:spacing w:val="-10"/>
        </w:rPr>
        <w:t>债券投资采取利率预期策略、信用策略、流动性策略和时机策略相结合的积极性投资方</w:t>
      </w:r>
      <w:r>
        <w:rPr>
          <w:spacing w:val="-5"/>
        </w:rPr>
        <w:t>法，力求在控制各类风险的基础上为投资者获取稳定的收益。</w:t>
      </w:r>
    </w:p>
    <w:p>
      <w:pPr>
        <w:pStyle w:val="ListParagraph"/>
        <w:numPr>
          <w:ilvl w:val="0"/>
          <w:numId w:val="19"/>
        </w:numPr>
        <w:tabs>
          <w:tab w:pos="1370" w:val="left" w:leader="none"/>
        </w:tabs>
        <w:spacing w:line="269" w:lineRule="exact" w:before="0" w:after="0"/>
        <w:ind w:left="1369" w:right="0" w:hanging="530"/>
        <w:jc w:val="left"/>
        <w:rPr>
          <w:sz w:val="21"/>
        </w:rPr>
      </w:pPr>
      <w:r>
        <w:rPr>
          <w:spacing w:val="-3"/>
          <w:sz w:val="21"/>
        </w:rPr>
        <w:t>权证投资策略</w:t>
      </w:r>
    </w:p>
    <w:p>
      <w:pPr>
        <w:pStyle w:val="BodyText"/>
        <w:spacing w:before="7"/>
        <w:rPr>
          <w:sz w:val="15"/>
        </w:rPr>
      </w:pPr>
    </w:p>
    <w:p>
      <w:pPr>
        <w:pStyle w:val="BodyText"/>
        <w:spacing w:line="417" w:lineRule="auto"/>
        <w:ind w:left="840" w:right="891" w:firstLine="419"/>
      </w:pPr>
      <w:r>
        <w:rPr>
          <w:spacing w:val="-8"/>
        </w:rPr>
        <w:t>本公司将在有效进行风险管理的前提下，通过对权证标的证券的基本面研究，并结合期</w:t>
      </w:r>
      <w:r>
        <w:rPr>
          <w:spacing w:val="-5"/>
        </w:rPr>
        <w:t>权定价模型估计权证价值，谨慎进行投资。</w:t>
      </w:r>
    </w:p>
    <w:p>
      <w:pPr>
        <w:pStyle w:val="BodyText"/>
        <w:ind w:left="1260"/>
      </w:pPr>
      <w:r>
        <w:rPr/>
        <w:t>本基金持有的全部权证的市值不超过基金资产净值的 </w:t>
      </w:r>
      <w:r>
        <w:rPr>
          <w:rFonts w:ascii="Times New Roman" w:eastAsia="Times New Roman"/>
        </w:rPr>
        <w:t>3%</w:t>
      </w:r>
      <w:r>
        <w:rPr/>
        <w:t>。</w:t>
      </w:r>
    </w:p>
    <w:p>
      <w:pPr>
        <w:pStyle w:val="BodyText"/>
        <w:rPr>
          <w:sz w:val="22"/>
        </w:rPr>
      </w:pPr>
    </w:p>
    <w:p>
      <w:pPr>
        <w:pStyle w:val="BodyText"/>
        <w:rPr>
          <w:sz w:val="30"/>
        </w:rPr>
      </w:pPr>
    </w:p>
    <w:p>
      <w:pPr>
        <w:pStyle w:val="Heading4"/>
        <w:spacing w:before="1"/>
      </w:pPr>
      <w:r>
        <w:rPr/>
        <w:t>五、投资管理程序</w:t>
      </w:r>
    </w:p>
    <w:p>
      <w:pPr>
        <w:pStyle w:val="BodyText"/>
        <w:spacing w:before="6"/>
        <w:rPr>
          <w:b/>
          <w:sz w:val="15"/>
        </w:rPr>
      </w:pPr>
    </w:p>
    <w:p>
      <w:pPr>
        <w:pStyle w:val="BodyText"/>
        <w:spacing w:line="417" w:lineRule="auto"/>
        <w:ind w:left="840" w:right="797" w:firstLine="419"/>
      </w:pPr>
      <w:r>
        <w:rPr>
          <w:spacing w:val="-8"/>
        </w:rPr>
        <w:t>投资决策委员会是公司投资的最高决策机构，以定期或不定期会议的形式讨论和决定公</w:t>
      </w:r>
      <w:r>
        <w:rPr>
          <w:spacing w:val="-11"/>
        </w:rPr>
        <w:t>司投资的重大问题，包括确立各基金的投资方针及投资方向，审定基金财产的配置方案。投</w:t>
      </w:r>
      <w:r>
        <w:rPr>
          <w:spacing w:val="-6"/>
        </w:rPr>
        <w:t>资决策委员会召开前，由基金经理依据对宏观经济走势的分析，提出基金的资产配置建议， </w:t>
      </w:r>
      <w:r>
        <w:rPr>
          <w:spacing w:val="-10"/>
        </w:rPr>
        <w:t>交由投资决策委员会讨论。一旦做出决议，即成为指导基金投资的正式文件，投资部据此拟</w:t>
      </w:r>
      <w:r>
        <w:rPr>
          <w:spacing w:val="-5"/>
        </w:rPr>
        <w:t>订具体的投资计划。</w:t>
      </w:r>
    </w:p>
    <w:p>
      <w:pPr>
        <w:pStyle w:val="BodyText"/>
        <w:spacing w:line="417" w:lineRule="auto"/>
        <w:ind w:left="840" w:right="797" w:firstLine="419"/>
      </w:pPr>
      <w:r>
        <w:rPr>
          <w:spacing w:val="-7"/>
        </w:rPr>
        <w:t>投资研究部是负责管理基金日常投资活动的具体部门，分管投资的副总经理除履行投资</w:t>
      </w:r>
      <w:r>
        <w:rPr>
          <w:spacing w:val="-11"/>
        </w:rPr>
        <w:t>决策委员会执行委员的职责外，还负责管理和协调投资研究部的日常运作。投资研究联席会</w:t>
      </w:r>
      <w:r>
        <w:rPr>
          <w:spacing w:val="-6"/>
        </w:rPr>
        <w:t>议是投资研究部常设议事机构，负责讨论行业信息、个股信息、回顾行业表现、行业配置、</w:t>
      </w:r>
      <w:r>
        <w:rPr>
          <w:spacing w:val="-11"/>
        </w:rPr>
        <w:t>模拟组合表现、近期研究计划及成果、市场热点、当日投资决策、代行表决权、投资备选库调整等问题。投资研究部主要负责宏观经济研究、行业研究和投资品种研究，负责编制、维</w:t>
      </w:r>
      <w:r>
        <w:rPr>
          <w:spacing w:val="-13"/>
        </w:rPr>
        <w:t>护投资备选库，建立、完善、管理并维护股票研究数据库与债券研究资料库，并为投资决策</w:t>
      </w:r>
      <w:r>
        <w:rPr>
          <w:spacing w:val="-12"/>
        </w:rPr>
        <w:t>委员会、投资研究联席会议、分管投资的副总经理、各投资总监和基金经理提供基金投资决</w:t>
      </w:r>
    </w:p>
    <w:p>
      <w:pPr>
        <w:spacing w:after="0" w:line="417" w:lineRule="auto"/>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797"/>
      </w:pPr>
      <w:r>
        <w:rPr>
          <w:spacing w:val="-9"/>
        </w:rPr>
        <w:t>策依据。投资研究部负责根据投资决策委员会决议，负责基金投资组合的构造、优化、风险</w:t>
      </w:r>
      <w:r>
        <w:rPr>
          <w:spacing w:val="-10"/>
        </w:rPr>
        <w:t>管理及头寸管理等日常工作；拟订基金的总体投资策略、资产配置方案、重大投资项目提案</w:t>
      </w:r>
      <w:r>
        <w:rPr>
          <w:spacing w:val="-9"/>
        </w:rPr>
        <w:t>和投资组合方案等并上报投资决策委员会讨论决定；组织实施投资决策委员会及投资研究联</w:t>
      </w:r>
      <w:r>
        <w:rPr>
          <w:spacing w:val="-5"/>
        </w:rPr>
        <w:t>席会议决定的投资方案并在授权范围内作出投资决定；依据自主的研究积极把握市场动态， </w:t>
      </w:r>
      <w:r>
        <w:rPr>
          <w:spacing w:val="-9"/>
        </w:rPr>
        <w:t>积极提出基金投资组合优化方案，并对管理基金的投资业绩负责。其中基金经理根据投资决</w:t>
      </w:r>
      <w:r>
        <w:rPr>
          <w:spacing w:val="-5"/>
        </w:rPr>
        <w:t>策委员会及投资研究联席会议决议具体承担本基金的日常管理工作。</w:t>
      </w:r>
    </w:p>
    <w:p>
      <w:pPr>
        <w:pStyle w:val="BodyText"/>
        <w:spacing w:line="417" w:lineRule="auto"/>
        <w:ind w:left="840" w:right="891" w:firstLine="419"/>
        <w:jc w:val="both"/>
      </w:pPr>
      <w:r>
        <w:rPr>
          <w:spacing w:val="-7"/>
        </w:rPr>
        <w:t>风险管理委员会是公司日常经营中整体风险控制的决策机构，该委员会是对公司各种风</w:t>
      </w:r>
      <w:r>
        <w:rPr>
          <w:spacing w:val="-11"/>
        </w:rPr>
        <w:t>险的识别、防范和控制的非常设机构，由公司督察长、总经理、副总经理及各部门负责人等</w:t>
      </w:r>
      <w:r>
        <w:rPr>
          <w:spacing w:val="-12"/>
        </w:rPr>
        <w:t>组成，其主要职责是：负责评估公司的风险控制制度和风险管理流程，确保公司整体风险的识别、监控和管理；负责检查风险控制制度的落实情况，审阅公司各项风险与内控状况评价报告；对公司重大业务可行性及风险进行论证；负责组织公司内部员工严重违法违规事件的</w:t>
      </w:r>
      <w:r>
        <w:rPr>
          <w:spacing w:val="-13"/>
        </w:rPr>
        <w:t>调查，并根据调查报告做出具体的决定；针对公司经营管理活动中发生的紧急突发性事件和</w:t>
      </w:r>
      <w:r>
        <w:rPr>
          <w:spacing w:val="-12"/>
        </w:rPr>
        <w:t>重大危机情况，组成危机处理小组，评估事件风险，制定危机处理方案并监督实施；其他风险管理职能。绩效评估与风险控制人员负责建立和完善投资风险管理系统，并负责对基金历</w:t>
      </w:r>
      <w:r>
        <w:rPr>
          <w:spacing w:val="-6"/>
        </w:rPr>
        <w:t>史业绩进行分解和分析。法律、监察稽核部负责基金日常运作的合规控制。</w:t>
      </w:r>
    </w:p>
    <w:p>
      <w:pPr>
        <w:pStyle w:val="BodyText"/>
        <w:spacing w:line="269" w:lineRule="exact"/>
        <w:ind w:left="1260"/>
      </w:pPr>
      <w:r>
        <w:rPr/>
        <w:t>本基金投资决策过程为：</w:t>
      </w:r>
    </w:p>
    <w:p>
      <w:pPr>
        <w:pStyle w:val="BodyText"/>
        <w:spacing w:before="6"/>
        <w:rPr>
          <w:sz w:val="15"/>
        </w:rPr>
      </w:pPr>
    </w:p>
    <w:p>
      <w:pPr>
        <w:pStyle w:val="BodyText"/>
        <w:spacing w:line="417" w:lineRule="auto"/>
        <w:ind w:left="840" w:right="894" w:firstLine="419"/>
      </w:pPr>
      <w:r>
        <w:rPr>
          <w:rFonts w:ascii="Times New Roman" w:eastAsia="Times New Roman"/>
        </w:rPr>
        <w:t>1</w:t>
      </w:r>
      <w:r>
        <w:rPr/>
        <w:t>、由基金经理依据宏观经济、股市政策、市场趋势判断，结合基金合同、投资制度的要求提出资产配置建议。</w:t>
      </w:r>
    </w:p>
    <w:p>
      <w:pPr>
        <w:pStyle w:val="BodyText"/>
        <w:spacing w:line="269" w:lineRule="exact"/>
        <w:ind w:left="1260"/>
      </w:pPr>
      <w:r>
        <w:rPr>
          <w:rFonts w:ascii="Times New Roman" w:eastAsia="Times New Roman"/>
        </w:rPr>
        <w:t>2</w:t>
      </w:r>
      <w:r>
        <w:rPr/>
        <w:t>、投资决策委员会审核基金经理提交的资产配置建议，并最终决定资产配置方案。</w:t>
      </w:r>
    </w:p>
    <w:p>
      <w:pPr>
        <w:pStyle w:val="BodyText"/>
        <w:spacing w:before="7"/>
        <w:rPr>
          <w:sz w:val="15"/>
        </w:rPr>
      </w:pPr>
    </w:p>
    <w:p>
      <w:pPr>
        <w:pStyle w:val="BodyText"/>
        <w:spacing w:line="417" w:lineRule="auto"/>
        <w:ind w:left="840" w:right="894" w:firstLine="419"/>
      </w:pPr>
      <w:r>
        <w:rPr>
          <w:rFonts w:ascii="Times New Roman" w:eastAsia="Times New Roman"/>
        </w:rPr>
        <w:t>3</w:t>
      </w:r>
      <w:r>
        <w:rPr/>
        <w:t>、投资研究部按流程筛选出可投资品种，由基金经理依据本基金的投资目标、投资限制以及资产配置方案，制订具体的投资组合方案。</w:t>
      </w:r>
    </w:p>
    <w:p>
      <w:pPr>
        <w:pStyle w:val="ListParagraph"/>
        <w:numPr>
          <w:ilvl w:val="0"/>
          <w:numId w:val="20"/>
        </w:numPr>
        <w:tabs>
          <w:tab w:pos="1790" w:val="left" w:leader="none"/>
        </w:tabs>
        <w:spacing w:line="417" w:lineRule="auto" w:before="0" w:after="0"/>
        <w:ind w:left="840" w:right="891" w:firstLine="419"/>
        <w:jc w:val="both"/>
        <w:rPr>
          <w:sz w:val="21"/>
        </w:rPr>
      </w:pPr>
      <w:r>
        <w:rPr>
          <w:spacing w:val="-3"/>
          <w:sz w:val="21"/>
        </w:rPr>
        <w:t>构建公司股票库。公司股票库的构建采用定量分析和定性分析相结合的方法，以</w:t>
      </w:r>
      <w:r>
        <w:rPr>
          <w:spacing w:val="10"/>
          <w:sz w:val="21"/>
        </w:rPr>
        <w:t>富时中国</w:t>
      </w:r>
      <w:r>
        <w:rPr>
          <w:rFonts w:ascii="Times New Roman" w:eastAsia="Times New Roman"/>
          <w:sz w:val="21"/>
        </w:rPr>
        <w:t>A200</w:t>
      </w:r>
      <w:r>
        <w:rPr>
          <w:rFonts w:ascii="Times New Roman" w:eastAsia="Times New Roman"/>
          <w:spacing w:val="31"/>
          <w:sz w:val="21"/>
        </w:rPr>
        <w:t> </w:t>
      </w:r>
      <w:r>
        <w:rPr>
          <w:spacing w:val="-7"/>
          <w:sz w:val="21"/>
        </w:rPr>
        <w:t>指数的成分股为基础，投资部可以按照我们主动选股的标准加入部分上市公</w:t>
      </w:r>
      <w:r>
        <w:rPr>
          <w:spacing w:val="-5"/>
          <w:sz w:val="21"/>
        </w:rPr>
        <w:t>司，二者结合形成股票数据库。</w:t>
      </w:r>
    </w:p>
    <w:p>
      <w:pPr>
        <w:pStyle w:val="ListParagraph"/>
        <w:numPr>
          <w:ilvl w:val="0"/>
          <w:numId w:val="20"/>
        </w:numPr>
        <w:tabs>
          <w:tab w:pos="1790" w:val="left" w:leader="none"/>
        </w:tabs>
        <w:spacing w:line="417" w:lineRule="auto" w:before="0" w:after="0"/>
        <w:ind w:left="840" w:right="797" w:firstLine="419"/>
        <w:jc w:val="left"/>
        <w:rPr>
          <w:sz w:val="21"/>
        </w:rPr>
      </w:pPr>
      <w:r>
        <w:rPr>
          <w:spacing w:val="-3"/>
          <w:sz w:val="21"/>
        </w:rPr>
        <w:t>构建成长型股票库。本基金的股票投资是建立在公司股票库基础上的风格型股票投资。根据成长型股票的判别标准，我们选择预期未来两年销售收入保持较快增长的股票， 以构建本基金的成长型股票库。</w:t>
      </w:r>
    </w:p>
    <w:p>
      <w:pPr>
        <w:pStyle w:val="ListParagraph"/>
        <w:numPr>
          <w:ilvl w:val="0"/>
          <w:numId w:val="20"/>
        </w:numPr>
        <w:tabs>
          <w:tab w:pos="1790" w:val="left" w:leader="none"/>
        </w:tabs>
        <w:spacing w:line="269" w:lineRule="exact" w:before="0" w:after="0"/>
        <w:ind w:left="1789" w:right="0" w:hanging="530"/>
        <w:jc w:val="left"/>
        <w:rPr>
          <w:sz w:val="21"/>
        </w:rPr>
      </w:pPr>
      <w:r>
        <w:rPr>
          <w:spacing w:val="-3"/>
          <w:sz w:val="21"/>
        </w:rPr>
        <w:t>确定买入名单。对于进入成长型股票库的股票，运用景顺长城“股票研究数据库</w:t>
      </w:r>
    </w:p>
    <w:p>
      <w:pPr>
        <w:pStyle w:val="BodyText"/>
        <w:spacing w:before="7"/>
        <w:rPr>
          <w:sz w:val="15"/>
        </w:rPr>
      </w:pPr>
    </w:p>
    <w:p>
      <w:pPr>
        <w:pStyle w:val="BodyText"/>
        <w:spacing w:line="417" w:lineRule="auto"/>
        <w:ind w:left="840" w:right="797"/>
      </w:pPr>
      <w:r>
        <w:rPr>
          <w:spacing w:val="-1"/>
          <w:w w:val="100"/>
        </w:rPr>
        <w:t>（</w:t>
      </w:r>
      <w:r>
        <w:rPr>
          <w:w w:val="100"/>
        </w:rPr>
        <w:t>SRD</w:t>
      </w:r>
      <w:r>
        <w:rPr>
          <w:spacing w:val="-108"/>
          <w:w w:val="100"/>
        </w:rPr>
        <w:t>）</w:t>
      </w:r>
      <w:r>
        <w:rPr>
          <w:spacing w:val="-3"/>
          <w:w w:val="100"/>
        </w:rPr>
        <w:t>”当中的标准分析模板对上市公司的品质和估值水平进行鉴别，重点考察业务价值、</w:t>
      </w:r>
      <w:r>
        <w:rPr>
          <w:spacing w:val="-3"/>
        </w:rPr>
        <w:t>估值水平、管理能力和现金流，结合必要的合理性分析，制定股票买入名单。</w:t>
      </w:r>
    </w:p>
    <w:p>
      <w:pPr>
        <w:spacing w:after="0" w:line="417" w:lineRule="auto"/>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3" w:firstLine="419"/>
      </w:pPr>
      <w:r>
        <w:rPr>
          <w:rFonts w:ascii="Times New Roman" w:eastAsia="Times New Roman"/>
        </w:rPr>
        <w:t>4</w:t>
      </w:r>
      <w:r>
        <w:rPr/>
        <w:t>、投资决策委员会审核重大基金投资组合方案，如无异议，由基金经理具体执行投资计划。</w:t>
      </w:r>
    </w:p>
    <w:p>
      <w:pPr>
        <w:pStyle w:val="BodyText"/>
        <w:rPr>
          <w:sz w:val="20"/>
        </w:rPr>
      </w:pPr>
    </w:p>
    <w:p>
      <w:pPr>
        <w:pStyle w:val="BodyText"/>
        <w:spacing w:before="6"/>
        <w:rPr>
          <w:sz w:val="16"/>
        </w:rPr>
      </w:pPr>
    </w:p>
    <w:p>
      <w:pPr>
        <w:pStyle w:val="Heading4"/>
        <w:spacing w:before="1"/>
      </w:pPr>
      <w:r>
        <w:rPr/>
        <w:t>六、投资限制</w:t>
      </w:r>
    </w:p>
    <w:p>
      <w:pPr>
        <w:pStyle w:val="BodyText"/>
        <w:spacing w:before="6"/>
        <w:rPr>
          <w:b/>
          <w:sz w:val="15"/>
        </w:rPr>
      </w:pPr>
    </w:p>
    <w:p>
      <w:pPr>
        <w:pStyle w:val="BodyText"/>
        <w:ind w:left="840"/>
      </w:pPr>
      <w:r>
        <w:rPr>
          <w:rFonts w:ascii="Times New Roman" w:eastAsia="Times New Roman"/>
        </w:rPr>
        <w:t>1</w:t>
      </w:r>
      <w:r>
        <w:rPr/>
        <w:t>、禁止行为</w:t>
      </w:r>
    </w:p>
    <w:p>
      <w:pPr>
        <w:pStyle w:val="BodyText"/>
        <w:spacing w:before="7"/>
        <w:rPr>
          <w:sz w:val="15"/>
        </w:rPr>
      </w:pPr>
    </w:p>
    <w:p>
      <w:pPr>
        <w:pStyle w:val="BodyText"/>
        <w:ind w:left="1260"/>
      </w:pPr>
      <w:r>
        <w:rPr/>
        <w:t>为维护基金份额持有人的合法权益，本基金禁止从事下列行为：</w:t>
      </w:r>
    </w:p>
    <w:p>
      <w:pPr>
        <w:pStyle w:val="BodyText"/>
        <w:spacing w:before="7"/>
        <w:rPr>
          <w:sz w:val="15"/>
        </w:rPr>
      </w:pPr>
    </w:p>
    <w:p>
      <w:pPr>
        <w:pStyle w:val="ListParagraph"/>
        <w:numPr>
          <w:ilvl w:val="0"/>
          <w:numId w:val="21"/>
        </w:numPr>
        <w:tabs>
          <w:tab w:pos="1790" w:val="left" w:leader="none"/>
        </w:tabs>
        <w:spacing w:line="240" w:lineRule="auto" w:before="0" w:after="0"/>
        <w:ind w:left="1789" w:right="0" w:hanging="530"/>
        <w:jc w:val="left"/>
        <w:rPr>
          <w:sz w:val="21"/>
        </w:rPr>
      </w:pPr>
      <w:r>
        <w:rPr>
          <w:spacing w:val="-3"/>
          <w:sz w:val="21"/>
        </w:rPr>
        <w:t>承销证券；</w:t>
      </w:r>
    </w:p>
    <w:p>
      <w:pPr>
        <w:pStyle w:val="BodyText"/>
        <w:spacing w:before="7"/>
        <w:rPr>
          <w:sz w:val="15"/>
        </w:rPr>
      </w:pPr>
    </w:p>
    <w:p>
      <w:pPr>
        <w:pStyle w:val="ListParagraph"/>
        <w:numPr>
          <w:ilvl w:val="0"/>
          <w:numId w:val="21"/>
        </w:numPr>
        <w:tabs>
          <w:tab w:pos="1790" w:val="left" w:leader="none"/>
        </w:tabs>
        <w:spacing w:line="240" w:lineRule="auto" w:before="0" w:after="0"/>
        <w:ind w:left="1789" w:right="0" w:hanging="530"/>
        <w:jc w:val="left"/>
        <w:rPr>
          <w:sz w:val="21"/>
        </w:rPr>
      </w:pPr>
      <w:r>
        <w:rPr>
          <w:spacing w:val="-3"/>
          <w:sz w:val="21"/>
        </w:rPr>
        <w:t>向他人贷款或提供担保；</w:t>
      </w:r>
    </w:p>
    <w:p>
      <w:pPr>
        <w:pStyle w:val="BodyText"/>
        <w:spacing w:before="7"/>
        <w:rPr>
          <w:sz w:val="15"/>
        </w:rPr>
      </w:pPr>
    </w:p>
    <w:p>
      <w:pPr>
        <w:pStyle w:val="ListParagraph"/>
        <w:numPr>
          <w:ilvl w:val="0"/>
          <w:numId w:val="21"/>
        </w:numPr>
        <w:tabs>
          <w:tab w:pos="1790" w:val="left" w:leader="none"/>
        </w:tabs>
        <w:spacing w:line="240" w:lineRule="auto" w:before="0" w:after="0"/>
        <w:ind w:left="1789" w:right="0" w:hanging="530"/>
        <w:jc w:val="left"/>
        <w:rPr>
          <w:sz w:val="21"/>
        </w:rPr>
      </w:pPr>
      <w:r>
        <w:rPr>
          <w:spacing w:val="-3"/>
          <w:sz w:val="21"/>
        </w:rPr>
        <w:t>从事承担无限责任的投资；</w:t>
      </w:r>
    </w:p>
    <w:p>
      <w:pPr>
        <w:pStyle w:val="BodyText"/>
        <w:spacing w:before="6"/>
        <w:rPr>
          <w:sz w:val="15"/>
        </w:rPr>
      </w:pPr>
    </w:p>
    <w:p>
      <w:pPr>
        <w:pStyle w:val="ListParagraph"/>
        <w:numPr>
          <w:ilvl w:val="0"/>
          <w:numId w:val="21"/>
        </w:numPr>
        <w:tabs>
          <w:tab w:pos="1790" w:val="left" w:leader="none"/>
        </w:tabs>
        <w:spacing w:line="240" w:lineRule="auto" w:before="1" w:after="0"/>
        <w:ind w:left="1789" w:right="0" w:hanging="530"/>
        <w:jc w:val="left"/>
        <w:rPr>
          <w:sz w:val="21"/>
        </w:rPr>
      </w:pPr>
      <w:r>
        <w:rPr>
          <w:spacing w:val="-3"/>
          <w:sz w:val="21"/>
        </w:rPr>
        <w:t>买卖其他基金份额，但国务院另有规定的除外；</w:t>
      </w:r>
    </w:p>
    <w:p>
      <w:pPr>
        <w:pStyle w:val="BodyText"/>
        <w:spacing w:before="6"/>
        <w:rPr>
          <w:sz w:val="15"/>
        </w:rPr>
      </w:pPr>
    </w:p>
    <w:p>
      <w:pPr>
        <w:pStyle w:val="ListParagraph"/>
        <w:numPr>
          <w:ilvl w:val="0"/>
          <w:numId w:val="21"/>
        </w:numPr>
        <w:tabs>
          <w:tab w:pos="1790" w:val="left" w:leader="none"/>
        </w:tabs>
        <w:spacing w:line="417" w:lineRule="auto" w:before="0" w:after="0"/>
        <w:ind w:left="840" w:right="894" w:firstLine="419"/>
        <w:jc w:val="left"/>
        <w:rPr>
          <w:sz w:val="21"/>
        </w:rPr>
      </w:pPr>
      <w:r>
        <w:rPr>
          <w:spacing w:val="-3"/>
          <w:sz w:val="21"/>
        </w:rPr>
        <w:t>向基金管理人、基金托管人出资或者买卖其基金管理人、基金托管人发行的股票或债券；</w:t>
      </w:r>
    </w:p>
    <w:p>
      <w:pPr>
        <w:pStyle w:val="ListParagraph"/>
        <w:numPr>
          <w:ilvl w:val="0"/>
          <w:numId w:val="21"/>
        </w:numPr>
        <w:tabs>
          <w:tab w:pos="1790" w:val="left" w:leader="none"/>
        </w:tabs>
        <w:spacing w:line="417" w:lineRule="auto" w:before="0" w:after="0"/>
        <w:ind w:left="840" w:right="894" w:firstLine="419"/>
        <w:jc w:val="left"/>
        <w:rPr>
          <w:sz w:val="21"/>
        </w:rPr>
      </w:pPr>
      <w:r>
        <w:rPr>
          <w:spacing w:val="-3"/>
          <w:sz w:val="21"/>
        </w:rPr>
        <w:t>买卖与基金管理人、基金托管人有控股关系的股东或者与基金管理人、基金托管人有其他重大利害关系的公司发行的证券或者承销期内承销的证券；</w:t>
      </w:r>
    </w:p>
    <w:p>
      <w:pPr>
        <w:pStyle w:val="ListParagraph"/>
        <w:numPr>
          <w:ilvl w:val="0"/>
          <w:numId w:val="21"/>
        </w:numPr>
        <w:tabs>
          <w:tab w:pos="1790" w:val="left" w:leader="none"/>
        </w:tabs>
        <w:spacing w:line="240" w:lineRule="auto" w:before="0" w:after="0"/>
        <w:ind w:left="1789" w:right="0" w:hanging="530"/>
        <w:jc w:val="left"/>
        <w:rPr>
          <w:sz w:val="21"/>
        </w:rPr>
      </w:pPr>
      <w:r>
        <w:rPr>
          <w:spacing w:val="-3"/>
          <w:sz w:val="21"/>
        </w:rPr>
        <w:t>从事内幕交易、操纵证券价格及其他不正当的证券交易活动；</w:t>
      </w:r>
    </w:p>
    <w:p>
      <w:pPr>
        <w:pStyle w:val="BodyText"/>
        <w:spacing w:before="7"/>
        <w:rPr>
          <w:sz w:val="15"/>
        </w:rPr>
      </w:pPr>
    </w:p>
    <w:p>
      <w:pPr>
        <w:pStyle w:val="ListParagraph"/>
        <w:numPr>
          <w:ilvl w:val="0"/>
          <w:numId w:val="21"/>
        </w:numPr>
        <w:tabs>
          <w:tab w:pos="1790" w:val="left" w:leader="none"/>
        </w:tabs>
        <w:spacing w:line="240" w:lineRule="auto" w:before="0" w:after="0"/>
        <w:ind w:left="1789" w:right="0" w:hanging="530"/>
        <w:jc w:val="left"/>
        <w:rPr>
          <w:sz w:val="21"/>
        </w:rPr>
      </w:pPr>
      <w:r>
        <w:rPr>
          <w:spacing w:val="-3"/>
          <w:sz w:val="21"/>
        </w:rPr>
        <w:t>当时有效的法律法规、中国证监会及《基金合同》规定禁止从事的其他行为。</w:t>
      </w:r>
    </w:p>
    <w:p>
      <w:pPr>
        <w:pStyle w:val="BodyText"/>
        <w:spacing w:before="6"/>
        <w:rPr>
          <w:sz w:val="15"/>
        </w:rPr>
      </w:pPr>
    </w:p>
    <w:p>
      <w:pPr>
        <w:pStyle w:val="BodyText"/>
        <w:spacing w:before="1"/>
        <w:ind w:left="840"/>
      </w:pPr>
      <w:r>
        <w:rPr>
          <w:rFonts w:ascii="Times New Roman" w:eastAsia="Times New Roman"/>
        </w:rPr>
        <w:t>2</w:t>
      </w:r>
      <w:r>
        <w:rPr/>
        <w:t>、投资组合限制</w:t>
      </w:r>
    </w:p>
    <w:p>
      <w:pPr>
        <w:pStyle w:val="BodyText"/>
        <w:spacing w:before="6"/>
        <w:rPr>
          <w:sz w:val="15"/>
        </w:rPr>
      </w:pPr>
    </w:p>
    <w:p>
      <w:pPr>
        <w:pStyle w:val="BodyText"/>
        <w:ind w:left="1260"/>
      </w:pPr>
      <w:r>
        <w:rPr/>
        <w:t>本基金的投资组合将遵循以下限制：</w:t>
      </w:r>
    </w:p>
    <w:p>
      <w:pPr>
        <w:pStyle w:val="BodyText"/>
        <w:spacing w:before="7"/>
        <w:rPr>
          <w:sz w:val="15"/>
        </w:rPr>
      </w:pPr>
    </w:p>
    <w:p>
      <w:pPr>
        <w:pStyle w:val="ListParagraph"/>
        <w:numPr>
          <w:ilvl w:val="0"/>
          <w:numId w:val="22"/>
        </w:numPr>
        <w:tabs>
          <w:tab w:pos="1790" w:val="left" w:leader="none"/>
        </w:tabs>
        <w:spacing w:line="240" w:lineRule="auto" w:before="0" w:after="0"/>
        <w:ind w:left="1789" w:right="0" w:hanging="530"/>
        <w:jc w:val="left"/>
        <w:rPr>
          <w:sz w:val="21"/>
        </w:rPr>
      </w:pPr>
      <w:r>
        <w:rPr>
          <w:spacing w:val="-5"/>
          <w:sz w:val="21"/>
        </w:rPr>
        <w:t>本基金持有一家上市公司的股票，其市值不得超过基金资产净值的 </w:t>
      </w:r>
      <w:r>
        <w:rPr>
          <w:rFonts w:ascii="Times New Roman" w:eastAsia="Times New Roman"/>
          <w:sz w:val="21"/>
        </w:rPr>
        <w:t>10%</w:t>
      </w:r>
      <w:r>
        <w:rPr>
          <w:sz w:val="21"/>
        </w:rPr>
        <w:t>；</w:t>
      </w:r>
    </w:p>
    <w:p>
      <w:pPr>
        <w:pStyle w:val="BodyText"/>
        <w:spacing w:before="7"/>
        <w:rPr>
          <w:sz w:val="15"/>
        </w:rPr>
      </w:pPr>
    </w:p>
    <w:p>
      <w:pPr>
        <w:pStyle w:val="ListParagraph"/>
        <w:numPr>
          <w:ilvl w:val="0"/>
          <w:numId w:val="22"/>
        </w:numPr>
        <w:tabs>
          <w:tab w:pos="1790" w:val="left" w:leader="none"/>
        </w:tabs>
        <w:spacing w:line="417" w:lineRule="auto" w:before="0" w:after="0"/>
        <w:ind w:left="840" w:right="893" w:firstLine="419"/>
        <w:jc w:val="left"/>
        <w:rPr>
          <w:sz w:val="21"/>
        </w:rPr>
      </w:pPr>
      <w:r>
        <w:rPr>
          <w:spacing w:val="-3"/>
          <w:sz w:val="21"/>
        </w:rPr>
        <w:t>本基金与由本基金管理人管理的其他基金共同持有一家公司发行的证券，不得超</w:t>
      </w:r>
      <w:r>
        <w:rPr>
          <w:spacing w:val="-12"/>
          <w:sz w:val="21"/>
        </w:rPr>
        <w:t>过该证券的 </w:t>
      </w:r>
      <w:r>
        <w:rPr>
          <w:rFonts w:ascii="Times New Roman" w:eastAsia="Times New Roman"/>
          <w:sz w:val="21"/>
        </w:rPr>
        <w:t>10%</w:t>
      </w:r>
      <w:r>
        <w:rPr>
          <w:sz w:val="21"/>
        </w:rPr>
        <w:t>；</w:t>
      </w:r>
    </w:p>
    <w:p>
      <w:pPr>
        <w:pStyle w:val="ListParagraph"/>
        <w:numPr>
          <w:ilvl w:val="0"/>
          <w:numId w:val="22"/>
        </w:numPr>
        <w:tabs>
          <w:tab w:pos="1790" w:val="left" w:leader="none"/>
        </w:tabs>
        <w:spacing w:line="240" w:lineRule="auto" w:before="0" w:after="0"/>
        <w:ind w:left="1789" w:right="0" w:hanging="530"/>
        <w:jc w:val="left"/>
        <w:rPr>
          <w:sz w:val="21"/>
        </w:rPr>
      </w:pPr>
      <w:r>
        <w:rPr>
          <w:spacing w:val="-3"/>
          <w:sz w:val="21"/>
        </w:rPr>
        <w:t>本基金不得违反本基金合同关于投资范围、投资策略和投资比例的约定；</w:t>
      </w:r>
    </w:p>
    <w:p>
      <w:pPr>
        <w:pStyle w:val="BodyText"/>
        <w:spacing w:before="7"/>
        <w:rPr>
          <w:sz w:val="15"/>
        </w:rPr>
      </w:pPr>
    </w:p>
    <w:p>
      <w:pPr>
        <w:pStyle w:val="ListParagraph"/>
        <w:numPr>
          <w:ilvl w:val="0"/>
          <w:numId w:val="22"/>
        </w:numPr>
        <w:tabs>
          <w:tab w:pos="1790" w:val="left" w:leader="none"/>
        </w:tabs>
        <w:spacing w:line="417" w:lineRule="auto" w:before="0" w:after="0"/>
        <w:ind w:left="840" w:right="894" w:firstLine="419"/>
        <w:jc w:val="both"/>
        <w:rPr>
          <w:sz w:val="21"/>
        </w:rPr>
      </w:pPr>
      <w:r>
        <w:rPr>
          <w:spacing w:val="-3"/>
          <w:sz w:val="21"/>
        </w:rPr>
        <w:t>本基金投资股权分置改革中产生的权证，在任何交易日买入的总金额，不超过上</w:t>
      </w:r>
      <w:r>
        <w:rPr>
          <w:spacing w:val="-7"/>
          <w:sz w:val="21"/>
        </w:rPr>
        <w:t>一交易日基金资产净值的 </w:t>
      </w:r>
      <w:r>
        <w:rPr>
          <w:rFonts w:ascii="Times New Roman" w:eastAsia="Times New Roman"/>
          <w:spacing w:val="-9"/>
          <w:sz w:val="21"/>
        </w:rPr>
        <w:t>0.5%</w:t>
      </w:r>
      <w:r>
        <w:rPr>
          <w:spacing w:val="-6"/>
          <w:sz w:val="21"/>
        </w:rPr>
        <w:t>，基金持有的全部权证的市值不超过基金资产净值的 </w:t>
      </w:r>
      <w:r>
        <w:rPr>
          <w:rFonts w:ascii="Times New Roman" w:eastAsia="Times New Roman"/>
          <w:spacing w:val="-14"/>
          <w:sz w:val="21"/>
        </w:rPr>
        <w:t>3%</w:t>
      </w:r>
      <w:r>
        <w:rPr>
          <w:spacing w:val="-28"/>
          <w:sz w:val="21"/>
        </w:rPr>
        <w:t>，本</w:t>
      </w:r>
      <w:r>
        <w:rPr>
          <w:spacing w:val="1"/>
          <w:sz w:val="21"/>
        </w:rPr>
        <w:t>公司管理的全部基金持有同一权证的比例不超过该权证的 </w:t>
      </w:r>
      <w:r>
        <w:rPr>
          <w:rFonts w:ascii="Times New Roman" w:eastAsia="Times New Roman"/>
          <w:sz w:val="21"/>
        </w:rPr>
        <w:t>10%</w:t>
      </w:r>
      <w:r>
        <w:rPr>
          <w:spacing w:val="-2"/>
          <w:sz w:val="21"/>
        </w:rPr>
        <w:t>。其它权证的投资比例，遵</w:t>
      </w:r>
      <w:r>
        <w:rPr>
          <w:spacing w:val="-3"/>
          <w:sz w:val="21"/>
        </w:rPr>
        <w:t>从法规或监管部门的相关规定；</w:t>
      </w:r>
    </w:p>
    <w:p>
      <w:pPr>
        <w:pStyle w:val="ListParagraph"/>
        <w:numPr>
          <w:ilvl w:val="0"/>
          <w:numId w:val="22"/>
        </w:numPr>
        <w:tabs>
          <w:tab w:pos="1790" w:val="left" w:leader="none"/>
        </w:tabs>
        <w:spacing w:line="417" w:lineRule="auto" w:before="0" w:after="0"/>
        <w:ind w:left="840" w:right="893" w:firstLine="419"/>
        <w:jc w:val="left"/>
        <w:rPr>
          <w:sz w:val="21"/>
        </w:rPr>
      </w:pPr>
      <w:r>
        <w:rPr>
          <w:spacing w:val="-3"/>
          <w:sz w:val="21"/>
        </w:rPr>
        <w:t>基金财产参与股票发行申购，本基金所申报的金额不得超过本基金的总资产，所申报的股票数量不得超过拟发行股票公司本次发行股票的总量；</w:t>
      </w:r>
    </w:p>
    <w:p>
      <w:pPr>
        <w:pStyle w:val="ListParagraph"/>
        <w:numPr>
          <w:ilvl w:val="0"/>
          <w:numId w:val="22"/>
        </w:numPr>
        <w:tabs>
          <w:tab w:pos="1790" w:val="left" w:leader="none"/>
        </w:tabs>
        <w:spacing w:line="240" w:lineRule="auto" w:before="0" w:after="0"/>
        <w:ind w:left="1789" w:right="0" w:hanging="530"/>
        <w:jc w:val="left"/>
        <w:rPr>
          <w:sz w:val="21"/>
        </w:rPr>
      </w:pPr>
      <w:r>
        <w:rPr>
          <w:spacing w:val="-3"/>
          <w:sz w:val="21"/>
        </w:rPr>
        <w:t>相关法律法规以及监管部门规定的其它投资限制；</w:t>
      </w:r>
    </w:p>
    <w:p>
      <w:pPr>
        <w:pStyle w:val="BodyText"/>
        <w:spacing w:before="6"/>
        <w:rPr>
          <w:sz w:val="15"/>
        </w:rPr>
      </w:pPr>
    </w:p>
    <w:p>
      <w:pPr>
        <w:pStyle w:val="ListParagraph"/>
        <w:numPr>
          <w:ilvl w:val="0"/>
          <w:numId w:val="22"/>
        </w:numPr>
        <w:tabs>
          <w:tab w:pos="1790" w:val="left" w:leader="none"/>
        </w:tabs>
        <w:spacing w:line="240" w:lineRule="auto" w:before="0" w:after="0"/>
        <w:ind w:left="1789" w:right="0" w:hanging="530"/>
        <w:jc w:val="left"/>
        <w:rPr>
          <w:sz w:val="21"/>
        </w:rPr>
      </w:pPr>
      <w:r>
        <w:rPr>
          <w:sz w:val="21"/>
        </w:rPr>
        <w:t>本基金保持不低于基金资产净值 </w:t>
      </w:r>
      <w:r>
        <w:rPr>
          <w:rFonts w:ascii="Times New Roman" w:eastAsia="Times New Roman"/>
          <w:sz w:val="21"/>
        </w:rPr>
        <w:t>5%</w:t>
      </w:r>
      <w:r>
        <w:rPr>
          <w:sz w:val="21"/>
        </w:rPr>
        <w:t>的现金或到期日在一年以内的政府债券，其</w:t>
      </w:r>
    </w:p>
    <w:p>
      <w:pPr>
        <w:spacing w:after="0" w:line="240" w:lineRule="auto"/>
        <w:jc w:val="left"/>
        <w:rPr>
          <w:sz w:val="21"/>
        </w:rPr>
        <w:sectPr>
          <w:pgSz w:w="11910" w:h="16840"/>
          <w:pgMar w:header="877" w:footer="995" w:top="1100" w:bottom="1180" w:left="960" w:right="900"/>
        </w:sectPr>
      </w:pPr>
    </w:p>
    <w:p>
      <w:pPr>
        <w:pStyle w:val="BodyText"/>
        <w:spacing w:before="4"/>
        <w:rPr>
          <w:sz w:val="27"/>
        </w:rPr>
      </w:pPr>
    </w:p>
    <w:p>
      <w:pPr>
        <w:pStyle w:val="BodyText"/>
        <w:spacing w:before="71"/>
        <w:ind w:left="840"/>
      </w:pPr>
      <w:r>
        <w:rPr/>
        <w:t>中现金不包括结算备付金、存出保证金和应收申购款等；</w:t>
      </w:r>
    </w:p>
    <w:p>
      <w:pPr>
        <w:pStyle w:val="BodyText"/>
        <w:spacing w:before="7"/>
        <w:rPr>
          <w:sz w:val="15"/>
        </w:rPr>
      </w:pPr>
    </w:p>
    <w:p>
      <w:pPr>
        <w:pStyle w:val="ListParagraph"/>
        <w:numPr>
          <w:ilvl w:val="0"/>
          <w:numId w:val="22"/>
        </w:numPr>
        <w:tabs>
          <w:tab w:pos="1790" w:val="left" w:leader="none"/>
        </w:tabs>
        <w:spacing w:line="417" w:lineRule="auto" w:before="0" w:after="0"/>
        <w:ind w:left="840" w:right="891" w:firstLine="419"/>
        <w:jc w:val="both"/>
        <w:rPr>
          <w:sz w:val="21"/>
        </w:rPr>
      </w:pPr>
      <w:r>
        <w:rPr>
          <w:spacing w:val="-3"/>
          <w:sz w:val="21"/>
        </w:rPr>
        <w:t>本基金管理人管理的全部开放式基金</w:t>
      </w:r>
      <w:r>
        <w:rPr>
          <w:sz w:val="21"/>
        </w:rPr>
        <w:t>（</w:t>
      </w:r>
      <w:r>
        <w:rPr>
          <w:spacing w:val="-3"/>
          <w:sz w:val="21"/>
        </w:rPr>
        <w:t>包括开放式基金以及处于开放期的定期开放基金）</w:t>
      </w:r>
      <w:r>
        <w:rPr>
          <w:spacing w:val="-2"/>
          <w:sz w:val="21"/>
        </w:rPr>
        <w:t>持有一家上市公司发行的可流通股票，不超过该上市公司可流通股票的 </w:t>
      </w:r>
      <w:r>
        <w:rPr>
          <w:rFonts w:ascii="Times New Roman" w:eastAsia="Times New Roman"/>
          <w:sz w:val="21"/>
        </w:rPr>
        <w:t>15</w:t>
      </w:r>
      <w:r>
        <w:rPr>
          <w:sz w:val="21"/>
        </w:rPr>
        <w:t>％；本</w:t>
      </w:r>
      <w:r>
        <w:rPr>
          <w:spacing w:val="-6"/>
          <w:sz w:val="21"/>
        </w:rPr>
        <w:t>基金管理人管理的全部投资组合持有一家上市公司发行的可流通股票，不超过该上市公司可</w:t>
      </w:r>
      <w:r>
        <w:rPr>
          <w:spacing w:val="-13"/>
          <w:sz w:val="21"/>
        </w:rPr>
        <w:t>流通股票的 </w:t>
      </w:r>
      <w:r>
        <w:rPr>
          <w:rFonts w:ascii="Times New Roman" w:eastAsia="Times New Roman"/>
          <w:sz w:val="21"/>
        </w:rPr>
        <w:t>30</w:t>
      </w:r>
      <w:r>
        <w:rPr>
          <w:sz w:val="21"/>
        </w:rPr>
        <w:t>％；</w:t>
      </w:r>
    </w:p>
    <w:p>
      <w:pPr>
        <w:pStyle w:val="ListParagraph"/>
        <w:numPr>
          <w:ilvl w:val="0"/>
          <w:numId w:val="22"/>
        </w:numPr>
        <w:tabs>
          <w:tab w:pos="1787" w:val="left" w:leader="none"/>
        </w:tabs>
        <w:spacing w:line="417" w:lineRule="auto" w:before="0" w:after="0"/>
        <w:ind w:left="840" w:right="891" w:firstLine="419"/>
        <w:jc w:val="both"/>
        <w:rPr>
          <w:sz w:val="21"/>
        </w:rPr>
      </w:pPr>
      <w:r>
        <w:rPr>
          <w:spacing w:val="-4"/>
          <w:sz w:val="21"/>
        </w:rPr>
        <w:t>本基金主动投资于流动性受限资产的市值合计不超过基金资产的 </w:t>
      </w:r>
      <w:r>
        <w:rPr>
          <w:rFonts w:ascii="Times New Roman" w:eastAsia="Times New Roman"/>
          <w:spacing w:val="-3"/>
          <w:sz w:val="21"/>
        </w:rPr>
        <w:t>15%</w:t>
      </w:r>
      <w:r>
        <w:rPr>
          <w:spacing w:val="-3"/>
          <w:sz w:val="21"/>
        </w:rPr>
        <w:t>；因证券市</w:t>
      </w:r>
      <w:r>
        <w:rPr>
          <w:spacing w:val="-12"/>
          <w:sz w:val="21"/>
        </w:rPr>
        <w:t>场波动、上市公司股票停牌、基金规模变动等基金管理人之外的因素致使基金不符合本项所</w:t>
      </w:r>
      <w:r>
        <w:rPr>
          <w:spacing w:val="-6"/>
          <w:sz w:val="21"/>
        </w:rPr>
        <w:t>规定的比例限制的，基金管理人不得主动新增流动性受限资产的投资；</w:t>
      </w:r>
    </w:p>
    <w:p>
      <w:pPr>
        <w:pStyle w:val="ListParagraph"/>
        <w:numPr>
          <w:ilvl w:val="0"/>
          <w:numId w:val="22"/>
        </w:numPr>
        <w:tabs>
          <w:tab w:pos="1893" w:val="left" w:leader="none"/>
        </w:tabs>
        <w:spacing w:line="417" w:lineRule="auto" w:before="0" w:after="0"/>
        <w:ind w:left="840" w:right="891" w:firstLine="419"/>
        <w:jc w:val="left"/>
        <w:rPr>
          <w:sz w:val="21"/>
        </w:rPr>
      </w:pPr>
      <w:r>
        <w:rPr>
          <w:spacing w:val="-3"/>
          <w:sz w:val="21"/>
        </w:rPr>
        <w:t>本基金与私募类证券资管产品及中国证监会认定的其他主体为交易对手开展逆回购交易的，可接受质押品的资质要求应当与投资范围保持一致；</w:t>
      </w:r>
    </w:p>
    <w:p>
      <w:pPr>
        <w:pStyle w:val="ListParagraph"/>
        <w:numPr>
          <w:ilvl w:val="0"/>
          <w:numId w:val="22"/>
        </w:numPr>
        <w:tabs>
          <w:tab w:pos="1886" w:val="left" w:leader="none"/>
        </w:tabs>
        <w:spacing w:line="417" w:lineRule="auto" w:before="0" w:after="0"/>
        <w:ind w:left="840" w:right="89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22"/>
        </w:numPr>
        <w:tabs>
          <w:tab w:pos="1895" w:val="left" w:leader="none"/>
        </w:tabs>
        <w:spacing w:line="269" w:lineRule="exact" w:before="0" w:after="0"/>
        <w:ind w:left="1895" w:right="0" w:hanging="635"/>
        <w:jc w:val="left"/>
        <w:rPr>
          <w:sz w:val="21"/>
        </w:rPr>
      </w:pPr>
      <w:r>
        <w:rPr>
          <w:spacing w:val="-3"/>
          <w:sz w:val="21"/>
        </w:rPr>
        <w:t>法律法规或监管部门取消上述限制，本基金不受上述限制。</w:t>
      </w:r>
    </w:p>
    <w:p>
      <w:pPr>
        <w:pStyle w:val="BodyText"/>
        <w:spacing w:before="6"/>
        <w:rPr>
          <w:sz w:val="15"/>
        </w:rPr>
      </w:pPr>
    </w:p>
    <w:p>
      <w:pPr>
        <w:pStyle w:val="BodyText"/>
        <w:spacing w:line="417" w:lineRule="auto"/>
        <w:ind w:left="840" w:right="891" w:firstLine="419"/>
        <w:jc w:val="both"/>
      </w:pPr>
      <w:r>
        <w:rPr>
          <w:spacing w:val="-5"/>
          <w:w w:val="100"/>
        </w:rPr>
        <w:t>除上述第</w:t>
      </w:r>
      <w:r>
        <w:rPr>
          <w:w w:val="100"/>
        </w:rPr>
        <w:t>（7</w:t>
      </w:r>
      <w:r>
        <w:rPr>
          <w:spacing w:val="-108"/>
          <w:w w:val="100"/>
        </w:rPr>
        <w:t>）</w:t>
      </w:r>
      <w:r>
        <w:rPr>
          <w:spacing w:val="-123"/>
          <w:w w:val="100"/>
        </w:rPr>
        <w:t>、</w:t>
      </w:r>
      <w:r>
        <w:rPr>
          <w:w w:val="100"/>
        </w:rPr>
        <w:t>（9</w:t>
      </w:r>
      <w:r>
        <w:rPr>
          <w:spacing w:val="-106"/>
          <w:w w:val="100"/>
        </w:rPr>
        <w:t>）</w:t>
      </w:r>
      <w:r>
        <w:rPr>
          <w:spacing w:val="-125"/>
          <w:w w:val="100"/>
        </w:rPr>
        <w:t>、</w:t>
      </w:r>
      <w:r>
        <w:rPr>
          <w:w w:val="100"/>
        </w:rPr>
        <w:t>（1</w:t>
      </w:r>
      <w:r>
        <w:rPr>
          <w:spacing w:val="-3"/>
          <w:w w:val="100"/>
        </w:rPr>
        <w:t>0</w:t>
      </w:r>
      <w:r>
        <w:rPr>
          <w:spacing w:val="-17"/>
          <w:w w:val="100"/>
        </w:rPr>
        <w:t>）</w:t>
      </w:r>
      <w:r>
        <w:rPr>
          <w:spacing w:val="-6"/>
          <w:w w:val="100"/>
        </w:rPr>
        <w:t>项外，由于证券市场波动、上市公司合并或基金规模变动等</w:t>
      </w:r>
      <w:r>
        <w:rPr>
          <w:spacing w:val="-7"/>
        </w:rPr>
        <w:t>基金管理人之外的原因导致的投资组合不符合上述约定的比例不在限制之内，但基金管理人</w:t>
      </w:r>
      <w:r>
        <w:rPr>
          <w:spacing w:val="-23"/>
        </w:rPr>
        <w:t>应在 </w:t>
      </w:r>
      <w:r>
        <w:rPr>
          <w:rFonts w:ascii="Times New Roman" w:eastAsia="Times New Roman"/>
        </w:rPr>
        <w:t>10 </w:t>
      </w:r>
      <w:r>
        <w:rPr>
          <w:spacing w:val="-3"/>
        </w:rPr>
        <w:t>个交易日内进行调整，以达到标准。</w:t>
      </w:r>
    </w:p>
    <w:p>
      <w:pPr>
        <w:pStyle w:val="BodyText"/>
        <w:rPr>
          <w:sz w:val="22"/>
        </w:rPr>
      </w:pPr>
    </w:p>
    <w:p>
      <w:pPr>
        <w:pStyle w:val="Heading4"/>
        <w:spacing w:before="186"/>
      </w:pPr>
      <w:r>
        <w:rPr/>
        <w:t>七、业绩比较基准</w:t>
      </w:r>
    </w:p>
    <w:p>
      <w:pPr>
        <w:pStyle w:val="BodyText"/>
        <w:spacing w:before="7"/>
        <w:rPr>
          <w:b/>
          <w:sz w:val="15"/>
        </w:rPr>
      </w:pPr>
    </w:p>
    <w:p>
      <w:pPr>
        <w:pStyle w:val="BodyText"/>
        <w:spacing w:line="417" w:lineRule="auto"/>
        <w:ind w:left="1260" w:right="1831"/>
      </w:pPr>
      <w:r>
        <w:rPr/>
        <w:t>基金整体业绩比较基准</w:t>
      </w:r>
      <w:r>
        <w:rPr>
          <w:rFonts w:ascii="Times New Roman" w:eastAsia="Times New Roman"/>
        </w:rPr>
        <w:t>=</w:t>
      </w:r>
      <w:r>
        <w:rPr/>
        <w:t>中证 </w:t>
      </w:r>
      <w:r>
        <w:rPr>
          <w:rFonts w:ascii="Times New Roman" w:eastAsia="Times New Roman"/>
        </w:rPr>
        <w:t>800 </w:t>
      </w:r>
      <w:r>
        <w:rPr/>
        <w:t>成长指数</w:t>
      </w:r>
      <w:r>
        <w:rPr>
          <w:rFonts w:ascii="Times New Roman" w:eastAsia="Times New Roman"/>
        </w:rPr>
        <w:t>*80%+</w:t>
      </w:r>
      <w:r>
        <w:rPr/>
        <w:t>银行同业存款利率</w:t>
      </w:r>
      <w:r>
        <w:rPr>
          <w:rFonts w:ascii="Times New Roman" w:eastAsia="Times New Roman"/>
        </w:rPr>
        <w:t>*20%</w:t>
      </w:r>
      <w:r>
        <w:rPr/>
        <w:t>。使用上述业绩比较基准的主要理由如下：</w:t>
      </w:r>
    </w:p>
    <w:p>
      <w:pPr>
        <w:pStyle w:val="BodyText"/>
        <w:spacing w:line="269" w:lineRule="exact"/>
        <w:ind w:left="840"/>
      </w:pPr>
      <w:r>
        <w:rPr>
          <w:rFonts w:ascii="Times New Roman" w:eastAsia="Times New Roman"/>
        </w:rPr>
        <w:t>1</w:t>
      </w:r>
      <w:r>
        <w:rPr/>
        <w:t>、风格的一致性</w:t>
      </w:r>
    </w:p>
    <w:p>
      <w:pPr>
        <w:pStyle w:val="BodyText"/>
        <w:spacing w:before="7"/>
        <w:rPr>
          <w:sz w:val="15"/>
        </w:rPr>
      </w:pPr>
    </w:p>
    <w:p>
      <w:pPr>
        <w:pStyle w:val="BodyText"/>
        <w:spacing w:line="417" w:lineRule="auto"/>
        <w:ind w:left="840" w:right="893" w:firstLine="419"/>
      </w:pPr>
      <w:r>
        <w:rPr>
          <w:spacing w:val="3"/>
        </w:rPr>
        <w:t>中证 </w:t>
      </w:r>
      <w:r>
        <w:rPr/>
        <w:t>800</w:t>
      </w:r>
      <w:r>
        <w:rPr>
          <w:spacing w:val="-3"/>
        </w:rPr>
        <w:t> 成长指数是由中证指数有限公司推出的中国 </w:t>
      </w:r>
      <w:r>
        <w:rPr/>
        <w:t>A</w:t>
      </w:r>
      <w:r>
        <w:rPr>
          <w:spacing w:val="-11"/>
        </w:rPr>
        <w:t> 股市场风格指数，与本基金的</w:t>
      </w:r>
      <w:r>
        <w:rPr>
          <w:spacing w:val="-6"/>
        </w:rPr>
        <w:t>投资风格定位具有一致性。</w:t>
      </w:r>
    </w:p>
    <w:p>
      <w:pPr>
        <w:pStyle w:val="BodyText"/>
        <w:spacing w:line="269" w:lineRule="exact"/>
        <w:ind w:left="840"/>
      </w:pPr>
      <w:r>
        <w:rPr>
          <w:rFonts w:ascii="Times New Roman" w:eastAsia="Times New Roman"/>
        </w:rPr>
        <w:t>2</w:t>
      </w:r>
      <w:r>
        <w:rPr/>
        <w:t>、复合基准构建的公允性</w:t>
      </w:r>
    </w:p>
    <w:p>
      <w:pPr>
        <w:pStyle w:val="BodyText"/>
        <w:spacing w:before="7"/>
        <w:rPr>
          <w:sz w:val="15"/>
        </w:rPr>
      </w:pPr>
    </w:p>
    <w:p>
      <w:pPr>
        <w:pStyle w:val="BodyText"/>
        <w:spacing w:line="417" w:lineRule="auto"/>
        <w:ind w:left="840" w:right="891" w:firstLine="419"/>
      </w:pPr>
      <w:r>
        <w:rPr>
          <w:spacing w:val="-6"/>
        </w:rPr>
        <w:t>本基金股票资产的配置比例为 </w:t>
      </w:r>
      <w:r>
        <w:rPr>
          <w:spacing w:val="-8"/>
        </w:rPr>
        <w:t>65-95</w:t>
      </w:r>
      <w:r>
        <w:rPr>
          <w:spacing w:val="-10"/>
        </w:rPr>
        <w:t>%，中位值为 </w:t>
      </w:r>
      <w:r>
        <w:rPr>
          <w:spacing w:val="-13"/>
        </w:rPr>
        <w:t>80</w:t>
      </w:r>
      <w:r>
        <w:rPr>
          <w:spacing w:val="-6"/>
        </w:rPr>
        <w:t>%，复合基准可以比较公允地反映基</w:t>
      </w:r>
      <w:r>
        <w:rPr>
          <w:spacing w:val="-4"/>
        </w:rPr>
        <w:t>金管理人的投资管理能力。</w:t>
      </w:r>
    </w:p>
    <w:p>
      <w:pPr>
        <w:pStyle w:val="BodyText"/>
        <w:spacing w:line="269" w:lineRule="exact"/>
        <w:ind w:left="840"/>
      </w:pPr>
      <w:r>
        <w:rPr>
          <w:rFonts w:ascii="Times New Roman" w:eastAsia="Times New Roman"/>
        </w:rPr>
        <w:t>3</w:t>
      </w:r>
      <w:r>
        <w:rPr/>
        <w:t>、易于观测性</w:t>
      </w:r>
    </w:p>
    <w:p>
      <w:pPr>
        <w:pStyle w:val="BodyText"/>
        <w:spacing w:before="6"/>
        <w:rPr>
          <w:sz w:val="15"/>
        </w:rPr>
      </w:pPr>
    </w:p>
    <w:p>
      <w:pPr>
        <w:pStyle w:val="BodyText"/>
        <w:spacing w:line="417" w:lineRule="auto" w:before="1"/>
        <w:ind w:left="840" w:right="891" w:firstLine="419"/>
      </w:pPr>
      <w:r>
        <w:rPr>
          <w:spacing w:val="-11"/>
        </w:rPr>
        <w:t>本基金的比较基准易于观察，任何投资人都可以使用公开的数据经过简单的算术运算获</w:t>
      </w:r>
      <w:r>
        <w:rPr>
          <w:spacing w:val="-6"/>
        </w:rPr>
        <w:t>得比较基准，保证了基金业绩评价的透明性。</w:t>
      </w:r>
    </w:p>
    <w:p>
      <w:pPr>
        <w:pStyle w:val="BodyText"/>
        <w:ind w:left="1260"/>
      </w:pPr>
      <w:r>
        <w:rPr/>
        <w:t>如果本基金业绩比较基准中所使用的指数暂停或终止发布，本基金的管理人可以在报备</w:t>
      </w:r>
    </w:p>
    <w:p>
      <w:pPr>
        <w:spacing w:after="0"/>
        <w:sectPr>
          <w:pgSz w:w="11910" w:h="16840"/>
          <w:pgMar w:header="877" w:footer="995" w:top="1100" w:bottom="1180" w:left="960" w:right="900"/>
        </w:sectPr>
      </w:pPr>
    </w:p>
    <w:p>
      <w:pPr>
        <w:pStyle w:val="BodyText"/>
        <w:spacing w:before="4"/>
        <w:rPr>
          <w:sz w:val="27"/>
        </w:rPr>
      </w:pPr>
    </w:p>
    <w:p>
      <w:pPr>
        <w:pStyle w:val="BodyText"/>
        <w:spacing w:before="71"/>
        <w:ind w:left="840"/>
      </w:pPr>
      <w:r>
        <w:rPr/>
        <w:t>中国证监会后，使用其他可以合理的作为业绩比较基准的指数代替原有指数。</w:t>
      </w:r>
    </w:p>
    <w:p>
      <w:pPr>
        <w:pStyle w:val="BodyText"/>
        <w:spacing w:before="7"/>
        <w:rPr>
          <w:sz w:val="15"/>
        </w:rPr>
      </w:pPr>
    </w:p>
    <w:p>
      <w:pPr>
        <w:pStyle w:val="BodyText"/>
        <w:spacing w:line="417" w:lineRule="auto"/>
        <w:ind w:left="840" w:right="785" w:firstLine="419"/>
      </w:pPr>
      <w:r>
        <w:rPr>
          <w:spacing w:val="-16"/>
        </w:rPr>
        <w:t>如果今后法律法规发生变化，或者有更权威的、能为市场普遍接受的业绩比较基准推出， </w:t>
      </w:r>
      <w:r>
        <w:rPr>
          <w:spacing w:val="-7"/>
        </w:rPr>
        <w:t>基金管理人可以在报中国证监会备案后变更业绩比较基准并及时公告。</w:t>
      </w:r>
    </w:p>
    <w:p>
      <w:pPr>
        <w:pStyle w:val="BodyText"/>
        <w:rPr>
          <w:sz w:val="20"/>
        </w:rPr>
      </w:pPr>
    </w:p>
    <w:p>
      <w:pPr>
        <w:pStyle w:val="BodyText"/>
        <w:spacing w:before="6"/>
        <w:rPr>
          <w:sz w:val="16"/>
        </w:rPr>
      </w:pPr>
    </w:p>
    <w:p>
      <w:pPr>
        <w:pStyle w:val="Heading4"/>
        <w:spacing w:before="1"/>
      </w:pPr>
      <w:r>
        <w:rPr/>
        <w:t>八、风险收益特征</w:t>
      </w:r>
    </w:p>
    <w:p>
      <w:pPr>
        <w:pStyle w:val="BodyText"/>
        <w:spacing w:before="6"/>
        <w:rPr>
          <w:b/>
          <w:sz w:val="15"/>
        </w:rPr>
      </w:pPr>
    </w:p>
    <w:p>
      <w:pPr>
        <w:pStyle w:val="BodyText"/>
        <w:spacing w:line="417" w:lineRule="auto"/>
        <w:ind w:left="840" w:right="891" w:firstLine="419"/>
      </w:pPr>
      <w:r>
        <w:rPr>
          <w:spacing w:val="-10"/>
        </w:rPr>
        <w:t>本基金是混合型基金，属于风险程度较高的投资品种，其预期风险和预期收益水平低于</w:t>
      </w:r>
      <w:r>
        <w:rPr>
          <w:spacing w:val="-5"/>
        </w:rPr>
        <w:t>股票型基金，高于货币型基金与债券型基金。</w:t>
      </w:r>
    </w:p>
    <w:p>
      <w:pPr>
        <w:pStyle w:val="BodyText"/>
        <w:spacing w:line="417" w:lineRule="auto" w:before="1"/>
        <w:ind w:left="840" w:right="891" w:firstLine="419"/>
        <w:jc w:val="both"/>
      </w:pPr>
      <w:r>
        <w:rPr>
          <w:spacing w:val="-16"/>
        </w:rPr>
        <w:t>根据 </w:t>
      </w:r>
      <w:r>
        <w:rPr>
          <w:rFonts w:ascii="Times New Roman" w:eastAsia="Times New Roman"/>
        </w:rPr>
        <w:t>2017 </w:t>
      </w:r>
      <w:r>
        <w:rPr>
          <w:spacing w:val="-23"/>
        </w:rPr>
        <w:t>年 </w:t>
      </w:r>
      <w:r>
        <w:rPr>
          <w:rFonts w:ascii="Times New Roman" w:eastAsia="Times New Roman"/>
        </w:rPr>
        <w:t>7 </w:t>
      </w:r>
      <w:r>
        <w:rPr>
          <w:spacing w:val="-23"/>
        </w:rPr>
        <w:t>月 </w:t>
      </w:r>
      <w:r>
        <w:rPr>
          <w:rFonts w:ascii="Times New Roman" w:eastAsia="Times New Roman"/>
        </w:rPr>
        <w:t>1 </w:t>
      </w:r>
      <w:r>
        <w:rPr>
          <w:spacing w:val="-16"/>
        </w:rPr>
        <w:t>日施行的《证券期货投资者适当性管理办法》，基金管理人和销售机</w:t>
      </w:r>
      <w:r>
        <w:rPr>
          <w:spacing w:val="-12"/>
        </w:rPr>
        <w:t>构已对本基金重新进行风险评级，风险评级行为不改变本基金的实际性风险收益特征，但由于风险等级分类标准的变化，本基金的风险等级表述可能有相应变化，具体风险评级结果应</w:t>
      </w:r>
      <w:r>
        <w:rPr>
          <w:spacing w:val="-6"/>
        </w:rPr>
        <w:t>当以基金管理人和销售机构提供的评级结果为准。</w:t>
      </w:r>
    </w:p>
    <w:p>
      <w:pPr>
        <w:pStyle w:val="BodyText"/>
        <w:spacing w:line="417" w:lineRule="auto"/>
        <w:ind w:left="840" w:right="891" w:firstLine="419"/>
      </w:pPr>
      <w:r>
        <w:rPr>
          <w:spacing w:val="-9"/>
        </w:rPr>
        <w:t>依据本基金投资组合管理方法的特征，本基金将投资组合管理中面临的各类别风险定义如下：</w:t>
      </w:r>
    </w:p>
    <w:p>
      <w:pPr>
        <w:pStyle w:val="BodyText"/>
        <w:spacing w:line="269" w:lineRule="exact"/>
        <w:ind w:left="840"/>
      </w:pPr>
      <w:r>
        <w:rPr>
          <w:rFonts w:ascii="Times New Roman" w:eastAsia="Times New Roman"/>
        </w:rPr>
        <w:t>1</w:t>
      </w:r>
      <w:r>
        <w:rPr/>
        <w:t>、各类别风险定义</w:t>
      </w:r>
    </w:p>
    <w:p>
      <w:pPr>
        <w:pStyle w:val="BodyText"/>
        <w:spacing w:before="6"/>
        <w:rPr>
          <w:sz w:val="15"/>
        </w:rPr>
      </w:pPr>
    </w:p>
    <w:p>
      <w:pPr>
        <w:pStyle w:val="ListParagraph"/>
        <w:numPr>
          <w:ilvl w:val="0"/>
          <w:numId w:val="23"/>
        </w:numPr>
        <w:tabs>
          <w:tab w:pos="1370" w:val="left" w:leader="none"/>
        </w:tabs>
        <w:spacing w:line="240" w:lineRule="auto" w:before="0" w:after="0"/>
        <w:ind w:left="1369" w:right="0" w:hanging="530"/>
        <w:jc w:val="left"/>
        <w:rPr>
          <w:sz w:val="21"/>
        </w:rPr>
      </w:pPr>
      <w:r>
        <w:rPr>
          <w:spacing w:val="-3"/>
          <w:sz w:val="21"/>
        </w:rPr>
        <w:t>投资组合风险</w:t>
      </w:r>
    </w:p>
    <w:p>
      <w:pPr>
        <w:pStyle w:val="BodyText"/>
        <w:spacing w:before="7"/>
        <w:rPr>
          <w:sz w:val="15"/>
        </w:rPr>
      </w:pPr>
    </w:p>
    <w:p>
      <w:pPr>
        <w:pStyle w:val="BodyText"/>
        <w:spacing w:line="417" w:lineRule="auto"/>
        <w:ind w:left="840" w:right="891" w:firstLine="419"/>
      </w:pPr>
      <w:r>
        <w:rPr>
          <w:spacing w:val="-9"/>
        </w:rPr>
        <w:t>在基金日常管理风险过程中，由投资部对投资组合风险进行监控和管理。此类风险主要</w:t>
      </w:r>
      <w:r>
        <w:rPr>
          <w:spacing w:val="-5"/>
        </w:rPr>
        <w:t>包括以下几种：</w:t>
      </w:r>
    </w:p>
    <w:p>
      <w:pPr>
        <w:pStyle w:val="ListParagraph"/>
        <w:numPr>
          <w:ilvl w:val="1"/>
          <w:numId w:val="23"/>
        </w:numPr>
        <w:tabs>
          <w:tab w:pos="1682" w:val="left" w:leader="none"/>
        </w:tabs>
        <w:spacing w:line="269" w:lineRule="exact" w:before="0" w:after="0"/>
        <w:ind w:left="1681" w:right="0" w:hanging="482"/>
        <w:jc w:val="left"/>
        <w:rPr>
          <w:sz w:val="21"/>
        </w:rPr>
      </w:pPr>
      <w:r>
        <w:rPr>
          <w:spacing w:val="-3"/>
          <w:sz w:val="21"/>
        </w:rPr>
        <w:t>系统性风险：基金在投资中因市场原因而无法规避的风险；</w:t>
      </w:r>
    </w:p>
    <w:p>
      <w:pPr>
        <w:pStyle w:val="BodyText"/>
        <w:spacing w:before="6"/>
        <w:rPr>
          <w:sz w:val="15"/>
        </w:rPr>
      </w:pPr>
    </w:p>
    <w:p>
      <w:pPr>
        <w:pStyle w:val="ListParagraph"/>
        <w:numPr>
          <w:ilvl w:val="1"/>
          <w:numId w:val="23"/>
        </w:numPr>
        <w:tabs>
          <w:tab w:pos="1739" w:val="left" w:leader="none"/>
        </w:tabs>
        <w:spacing w:line="240" w:lineRule="auto" w:before="1" w:after="0"/>
        <w:ind w:left="1739" w:right="0" w:hanging="539"/>
        <w:jc w:val="left"/>
        <w:rPr>
          <w:sz w:val="21"/>
        </w:rPr>
      </w:pPr>
      <w:r>
        <w:rPr>
          <w:spacing w:val="-7"/>
          <w:sz w:val="21"/>
        </w:rPr>
        <w:t>行业配置风险：基金中某行业投资比例出现与基准的较大偏差而可能产生的风险；</w:t>
      </w:r>
    </w:p>
    <w:p>
      <w:pPr>
        <w:pStyle w:val="BodyText"/>
        <w:spacing w:before="6"/>
        <w:rPr>
          <w:sz w:val="15"/>
        </w:rPr>
      </w:pPr>
    </w:p>
    <w:p>
      <w:pPr>
        <w:pStyle w:val="ListParagraph"/>
        <w:numPr>
          <w:ilvl w:val="1"/>
          <w:numId w:val="23"/>
        </w:numPr>
        <w:tabs>
          <w:tab w:pos="1797" w:val="left" w:leader="none"/>
        </w:tabs>
        <w:spacing w:line="417" w:lineRule="auto" w:before="0" w:after="0"/>
        <w:ind w:left="840" w:right="891" w:firstLine="359"/>
        <w:jc w:val="left"/>
        <w:rPr>
          <w:sz w:val="21"/>
        </w:rPr>
      </w:pPr>
      <w:r>
        <w:rPr>
          <w:spacing w:val="-3"/>
          <w:sz w:val="21"/>
        </w:rPr>
        <w:t>证券选择风险：基金中某只股票的持仓比例出现与基准的较大偏差而可能产生的风险；</w:t>
      </w:r>
    </w:p>
    <w:p>
      <w:pPr>
        <w:pStyle w:val="ListParagraph"/>
        <w:numPr>
          <w:ilvl w:val="1"/>
          <w:numId w:val="23"/>
        </w:numPr>
        <w:tabs>
          <w:tab w:pos="1785" w:val="left" w:leader="none"/>
        </w:tabs>
        <w:spacing w:line="417" w:lineRule="auto" w:before="1" w:after="0"/>
        <w:ind w:left="840" w:right="894" w:firstLine="359"/>
        <w:jc w:val="left"/>
        <w:rPr>
          <w:sz w:val="21"/>
        </w:rPr>
      </w:pPr>
      <w:r>
        <w:rPr>
          <w:spacing w:val="-3"/>
          <w:sz w:val="21"/>
        </w:rPr>
        <w:t>风格风险：基金在投资风格上与基准之间产生偏差，偏重于某种风格而产生的风险。</w:t>
      </w:r>
    </w:p>
    <w:p>
      <w:pPr>
        <w:pStyle w:val="ListParagraph"/>
        <w:numPr>
          <w:ilvl w:val="0"/>
          <w:numId w:val="23"/>
        </w:numPr>
        <w:tabs>
          <w:tab w:pos="1370" w:val="left" w:leader="none"/>
        </w:tabs>
        <w:spacing w:line="269" w:lineRule="exact" w:before="0" w:after="0"/>
        <w:ind w:left="1369" w:right="0" w:hanging="530"/>
        <w:jc w:val="left"/>
        <w:rPr>
          <w:sz w:val="21"/>
        </w:rPr>
      </w:pPr>
      <w:r>
        <w:rPr>
          <w:spacing w:val="-2"/>
          <w:sz w:val="21"/>
        </w:rPr>
        <w:t>个股风险</w:t>
      </w:r>
    </w:p>
    <w:p>
      <w:pPr>
        <w:pStyle w:val="BodyText"/>
        <w:spacing w:before="6"/>
        <w:rPr>
          <w:sz w:val="15"/>
        </w:rPr>
      </w:pPr>
    </w:p>
    <w:p>
      <w:pPr>
        <w:pStyle w:val="BodyText"/>
        <w:spacing w:line="417" w:lineRule="auto"/>
        <w:ind w:left="840" w:right="891" w:firstLine="419"/>
      </w:pPr>
      <w:r>
        <w:rPr>
          <w:spacing w:val="-9"/>
        </w:rPr>
        <w:t>在基金日常管理风险过程中，由投资部对个股风险进行监控和管理。此类风险主要包括</w:t>
      </w:r>
      <w:r>
        <w:rPr>
          <w:spacing w:val="-5"/>
        </w:rPr>
        <w:t>以下几种：</w:t>
      </w:r>
    </w:p>
    <w:p>
      <w:pPr>
        <w:pStyle w:val="ListParagraph"/>
        <w:numPr>
          <w:ilvl w:val="0"/>
          <w:numId w:val="24"/>
        </w:numPr>
        <w:tabs>
          <w:tab w:pos="1682" w:val="left" w:leader="none"/>
        </w:tabs>
        <w:spacing w:line="417" w:lineRule="auto" w:before="0" w:after="0"/>
        <w:ind w:left="840" w:right="891" w:firstLine="359"/>
        <w:jc w:val="left"/>
        <w:rPr>
          <w:sz w:val="21"/>
        </w:rPr>
      </w:pPr>
      <w:r>
        <w:rPr>
          <w:spacing w:val="-9"/>
          <w:sz w:val="21"/>
        </w:rPr>
        <w:t>财务风险：基金在投资过程中，由于对上市公司基本面特别是财务状况判断出现 </w:t>
      </w:r>
      <w:r>
        <w:rPr>
          <w:spacing w:val="-3"/>
          <w:sz w:val="21"/>
        </w:rPr>
        <w:t>失误，造成基金资产净值受损的风险；</w:t>
      </w:r>
    </w:p>
    <w:p>
      <w:pPr>
        <w:pStyle w:val="ListParagraph"/>
        <w:numPr>
          <w:ilvl w:val="0"/>
          <w:numId w:val="24"/>
        </w:numPr>
        <w:tabs>
          <w:tab w:pos="1744" w:val="left" w:leader="none"/>
        </w:tabs>
        <w:spacing w:line="417" w:lineRule="auto" w:before="0" w:after="0"/>
        <w:ind w:left="840" w:right="896" w:firstLine="359"/>
        <w:jc w:val="left"/>
        <w:rPr>
          <w:sz w:val="21"/>
        </w:rPr>
      </w:pPr>
      <w:r>
        <w:rPr>
          <w:spacing w:val="-1"/>
          <w:sz w:val="21"/>
        </w:rPr>
        <w:t>流动性风险：基金资产不能迅速、低成本地转变成现金，或者不能应付可能出现</w:t>
      </w:r>
      <w:r>
        <w:rPr>
          <w:spacing w:val="-3"/>
          <w:sz w:val="21"/>
        </w:rPr>
        <w:t>地投资者大额赎回的风险；</w:t>
      </w:r>
    </w:p>
    <w:p>
      <w:pPr>
        <w:spacing w:after="0" w:line="417"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24"/>
        </w:numPr>
        <w:tabs>
          <w:tab w:pos="1797" w:val="left" w:leader="none"/>
        </w:tabs>
        <w:spacing w:line="417" w:lineRule="auto" w:before="78" w:after="0"/>
        <w:ind w:left="840" w:right="891" w:firstLine="359"/>
        <w:jc w:val="left"/>
        <w:rPr>
          <w:sz w:val="21"/>
        </w:rPr>
      </w:pPr>
      <w:r>
        <w:rPr>
          <w:spacing w:val="-3"/>
          <w:sz w:val="21"/>
        </w:rPr>
        <w:t>价格风险：在一定时间期限内，当基金中某只证券的二级市场股票价格波动幅度超出一定比例；</w:t>
      </w:r>
    </w:p>
    <w:p>
      <w:pPr>
        <w:pStyle w:val="ListParagraph"/>
        <w:numPr>
          <w:ilvl w:val="0"/>
          <w:numId w:val="23"/>
        </w:numPr>
        <w:tabs>
          <w:tab w:pos="1370" w:val="left" w:leader="none"/>
        </w:tabs>
        <w:spacing w:line="269" w:lineRule="exact" w:before="0" w:after="0"/>
        <w:ind w:left="1369" w:right="0" w:hanging="530"/>
        <w:jc w:val="left"/>
        <w:rPr>
          <w:sz w:val="21"/>
        </w:rPr>
      </w:pPr>
      <w:r>
        <w:rPr>
          <w:spacing w:val="-3"/>
          <w:sz w:val="21"/>
        </w:rPr>
        <w:t>衍生工具风险</w:t>
      </w:r>
    </w:p>
    <w:p>
      <w:pPr>
        <w:pStyle w:val="BodyText"/>
        <w:spacing w:before="7"/>
        <w:rPr>
          <w:sz w:val="15"/>
        </w:rPr>
      </w:pPr>
    </w:p>
    <w:p>
      <w:pPr>
        <w:pStyle w:val="BodyText"/>
        <w:spacing w:line="417" w:lineRule="auto"/>
        <w:ind w:left="840" w:right="891" w:firstLine="419"/>
      </w:pPr>
      <w:r>
        <w:rPr>
          <w:spacing w:val="-8"/>
        </w:rPr>
        <w:t>在基金日常管理风险过程中，由投资部对个股风险进行监控和管理。目前，此类风险主</w:t>
      </w:r>
      <w:r>
        <w:rPr>
          <w:spacing w:val="-5"/>
        </w:rPr>
        <w:t>要指由权证投资引发的风险。</w:t>
      </w:r>
    </w:p>
    <w:p>
      <w:pPr>
        <w:pStyle w:val="ListParagraph"/>
        <w:numPr>
          <w:ilvl w:val="0"/>
          <w:numId w:val="23"/>
        </w:numPr>
        <w:tabs>
          <w:tab w:pos="1370" w:val="left" w:leader="none"/>
        </w:tabs>
        <w:spacing w:line="269" w:lineRule="exact" w:before="0" w:after="0"/>
        <w:ind w:left="1369" w:right="0" w:hanging="530"/>
        <w:jc w:val="left"/>
        <w:rPr>
          <w:sz w:val="21"/>
        </w:rPr>
      </w:pPr>
      <w:r>
        <w:rPr>
          <w:spacing w:val="-3"/>
          <w:sz w:val="21"/>
        </w:rPr>
        <w:t>作业执行风险</w:t>
      </w:r>
    </w:p>
    <w:p>
      <w:pPr>
        <w:pStyle w:val="BodyText"/>
        <w:spacing w:before="6"/>
        <w:rPr>
          <w:sz w:val="15"/>
        </w:rPr>
      </w:pPr>
    </w:p>
    <w:p>
      <w:pPr>
        <w:pStyle w:val="BodyText"/>
        <w:spacing w:line="417" w:lineRule="auto" w:before="1"/>
        <w:ind w:left="840" w:right="891" w:firstLine="419"/>
        <w:jc w:val="both"/>
      </w:pPr>
      <w:r>
        <w:rPr>
          <w:spacing w:val="-10"/>
        </w:rPr>
        <w:t>在基金日常管理风险过程中，由运营部及法律、监察稽核部对作业风险进行实时预警与</w:t>
      </w:r>
      <w:r>
        <w:rPr>
          <w:spacing w:val="-12"/>
        </w:rPr>
        <w:t>监控。此类风险主要包括基金在日常操作中出现违反法规或公司相关管理制度，或者交易执</w:t>
      </w:r>
      <w:r>
        <w:rPr>
          <w:spacing w:val="-6"/>
        </w:rPr>
        <w:t>行中的操作失误以及信息系统故障产生的风险。</w:t>
      </w:r>
    </w:p>
    <w:p>
      <w:pPr>
        <w:pStyle w:val="BodyText"/>
        <w:ind w:left="840"/>
      </w:pPr>
      <w:r>
        <w:rPr>
          <w:rFonts w:ascii="Times New Roman" w:eastAsia="Times New Roman"/>
        </w:rPr>
        <w:t>2</w:t>
      </w:r>
      <w:r>
        <w:rPr/>
        <w:t>、风险管理措施</w:t>
      </w:r>
    </w:p>
    <w:p>
      <w:pPr>
        <w:pStyle w:val="BodyText"/>
        <w:spacing w:before="6"/>
        <w:rPr>
          <w:sz w:val="15"/>
        </w:rPr>
      </w:pPr>
    </w:p>
    <w:p>
      <w:pPr>
        <w:pStyle w:val="ListParagraph"/>
        <w:numPr>
          <w:ilvl w:val="0"/>
          <w:numId w:val="25"/>
        </w:numPr>
        <w:tabs>
          <w:tab w:pos="1370" w:val="left" w:leader="none"/>
        </w:tabs>
        <w:spacing w:line="240" w:lineRule="auto" w:before="1" w:after="0"/>
        <w:ind w:left="1369" w:right="0" w:hanging="530"/>
        <w:jc w:val="left"/>
        <w:rPr>
          <w:sz w:val="21"/>
        </w:rPr>
      </w:pPr>
      <w:r>
        <w:rPr>
          <w:spacing w:val="-3"/>
          <w:sz w:val="21"/>
        </w:rPr>
        <w:t>投资组合风险</w:t>
      </w:r>
    </w:p>
    <w:p>
      <w:pPr>
        <w:pStyle w:val="BodyText"/>
        <w:spacing w:before="6"/>
        <w:rPr>
          <w:sz w:val="15"/>
        </w:rPr>
      </w:pPr>
    </w:p>
    <w:p>
      <w:pPr>
        <w:pStyle w:val="BodyText"/>
        <w:spacing w:line="417" w:lineRule="auto"/>
        <w:ind w:left="840" w:right="797" w:firstLine="419"/>
      </w:pPr>
      <w:r>
        <w:rPr>
          <w:spacing w:val="-3"/>
        </w:rPr>
        <w:t>本公司运用国际通行的风险管理系统，以跟踪误差为核心，建立一整套评估指标测量、</w:t>
      </w:r>
      <w:r>
        <w:rPr>
          <w:spacing w:val="-9"/>
        </w:rPr>
        <w:t>分析跟踪误差的构成，判断风格因素、行业因素、个股因素对跟踪误差的影响。同时，运用</w:t>
      </w:r>
      <w:r>
        <w:rPr>
          <w:spacing w:val="-5"/>
        </w:rPr>
        <w:t>国际通行的回报分析系统将基金的超额回报</w:t>
      </w:r>
      <w:r>
        <w:rPr>
          <w:spacing w:val="-3"/>
        </w:rPr>
        <w:t>/风险分解为时机选择、风格选择、行业选择、</w:t>
      </w:r>
      <w:r>
        <w:rPr>
          <w:spacing w:val="-10"/>
        </w:rPr>
        <w:t>个股选择四类回报，有效地帮助基金管理人了解超额回报来源以及相应承受的风险水平，为基金管理人资产调整提供参考性的指引，以实现在有效控制组合风险的情况下获取更高的超</w:t>
      </w:r>
      <w:r>
        <w:rPr>
          <w:spacing w:val="-6"/>
        </w:rPr>
        <w:t>额收益。</w:t>
      </w:r>
    </w:p>
    <w:p>
      <w:pPr>
        <w:pStyle w:val="ListParagraph"/>
        <w:numPr>
          <w:ilvl w:val="0"/>
          <w:numId w:val="25"/>
        </w:numPr>
        <w:tabs>
          <w:tab w:pos="1370" w:val="left" w:leader="none"/>
        </w:tabs>
        <w:spacing w:line="268" w:lineRule="exact" w:before="0" w:after="0"/>
        <w:ind w:left="1369" w:right="0" w:hanging="530"/>
        <w:jc w:val="left"/>
        <w:rPr>
          <w:sz w:val="21"/>
        </w:rPr>
      </w:pPr>
      <w:r>
        <w:rPr>
          <w:spacing w:val="-2"/>
          <w:sz w:val="21"/>
        </w:rPr>
        <w:t>个股风险</w:t>
      </w:r>
    </w:p>
    <w:p>
      <w:pPr>
        <w:pStyle w:val="BodyText"/>
        <w:spacing w:before="7"/>
        <w:rPr>
          <w:sz w:val="15"/>
        </w:rPr>
      </w:pPr>
    </w:p>
    <w:p>
      <w:pPr>
        <w:pStyle w:val="ListParagraph"/>
        <w:numPr>
          <w:ilvl w:val="1"/>
          <w:numId w:val="25"/>
        </w:numPr>
        <w:tabs>
          <w:tab w:pos="1790" w:val="left" w:leader="none"/>
        </w:tabs>
        <w:spacing w:line="417" w:lineRule="auto" w:before="0" w:after="0"/>
        <w:ind w:left="840" w:right="891" w:firstLine="419"/>
        <w:jc w:val="both"/>
        <w:rPr>
          <w:sz w:val="21"/>
        </w:rPr>
      </w:pPr>
      <w:r>
        <w:rPr>
          <w:spacing w:val="-3"/>
          <w:sz w:val="21"/>
        </w:rPr>
        <w:t>财务风险。本公司投资以基本面为基础，个股的挑选不仅注重盈利的成长动能以</w:t>
      </w:r>
      <w:r>
        <w:rPr>
          <w:spacing w:val="-3"/>
          <w:w w:val="100"/>
          <w:sz w:val="21"/>
        </w:rPr>
        <w:t>及价值评估，还重视个股的财务风险。通过景顺长城“股票研究数据库</w:t>
      </w:r>
      <w:r>
        <w:rPr>
          <w:w w:val="100"/>
          <w:sz w:val="21"/>
        </w:rPr>
        <w:t>（SR</w:t>
      </w:r>
      <w:r>
        <w:rPr>
          <w:spacing w:val="-3"/>
          <w:w w:val="100"/>
          <w:sz w:val="21"/>
        </w:rPr>
        <w:t>D</w:t>
      </w:r>
      <w:r>
        <w:rPr>
          <w:spacing w:val="-106"/>
          <w:w w:val="100"/>
          <w:sz w:val="21"/>
        </w:rPr>
        <w:t>）”</w:t>
      </w:r>
      <w:r>
        <w:rPr>
          <w:spacing w:val="-1"/>
          <w:w w:val="100"/>
          <w:sz w:val="21"/>
        </w:rPr>
        <w:t>，详尽评估</w:t>
      </w:r>
      <w:r>
        <w:rPr>
          <w:spacing w:val="-10"/>
          <w:sz w:val="21"/>
        </w:rPr>
        <w:t>公司的财务状况，包括资产负债结构、现金流状况、营运状况、盈利能力等，并通过对所投</w:t>
      </w:r>
      <w:r>
        <w:rPr>
          <w:spacing w:val="-5"/>
          <w:sz w:val="21"/>
        </w:rPr>
        <w:t>资品种的实地调研及公司业绩的合理性分析，有效规避可能的财务风险。</w:t>
      </w:r>
    </w:p>
    <w:p>
      <w:pPr>
        <w:pStyle w:val="ListParagraph"/>
        <w:numPr>
          <w:ilvl w:val="1"/>
          <w:numId w:val="25"/>
        </w:numPr>
        <w:tabs>
          <w:tab w:pos="1893" w:val="left" w:leader="none"/>
        </w:tabs>
        <w:spacing w:line="417" w:lineRule="auto" w:before="0" w:after="0"/>
        <w:ind w:left="840" w:right="891" w:firstLine="419"/>
        <w:jc w:val="left"/>
        <w:rPr>
          <w:sz w:val="21"/>
        </w:rPr>
      </w:pPr>
      <w:r>
        <w:rPr>
          <w:spacing w:val="-10"/>
          <w:sz w:val="21"/>
        </w:rPr>
        <w:t>流动性风险。流动性风险管理的具体指标是行业集中度、个股集中度和流动性 比率。</w:t>
      </w:r>
    </w:p>
    <w:p>
      <w:pPr>
        <w:pStyle w:val="ListParagraph"/>
        <w:numPr>
          <w:ilvl w:val="1"/>
          <w:numId w:val="25"/>
        </w:numPr>
        <w:tabs>
          <w:tab w:pos="1857" w:val="left" w:leader="none"/>
        </w:tabs>
        <w:spacing w:line="417" w:lineRule="auto" w:before="0" w:after="0"/>
        <w:ind w:left="840" w:right="893" w:firstLine="419"/>
        <w:jc w:val="left"/>
        <w:rPr>
          <w:sz w:val="21"/>
        </w:rPr>
      </w:pPr>
      <w:r>
        <w:rPr>
          <w:spacing w:val="-7"/>
          <w:sz w:val="21"/>
        </w:rPr>
        <w:t>价格风险。建立并执行实时价格异常监控机制，任何异常变化将通知相关研究 </w:t>
      </w:r>
      <w:r>
        <w:rPr>
          <w:spacing w:val="-2"/>
          <w:sz w:val="21"/>
        </w:rPr>
        <w:t>人员分析调查。</w:t>
      </w:r>
    </w:p>
    <w:p>
      <w:pPr>
        <w:pStyle w:val="ListParagraph"/>
        <w:numPr>
          <w:ilvl w:val="0"/>
          <w:numId w:val="25"/>
        </w:numPr>
        <w:tabs>
          <w:tab w:pos="1370" w:val="left" w:leader="none"/>
        </w:tabs>
        <w:spacing w:line="269" w:lineRule="exact" w:before="0" w:after="0"/>
        <w:ind w:left="1369" w:right="0" w:hanging="530"/>
        <w:jc w:val="left"/>
        <w:rPr>
          <w:sz w:val="21"/>
        </w:rPr>
      </w:pPr>
      <w:r>
        <w:rPr>
          <w:spacing w:val="-3"/>
          <w:sz w:val="21"/>
        </w:rPr>
        <w:t>衍生工具风险</w:t>
      </w:r>
    </w:p>
    <w:p>
      <w:pPr>
        <w:pStyle w:val="BodyText"/>
        <w:spacing w:before="6"/>
        <w:rPr>
          <w:sz w:val="15"/>
        </w:rPr>
      </w:pPr>
    </w:p>
    <w:p>
      <w:pPr>
        <w:pStyle w:val="BodyText"/>
        <w:ind w:left="1260"/>
      </w:pPr>
      <w:r>
        <w:rPr/>
        <w:t>对权证投资风险所采取的风险管理措施主要包括：</w:t>
      </w:r>
    </w:p>
    <w:p>
      <w:pPr>
        <w:pStyle w:val="BodyText"/>
        <w:spacing w:before="7"/>
        <w:rPr>
          <w:sz w:val="15"/>
        </w:rPr>
      </w:pPr>
    </w:p>
    <w:p>
      <w:pPr>
        <w:pStyle w:val="ListParagraph"/>
        <w:numPr>
          <w:ilvl w:val="0"/>
          <w:numId w:val="26"/>
        </w:numPr>
        <w:tabs>
          <w:tab w:pos="1742" w:val="left" w:leader="none"/>
        </w:tabs>
        <w:spacing w:line="240" w:lineRule="auto" w:before="1" w:after="0"/>
        <w:ind w:left="1741" w:right="0" w:hanging="482"/>
        <w:jc w:val="left"/>
        <w:rPr>
          <w:sz w:val="21"/>
        </w:rPr>
      </w:pPr>
      <w:r>
        <w:rPr>
          <w:spacing w:val="-3"/>
          <w:sz w:val="21"/>
        </w:rPr>
        <w:t>制定权证投资管理制度，并根据实际情况进行更新调整。</w:t>
      </w:r>
    </w:p>
    <w:p>
      <w:pPr>
        <w:pStyle w:val="BodyText"/>
        <w:spacing w:before="6"/>
        <w:rPr>
          <w:sz w:val="15"/>
        </w:rPr>
      </w:pPr>
    </w:p>
    <w:p>
      <w:pPr>
        <w:pStyle w:val="ListParagraph"/>
        <w:numPr>
          <w:ilvl w:val="0"/>
          <w:numId w:val="26"/>
        </w:numPr>
        <w:tabs>
          <w:tab w:pos="1799" w:val="left" w:leader="none"/>
        </w:tabs>
        <w:spacing w:line="240" w:lineRule="auto" w:before="0" w:after="0"/>
        <w:ind w:left="1799" w:right="0" w:hanging="539"/>
        <w:jc w:val="left"/>
        <w:rPr>
          <w:sz w:val="21"/>
        </w:rPr>
      </w:pPr>
      <w:r>
        <w:rPr>
          <w:spacing w:val="-3"/>
          <w:sz w:val="21"/>
        </w:rPr>
        <w:t>严格执行公司的投资管理制度。</w:t>
      </w:r>
    </w:p>
    <w:p>
      <w:pPr>
        <w:spacing w:after="0" w:line="240"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26"/>
        </w:numPr>
        <w:tabs>
          <w:tab w:pos="1857" w:val="left" w:leader="none"/>
        </w:tabs>
        <w:spacing w:line="240" w:lineRule="auto" w:before="78" w:after="0"/>
        <w:ind w:left="1856" w:right="0" w:hanging="597"/>
        <w:jc w:val="left"/>
        <w:rPr>
          <w:sz w:val="21"/>
        </w:rPr>
      </w:pPr>
      <w:r>
        <w:rPr>
          <w:spacing w:val="-3"/>
          <w:sz w:val="21"/>
        </w:rPr>
        <w:t>对权证市场进行充分研究并定期对权证投资进行风险和绩效评估。</w:t>
      </w:r>
    </w:p>
    <w:p>
      <w:pPr>
        <w:pStyle w:val="BodyText"/>
        <w:spacing w:before="7"/>
        <w:rPr>
          <w:sz w:val="15"/>
        </w:rPr>
      </w:pPr>
    </w:p>
    <w:p>
      <w:pPr>
        <w:pStyle w:val="ListParagraph"/>
        <w:numPr>
          <w:ilvl w:val="0"/>
          <w:numId w:val="25"/>
        </w:numPr>
        <w:tabs>
          <w:tab w:pos="1370" w:val="left" w:leader="none"/>
        </w:tabs>
        <w:spacing w:line="240" w:lineRule="auto" w:before="0" w:after="0"/>
        <w:ind w:left="1369" w:right="0" w:hanging="530"/>
        <w:jc w:val="left"/>
        <w:rPr>
          <w:sz w:val="21"/>
        </w:rPr>
      </w:pPr>
      <w:r>
        <w:rPr>
          <w:spacing w:val="-3"/>
          <w:sz w:val="21"/>
        </w:rPr>
        <w:t>作业执行风险</w:t>
      </w:r>
    </w:p>
    <w:p>
      <w:pPr>
        <w:pStyle w:val="BodyText"/>
        <w:spacing w:before="6"/>
        <w:rPr>
          <w:sz w:val="15"/>
        </w:rPr>
      </w:pPr>
    </w:p>
    <w:p>
      <w:pPr>
        <w:pStyle w:val="BodyText"/>
        <w:spacing w:line="417" w:lineRule="auto" w:before="1"/>
        <w:ind w:left="840" w:right="891" w:firstLine="419"/>
        <w:jc w:val="both"/>
      </w:pPr>
      <w:r>
        <w:rPr>
          <w:spacing w:val="-7"/>
        </w:rPr>
        <w:t>作业执行风险识别与衡量的具体指标是法规限制和投资比例限制。本公司信息系统除定</w:t>
      </w:r>
      <w:r>
        <w:rPr>
          <w:spacing w:val="-5"/>
          <w:w w:val="100"/>
        </w:rPr>
        <w:t>期进行数据备份之外，并定有灾难回复计划</w:t>
      </w:r>
      <w:r>
        <w:rPr>
          <w:spacing w:val="-3"/>
          <w:w w:val="100"/>
        </w:rPr>
        <w:t>（</w:t>
      </w:r>
      <w:r>
        <w:rPr>
          <w:rFonts w:ascii="Times New Roman" w:eastAsia="Times New Roman"/>
          <w:w w:val="100"/>
        </w:rPr>
        <w:t>B</w:t>
      </w:r>
      <w:r>
        <w:rPr>
          <w:rFonts w:ascii="Times New Roman" w:eastAsia="Times New Roman"/>
          <w:w w:val="100"/>
        </w:rPr>
        <w:t>us</w:t>
      </w:r>
      <w:r>
        <w:rPr>
          <w:rFonts w:ascii="Times New Roman" w:eastAsia="Times New Roman"/>
          <w:spacing w:val="-2"/>
          <w:w w:val="100"/>
        </w:rPr>
        <w:t>i</w:t>
      </w:r>
      <w:r>
        <w:rPr>
          <w:rFonts w:ascii="Times New Roman" w:eastAsia="Times New Roman"/>
          <w:spacing w:val="-3"/>
          <w:w w:val="100"/>
        </w:rPr>
        <w:t>n</w:t>
      </w:r>
      <w:r>
        <w:rPr>
          <w:rFonts w:ascii="Times New Roman" w:eastAsia="Times New Roman"/>
          <w:w w:val="100"/>
        </w:rPr>
        <w:t>e</w:t>
      </w:r>
      <w:r>
        <w:rPr>
          <w:rFonts w:ascii="Times New Roman" w:eastAsia="Times New Roman"/>
          <w:spacing w:val="-1"/>
          <w:w w:val="100"/>
        </w:rPr>
        <w:t>s</w:t>
      </w:r>
      <w:r>
        <w:rPr>
          <w:rFonts w:ascii="Times New Roman" w:eastAsia="Times New Roman"/>
          <w:w w:val="100"/>
        </w:rPr>
        <w:t>s</w:t>
      </w:r>
      <w:r>
        <w:rPr>
          <w:rFonts w:ascii="Times New Roman" w:eastAsia="Times New Roman"/>
          <w:spacing w:val="-7"/>
        </w:rPr>
        <w:t>  </w:t>
      </w:r>
      <w:r>
        <w:rPr>
          <w:rFonts w:ascii="Times New Roman" w:eastAsia="Times New Roman"/>
          <w:w w:val="100"/>
        </w:rPr>
        <w:t>Reco</w:t>
      </w:r>
      <w:r>
        <w:rPr>
          <w:rFonts w:ascii="Times New Roman" w:eastAsia="Times New Roman"/>
          <w:spacing w:val="-3"/>
          <w:w w:val="100"/>
        </w:rPr>
        <w:t>v</w:t>
      </w:r>
      <w:r>
        <w:rPr>
          <w:rFonts w:ascii="Times New Roman" w:eastAsia="Times New Roman"/>
          <w:w w:val="100"/>
        </w:rPr>
        <w:t>e</w:t>
      </w:r>
      <w:r>
        <w:rPr>
          <w:rFonts w:ascii="Times New Roman" w:eastAsia="Times New Roman"/>
          <w:spacing w:val="-1"/>
          <w:w w:val="100"/>
        </w:rPr>
        <w:t>r</w:t>
      </w:r>
      <w:r>
        <w:rPr>
          <w:rFonts w:ascii="Times New Roman" w:eastAsia="Times New Roman"/>
          <w:w w:val="100"/>
        </w:rPr>
        <w:t>y</w:t>
      </w:r>
      <w:r>
        <w:rPr>
          <w:rFonts w:ascii="Times New Roman" w:eastAsia="Times New Roman"/>
          <w:spacing w:val="-9"/>
        </w:rPr>
        <w:t>  </w:t>
      </w:r>
      <w:r>
        <w:rPr>
          <w:rFonts w:ascii="Times New Roman" w:eastAsia="Times New Roman"/>
          <w:spacing w:val="2"/>
          <w:w w:val="100"/>
        </w:rPr>
        <w:t>P</w:t>
      </w:r>
      <w:r>
        <w:rPr>
          <w:rFonts w:ascii="Times New Roman" w:eastAsia="Times New Roman"/>
          <w:spacing w:val="-2"/>
          <w:w w:val="100"/>
        </w:rPr>
        <w:t>l</w:t>
      </w:r>
      <w:r>
        <w:rPr>
          <w:rFonts w:ascii="Times New Roman" w:eastAsia="Times New Roman"/>
          <w:w w:val="100"/>
        </w:rPr>
        <w:t>a</w:t>
      </w:r>
      <w:r>
        <w:rPr>
          <w:rFonts w:ascii="Times New Roman" w:eastAsia="Times New Roman"/>
          <w:spacing w:val="1"/>
          <w:w w:val="100"/>
        </w:rPr>
        <w:t>n</w:t>
      </w:r>
      <w:r>
        <w:rPr>
          <w:spacing w:val="-106"/>
          <w:w w:val="100"/>
        </w:rPr>
        <w:t>）</w:t>
      </w:r>
      <w:r>
        <w:rPr>
          <w:spacing w:val="-3"/>
          <w:w w:val="100"/>
        </w:rPr>
        <w:t>，确保公司操作系统</w:t>
      </w:r>
      <w:r>
        <w:rPr>
          <w:spacing w:val="-3"/>
        </w:rPr>
        <w:t>可以在重大灾难发生后，迅速回复运作，以确保客户权益。</w:t>
      </w:r>
    </w:p>
    <w:p>
      <w:pPr>
        <w:pStyle w:val="BodyText"/>
        <w:rPr>
          <w:sz w:val="20"/>
        </w:rPr>
      </w:pPr>
    </w:p>
    <w:p>
      <w:pPr>
        <w:pStyle w:val="BodyText"/>
        <w:spacing w:before="6"/>
        <w:rPr>
          <w:sz w:val="16"/>
        </w:rPr>
      </w:pPr>
    </w:p>
    <w:p>
      <w:pPr>
        <w:pStyle w:val="Heading4"/>
      </w:pPr>
      <w:r>
        <w:rPr/>
        <w:t>九、基金管理人代表基金行使股东权利的处理原则及方法</w:t>
      </w:r>
    </w:p>
    <w:p>
      <w:pPr>
        <w:pStyle w:val="BodyText"/>
        <w:spacing w:before="7"/>
        <w:rPr>
          <w:b/>
          <w:sz w:val="15"/>
        </w:rPr>
      </w:pPr>
    </w:p>
    <w:p>
      <w:pPr>
        <w:pStyle w:val="BodyText"/>
        <w:ind w:left="1260"/>
      </w:pPr>
      <w:r>
        <w:rPr>
          <w:rFonts w:ascii="Times New Roman" w:eastAsia="Times New Roman"/>
        </w:rPr>
        <w:t>1</w:t>
      </w:r>
      <w:r>
        <w:rPr/>
        <w:t>、不谋求对上市公司的控股，不参与所投资上市公司的经营管理；</w:t>
      </w:r>
    </w:p>
    <w:p>
      <w:pPr>
        <w:pStyle w:val="BodyText"/>
        <w:spacing w:before="7"/>
        <w:rPr>
          <w:sz w:val="15"/>
        </w:rPr>
      </w:pPr>
    </w:p>
    <w:p>
      <w:pPr>
        <w:pStyle w:val="BodyText"/>
        <w:ind w:left="1260"/>
      </w:pPr>
      <w:r>
        <w:rPr>
          <w:rFonts w:ascii="Times New Roman" w:eastAsia="Times New Roman"/>
        </w:rPr>
        <w:t>2</w:t>
      </w:r>
      <w:r>
        <w:rPr/>
        <w:t>、有利于基金资产的安全与增值；</w:t>
      </w:r>
    </w:p>
    <w:p>
      <w:pPr>
        <w:pStyle w:val="BodyText"/>
        <w:spacing w:before="7"/>
        <w:rPr>
          <w:sz w:val="15"/>
        </w:rPr>
      </w:pPr>
    </w:p>
    <w:p>
      <w:pPr>
        <w:pStyle w:val="BodyText"/>
        <w:ind w:left="1260"/>
      </w:pPr>
      <w:r>
        <w:rPr>
          <w:rFonts w:ascii="Times New Roman" w:eastAsia="Times New Roman"/>
        </w:rPr>
        <w:t>3</w:t>
      </w:r>
      <w:r>
        <w:rPr/>
        <w:t>、基金管理人按照国家有关规定代表基金独立行使股东权利，保护基金投资者的利益。</w:t>
      </w:r>
    </w:p>
    <w:p>
      <w:pPr>
        <w:pStyle w:val="BodyText"/>
        <w:spacing w:before="6"/>
        <w:rPr>
          <w:sz w:val="15"/>
        </w:rPr>
      </w:pPr>
    </w:p>
    <w:p>
      <w:pPr>
        <w:pStyle w:val="BodyText"/>
        <w:spacing w:line="417" w:lineRule="auto" w:before="1"/>
        <w:ind w:left="1260" w:right="1954"/>
      </w:pPr>
      <w:r>
        <w:rPr>
          <w:rFonts w:ascii="Times New Roman" w:eastAsia="Times New Roman"/>
        </w:rPr>
        <w:t>4</w:t>
      </w:r>
      <w:r>
        <w:rPr/>
        <w:t>、基金管理人按照国家有关规定代表基金独立行使债权人权利，保护基金投资者的利益。</w:t>
      </w:r>
    </w:p>
    <w:p>
      <w:pPr>
        <w:pStyle w:val="BodyText"/>
        <w:rPr>
          <w:sz w:val="20"/>
        </w:rPr>
      </w:pPr>
    </w:p>
    <w:p>
      <w:pPr>
        <w:pStyle w:val="BodyText"/>
        <w:spacing w:before="6"/>
        <w:rPr>
          <w:sz w:val="16"/>
        </w:rPr>
      </w:pPr>
    </w:p>
    <w:p>
      <w:pPr>
        <w:pStyle w:val="Heading4"/>
      </w:pPr>
      <w:r>
        <w:rPr/>
        <w:t>十、基金投资组合报告</w:t>
      </w:r>
    </w:p>
    <w:p>
      <w:pPr>
        <w:pStyle w:val="BodyText"/>
        <w:spacing w:before="7"/>
        <w:rPr>
          <w:b/>
          <w:sz w:val="15"/>
        </w:rPr>
      </w:pPr>
    </w:p>
    <w:p>
      <w:pPr>
        <w:pStyle w:val="BodyText"/>
        <w:spacing w:line="417" w:lineRule="auto"/>
        <w:ind w:left="840" w:right="891" w:firstLine="419"/>
      </w:pPr>
      <w:r>
        <w:rPr>
          <w:spacing w:val="-6"/>
        </w:rPr>
        <w:t>景顺长城基金管理人的董事会及董事保证本报告所载资料不存在虚假记载、误导性陈述</w:t>
      </w:r>
      <w:r>
        <w:rPr>
          <w:spacing w:val="-4"/>
        </w:rPr>
        <w:t>或重大遗漏，并对其内容的真实性、准确性和完整性承担个别及连带责任。</w:t>
      </w:r>
    </w:p>
    <w:p>
      <w:pPr>
        <w:pStyle w:val="BodyText"/>
        <w:spacing w:line="417" w:lineRule="auto"/>
        <w:ind w:left="840" w:right="894" w:firstLine="419"/>
      </w:pPr>
      <w:r>
        <w:rPr/>
        <w:t>基金托管人中国工商银行股份有限公司根据基金合同规定，已经复核了本投资组合报告，保证复核内容不存在虚假记载、误导性陈述或者重大遗漏。</w:t>
      </w:r>
    </w:p>
    <w:p>
      <w:pPr>
        <w:pStyle w:val="BodyText"/>
        <w:spacing w:line="269" w:lineRule="exact"/>
        <w:ind w:left="1260"/>
      </w:pPr>
      <w:r>
        <w:rPr/>
        <w:t>本投资组合报告所载数据截至 </w:t>
      </w: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w:t>
      </w:r>
    </w:p>
    <w:p>
      <w:pPr>
        <w:pStyle w:val="BodyText"/>
        <w:spacing w:before="1"/>
        <w:rPr>
          <w:sz w:val="26"/>
        </w:rPr>
      </w:pPr>
    </w:p>
    <w:p>
      <w:pPr>
        <w:pStyle w:val="Heading3"/>
        <w:numPr>
          <w:ilvl w:val="0"/>
          <w:numId w:val="27"/>
        </w:numPr>
        <w:tabs>
          <w:tab w:pos="1105" w:val="left" w:leader="none"/>
        </w:tabs>
        <w:spacing w:line="240" w:lineRule="auto" w:before="0" w:after="0"/>
        <w:ind w:left="1104" w:right="0" w:hanging="265"/>
        <w:jc w:val="left"/>
      </w:pPr>
      <w:r>
        <w:rPr/>
        <w:t>报告期末基金资产组合情况</w:t>
      </w:r>
    </w:p>
    <w:p>
      <w:pPr>
        <w:pStyle w:val="BodyText"/>
        <w:spacing w:before="4"/>
        <w:rPr>
          <w:b/>
          <w:sz w:val="6"/>
        </w:rPr>
      </w:pPr>
    </w:p>
    <w:tbl>
      <w:tblPr>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3"/>
        <w:gridCol w:w="3291"/>
        <w:gridCol w:w="2225"/>
        <w:gridCol w:w="2218"/>
      </w:tblGrid>
      <w:tr>
        <w:trPr>
          <w:trHeight w:val="311" w:hRule="atLeast"/>
        </w:trPr>
        <w:tc>
          <w:tcPr>
            <w:tcW w:w="583" w:type="dxa"/>
            <w:shd w:val="clear" w:color="auto" w:fill="D9D9D9"/>
          </w:tcPr>
          <w:p>
            <w:pPr>
              <w:pStyle w:val="TableParagraph"/>
              <w:spacing w:before="22"/>
              <w:ind w:left="60" w:right="53"/>
              <w:jc w:val="center"/>
              <w:rPr>
                <w:sz w:val="21"/>
              </w:rPr>
            </w:pPr>
            <w:r>
              <w:rPr>
                <w:sz w:val="21"/>
              </w:rPr>
              <w:t>序号</w:t>
            </w:r>
          </w:p>
        </w:tc>
        <w:tc>
          <w:tcPr>
            <w:tcW w:w="3291" w:type="dxa"/>
            <w:shd w:val="clear" w:color="auto" w:fill="D9D9D9"/>
          </w:tcPr>
          <w:p>
            <w:pPr>
              <w:pStyle w:val="TableParagraph"/>
              <w:spacing w:before="22"/>
              <w:ind w:left="1410" w:right="1411"/>
              <w:jc w:val="center"/>
              <w:rPr>
                <w:sz w:val="21"/>
              </w:rPr>
            </w:pPr>
            <w:r>
              <w:rPr>
                <w:sz w:val="21"/>
              </w:rPr>
              <w:t>项目</w:t>
            </w:r>
          </w:p>
        </w:tc>
        <w:tc>
          <w:tcPr>
            <w:tcW w:w="2225" w:type="dxa"/>
            <w:shd w:val="clear" w:color="auto" w:fill="D9D9D9"/>
          </w:tcPr>
          <w:p>
            <w:pPr>
              <w:pStyle w:val="TableParagraph"/>
              <w:spacing w:before="22"/>
              <w:ind w:left="580"/>
              <w:rPr>
                <w:sz w:val="21"/>
              </w:rPr>
            </w:pPr>
            <w:r>
              <w:rPr>
                <w:sz w:val="21"/>
              </w:rPr>
              <w:t>金额（元）</w:t>
            </w:r>
          </w:p>
        </w:tc>
        <w:tc>
          <w:tcPr>
            <w:tcW w:w="2218" w:type="dxa"/>
            <w:shd w:val="clear" w:color="auto" w:fill="D9D9D9"/>
          </w:tcPr>
          <w:p>
            <w:pPr>
              <w:pStyle w:val="TableParagraph"/>
              <w:spacing w:before="22"/>
              <w:rPr>
                <w:sz w:val="21"/>
              </w:rPr>
            </w:pPr>
            <w:r>
              <w:rPr>
                <w:sz w:val="21"/>
              </w:rPr>
              <w:t>占基金总资产的比例（%</w:t>
            </w:r>
          </w:p>
        </w:tc>
      </w:tr>
      <w:tr>
        <w:trPr>
          <w:trHeight w:val="312" w:hRule="atLeast"/>
        </w:trPr>
        <w:tc>
          <w:tcPr>
            <w:tcW w:w="583" w:type="dxa"/>
          </w:tcPr>
          <w:p>
            <w:pPr>
              <w:pStyle w:val="TableParagraph"/>
              <w:spacing w:before="23"/>
              <w:ind w:left="7"/>
              <w:jc w:val="center"/>
              <w:rPr>
                <w:sz w:val="21"/>
              </w:rPr>
            </w:pPr>
            <w:r>
              <w:rPr>
                <w:w w:val="100"/>
                <w:sz w:val="21"/>
              </w:rPr>
              <w:t>1</w:t>
            </w:r>
          </w:p>
        </w:tc>
        <w:tc>
          <w:tcPr>
            <w:tcW w:w="3291" w:type="dxa"/>
          </w:tcPr>
          <w:p>
            <w:pPr>
              <w:pStyle w:val="TableParagraph"/>
              <w:spacing w:before="23"/>
              <w:ind w:left="105"/>
              <w:rPr>
                <w:sz w:val="21"/>
              </w:rPr>
            </w:pPr>
            <w:r>
              <w:rPr>
                <w:sz w:val="21"/>
              </w:rPr>
              <w:t>权益投资</w:t>
            </w:r>
          </w:p>
        </w:tc>
        <w:tc>
          <w:tcPr>
            <w:tcW w:w="2225" w:type="dxa"/>
          </w:tcPr>
          <w:p>
            <w:pPr>
              <w:pStyle w:val="TableParagraph"/>
              <w:spacing w:before="23"/>
              <w:ind w:right="-15"/>
              <w:jc w:val="right"/>
              <w:rPr>
                <w:sz w:val="21"/>
              </w:rPr>
            </w:pPr>
            <w:r>
              <w:rPr>
                <w:sz w:val="21"/>
              </w:rPr>
              <w:t>16,574,944,885.30</w:t>
            </w:r>
          </w:p>
        </w:tc>
        <w:tc>
          <w:tcPr>
            <w:tcW w:w="2218" w:type="dxa"/>
          </w:tcPr>
          <w:p>
            <w:pPr>
              <w:pStyle w:val="TableParagraph"/>
              <w:spacing w:before="23"/>
              <w:ind w:right="-15"/>
              <w:jc w:val="right"/>
              <w:rPr>
                <w:sz w:val="21"/>
              </w:rPr>
            </w:pPr>
            <w:r>
              <w:rPr>
                <w:sz w:val="21"/>
              </w:rPr>
              <w:t>92.74</w:t>
            </w:r>
          </w:p>
        </w:tc>
      </w:tr>
      <w:tr>
        <w:trPr>
          <w:trHeight w:val="311" w:hRule="atLeast"/>
        </w:trPr>
        <w:tc>
          <w:tcPr>
            <w:tcW w:w="583" w:type="dxa"/>
          </w:tcPr>
          <w:p>
            <w:pPr>
              <w:pStyle w:val="TableParagraph"/>
              <w:rPr>
                <w:rFonts w:ascii="Times New Roman"/>
                <w:sz w:val="20"/>
              </w:rPr>
            </w:pPr>
          </w:p>
        </w:tc>
        <w:tc>
          <w:tcPr>
            <w:tcW w:w="3291" w:type="dxa"/>
          </w:tcPr>
          <w:p>
            <w:pPr>
              <w:pStyle w:val="TableParagraph"/>
              <w:spacing w:before="22"/>
              <w:ind w:left="105"/>
              <w:rPr>
                <w:sz w:val="21"/>
              </w:rPr>
            </w:pPr>
            <w:r>
              <w:rPr>
                <w:sz w:val="21"/>
              </w:rPr>
              <w:t>其中：股票</w:t>
            </w:r>
          </w:p>
        </w:tc>
        <w:tc>
          <w:tcPr>
            <w:tcW w:w="2225" w:type="dxa"/>
          </w:tcPr>
          <w:p>
            <w:pPr>
              <w:pStyle w:val="TableParagraph"/>
              <w:spacing w:before="22"/>
              <w:ind w:right="-15"/>
              <w:jc w:val="right"/>
              <w:rPr>
                <w:sz w:val="21"/>
              </w:rPr>
            </w:pPr>
            <w:r>
              <w:rPr>
                <w:sz w:val="21"/>
              </w:rPr>
              <w:t>16,574,944,885.30</w:t>
            </w:r>
          </w:p>
        </w:tc>
        <w:tc>
          <w:tcPr>
            <w:tcW w:w="2218" w:type="dxa"/>
          </w:tcPr>
          <w:p>
            <w:pPr>
              <w:pStyle w:val="TableParagraph"/>
              <w:spacing w:before="22"/>
              <w:ind w:right="-15"/>
              <w:jc w:val="right"/>
              <w:rPr>
                <w:sz w:val="21"/>
              </w:rPr>
            </w:pPr>
            <w:r>
              <w:rPr>
                <w:sz w:val="21"/>
              </w:rPr>
              <w:t>92.74</w:t>
            </w:r>
          </w:p>
        </w:tc>
      </w:tr>
      <w:tr>
        <w:trPr>
          <w:trHeight w:val="314" w:hRule="atLeast"/>
        </w:trPr>
        <w:tc>
          <w:tcPr>
            <w:tcW w:w="583" w:type="dxa"/>
          </w:tcPr>
          <w:p>
            <w:pPr>
              <w:pStyle w:val="TableParagraph"/>
              <w:spacing w:before="25"/>
              <w:ind w:left="7"/>
              <w:jc w:val="center"/>
              <w:rPr>
                <w:sz w:val="21"/>
              </w:rPr>
            </w:pPr>
            <w:r>
              <w:rPr>
                <w:w w:val="100"/>
                <w:sz w:val="21"/>
              </w:rPr>
              <w:t>2</w:t>
            </w:r>
          </w:p>
        </w:tc>
        <w:tc>
          <w:tcPr>
            <w:tcW w:w="3291" w:type="dxa"/>
          </w:tcPr>
          <w:p>
            <w:pPr>
              <w:pStyle w:val="TableParagraph"/>
              <w:spacing w:before="25"/>
              <w:ind w:left="105"/>
              <w:rPr>
                <w:sz w:val="21"/>
              </w:rPr>
            </w:pPr>
            <w:r>
              <w:rPr>
                <w:sz w:val="21"/>
              </w:rPr>
              <w:t>基金投资</w:t>
            </w:r>
          </w:p>
        </w:tc>
        <w:tc>
          <w:tcPr>
            <w:tcW w:w="2225" w:type="dxa"/>
          </w:tcPr>
          <w:p>
            <w:pPr>
              <w:pStyle w:val="TableParagraph"/>
              <w:spacing w:before="25"/>
              <w:ind w:right="-15"/>
              <w:jc w:val="right"/>
              <w:rPr>
                <w:sz w:val="21"/>
              </w:rPr>
            </w:pPr>
            <w:r>
              <w:rPr>
                <w:w w:val="100"/>
                <w:sz w:val="21"/>
              </w:rPr>
              <w:t>-</w:t>
            </w:r>
          </w:p>
        </w:tc>
        <w:tc>
          <w:tcPr>
            <w:tcW w:w="2218" w:type="dxa"/>
          </w:tcPr>
          <w:p>
            <w:pPr>
              <w:pStyle w:val="TableParagraph"/>
              <w:spacing w:before="25"/>
              <w:ind w:right="-15"/>
              <w:jc w:val="right"/>
              <w:rPr>
                <w:sz w:val="21"/>
              </w:rPr>
            </w:pPr>
            <w:r>
              <w:rPr>
                <w:w w:val="100"/>
                <w:sz w:val="21"/>
              </w:rPr>
              <w:t>-</w:t>
            </w:r>
          </w:p>
        </w:tc>
      </w:tr>
      <w:tr>
        <w:trPr>
          <w:trHeight w:val="311" w:hRule="atLeast"/>
        </w:trPr>
        <w:tc>
          <w:tcPr>
            <w:tcW w:w="583" w:type="dxa"/>
          </w:tcPr>
          <w:p>
            <w:pPr>
              <w:pStyle w:val="TableParagraph"/>
              <w:spacing w:before="22"/>
              <w:ind w:left="7"/>
              <w:jc w:val="center"/>
              <w:rPr>
                <w:sz w:val="21"/>
              </w:rPr>
            </w:pPr>
            <w:r>
              <w:rPr>
                <w:w w:val="100"/>
                <w:sz w:val="21"/>
              </w:rPr>
              <w:t>3</w:t>
            </w:r>
          </w:p>
        </w:tc>
        <w:tc>
          <w:tcPr>
            <w:tcW w:w="3291" w:type="dxa"/>
          </w:tcPr>
          <w:p>
            <w:pPr>
              <w:pStyle w:val="TableParagraph"/>
              <w:spacing w:before="22"/>
              <w:ind w:left="105"/>
              <w:rPr>
                <w:sz w:val="21"/>
              </w:rPr>
            </w:pPr>
            <w:r>
              <w:rPr>
                <w:sz w:val="21"/>
              </w:rPr>
              <w:t>固定收益投资</w:t>
            </w:r>
          </w:p>
        </w:tc>
        <w:tc>
          <w:tcPr>
            <w:tcW w:w="2225" w:type="dxa"/>
          </w:tcPr>
          <w:p>
            <w:pPr>
              <w:pStyle w:val="TableParagraph"/>
              <w:spacing w:before="22"/>
              <w:ind w:right="-15"/>
              <w:jc w:val="right"/>
              <w:rPr>
                <w:sz w:val="21"/>
              </w:rPr>
            </w:pPr>
            <w:r>
              <w:rPr>
                <w:sz w:val="21"/>
              </w:rPr>
              <w:t>510,731,000.00</w:t>
            </w:r>
          </w:p>
        </w:tc>
        <w:tc>
          <w:tcPr>
            <w:tcW w:w="2218" w:type="dxa"/>
          </w:tcPr>
          <w:p>
            <w:pPr>
              <w:pStyle w:val="TableParagraph"/>
              <w:spacing w:before="22"/>
              <w:ind w:right="-15"/>
              <w:jc w:val="right"/>
              <w:rPr>
                <w:sz w:val="21"/>
              </w:rPr>
            </w:pPr>
            <w:r>
              <w:rPr>
                <w:sz w:val="21"/>
              </w:rPr>
              <w:t>2.86</w:t>
            </w:r>
          </w:p>
        </w:tc>
      </w:tr>
      <w:tr>
        <w:trPr>
          <w:trHeight w:val="311" w:hRule="atLeast"/>
        </w:trPr>
        <w:tc>
          <w:tcPr>
            <w:tcW w:w="583" w:type="dxa"/>
          </w:tcPr>
          <w:p>
            <w:pPr>
              <w:pStyle w:val="TableParagraph"/>
              <w:rPr>
                <w:rFonts w:ascii="Times New Roman"/>
                <w:sz w:val="20"/>
              </w:rPr>
            </w:pPr>
          </w:p>
        </w:tc>
        <w:tc>
          <w:tcPr>
            <w:tcW w:w="3291" w:type="dxa"/>
          </w:tcPr>
          <w:p>
            <w:pPr>
              <w:pStyle w:val="TableParagraph"/>
              <w:spacing w:before="22"/>
              <w:ind w:left="105"/>
              <w:rPr>
                <w:sz w:val="21"/>
              </w:rPr>
            </w:pPr>
            <w:r>
              <w:rPr>
                <w:sz w:val="21"/>
              </w:rPr>
              <w:t>其中：债券</w:t>
            </w:r>
          </w:p>
        </w:tc>
        <w:tc>
          <w:tcPr>
            <w:tcW w:w="2225" w:type="dxa"/>
          </w:tcPr>
          <w:p>
            <w:pPr>
              <w:pStyle w:val="TableParagraph"/>
              <w:spacing w:before="22"/>
              <w:ind w:right="-15"/>
              <w:jc w:val="right"/>
              <w:rPr>
                <w:sz w:val="21"/>
              </w:rPr>
            </w:pPr>
            <w:r>
              <w:rPr>
                <w:sz w:val="21"/>
              </w:rPr>
              <w:t>510,731,000.00</w:t>
            </w:r>
          </w:p>
        </w:tc>
        <w:tc>
          <w:tcPr>
            <w:tcW w:w="2218" w:type="dxa"/>
          </w:tcPr>
          <w:p>
            <w:pPr>
              <w:pStyle w:val="TableParagraph"/>
              <w:spacing w:before="22"/>
              <w:ind w:right="-15"/>
              <w:jc w:val="right"/>
              <w:rPr>
                <w:sz w:val="21"/>
              </w:rPr>
            </w:pPr>
            <w:r>
              <w:rPr>
                <w:sz w:val="21"/>
              </w:rPr>
              <w:t>2.86</w:t>
            </w:r>
          </w:p>
        </w:tc>
      </w:tr>
      <w:tr>
        <w:trPr>
          <w:trHeight w:val="311" w:hRule="atLeast"/>
        </w:trPr>
        <w:tc>
          <w:tcPr>
            <w:tcW w:w="583" w:type="dxa"/>
          </w:tcPr>
          <w:p>
            <w:pPr>
              <w:pStyle w:val="TableParagraph"/>
              <w:rPr>
                <w:rFonts w:ascii="Times New Roman"/>
                <w:sz w:val="20"/>
              </w:rPr>
            </w:pPr>
          </w:p>
        </w:tc>
        <w:tc>
          <w:tcPr>
            <w:tcW w:w="3291" w:type="dxa"/>
          </w:tcPr>
          <w:p>
            <w:pPr>
              <w:pStyle w:val="TableParagraph"/>
              <w:spacing w:before="22"/>
              <w:ind w:left="736"/>
              <w:rPr>
                <w:sz w:val="21"/>
              </w:rPr>
            </w:pPr>
            <w:r>
              <w:rPr>
                <w:sz w:val="21"/>
              </w:rPr>
              <w:t>资产支持证券</w:t>
            </w:r>
          </w:p>
        </w:tc>
        <w:tc>
          <w:tcPr>
            <w:tcW w:w="2225" w:type="dxa"/>
          </w:tcPr>
          <w:p>
            <w:pPr>
              <w:pStyle w:val="TableParagraph"/>
              <w:spacing w:before="22"/>
              <w:ind w:right="-15"/>
              <w:jc w:val="right"/>
              <w:rPr>
                <w:sz w:val="21"/>
              </w:rPr>
            </w:pPr>
            <w:r>
              <w:rPr>
                <w:w w:val="100"/>
                <w:sz w:val="21"/>
              </w:rPr>
              <w:t>-</w:t>
            </w:r>
          </w:p>
        </w:tc>
        <w:tc>
          <w:tcPr>
            <w:tcW w:w="2218" w:type="dxa"/>
          </w:tcPr>
          <w:p>
            <w:pPr>
              <w:pStyle w:val="TableParagraph"/>
              <w:spacing w:before="22"/>
              <w:ind w:right="-15"/>
              <w:jc w:val="right"/>
              <w:rPr>
                <w:sz w:val="21"/>
              </w:rPr>
            </w:pPr>
            <w:r>
              <w:rPr>
                <w:w w:val="100"/>
                <w:sz w:val="21"/>
              </w:rPr>
              <w:t>-</w:t>
            </w:r>
          </w:p>
        </w:tc>
      </w:tr>
      <w:tr>
        <w:trPr>
          <w:trHeight w:val="311" w:hRule="atLeast"/>
        </w:trPr>
        <w:tc>
          <w:tcPr>
            <w:tcW w:w="583" w:type="dxa"/>
          </w:tcPr>
          <w:p>
            <w:pPr>
              <w:pStyle w:val="TableParagraph"/>
              <w:spacing w:before="22"/>
              <w:ind w:left="7"/>
              <w:jc w:val="center"/>
              <w:rPr>
                <w:sz w:val="21"/>
              </w:rPr>
            </w:pPr>
            <w:r>
              <w:rPr>
                <w:w w:val="100"/>
                <w:sz w:val="21"/>
              </w:rPr>
              <w:t>4</w:t>
            </w:r>
          </w:p>
        </w:tc>
        <w:tc>
          <w:tcPr>
            <w:tcW w:w="3291" w:type="dxa"/>
          </w:tcPr>
          <w:p>
            <w:pPr>
              <w:pStyle w:val="TableParagraph"/>
              <w:spacing w:before="22"/>
              <w:ind w:left="105"/>
              <w:rPr>
                <w:sz w:val="21"/>
              </w:rPr>
            </w:pPr>
            <w:r>
              <w:rPr>
                <w:sz w:val="21"/>
              </w:rPr>
              <w:t>贵金属投资</w:t>
            </w:r>
          </w:p>
        </w:tc>
        <w:tc>
          <w:tcPr>
            <w:tcW w:w="2225" w:type="dxa"/>
          </w:tcPr>
          <w:p>
            <w:pPr>
              <w:pStyle w:val="TableParagraph"/>
              <w:spacing w:before="22"/>
              <w:ind w:right="-15"/>
              <w:jc w:val="right"/>
              <w:rPr>
                <w:sz w:val="21"/>
              </w:rPr>
            </w:pPr>
            <w:r>
              <w:rPr>
                <w:w w:val="100"/>
                <w:sz w:val="21"/>
              </w:rPr>
              <w:t>-</w:t>
            </w:r>
          </w:p>
        </w:tc>
        <w:tc>
          <w:tcPr>
            <w:tcW w:w="2218" w:type="dxa"/>
          </w:tcPr>
          <w:p>
            <w:pPr>
              <w:pStyle w:val="TableParagraph"/>
              <w:spacing w:before="22"/>
              <w:ind w:right="-15"/>
              <w:jc w:val="right"/>
              <w:rPr>
                <w:sz w:val="21"/>
              </w:rPr>
            </w:pPr>
            <w:r>
              <w:rPr>
                <w:w w:val="100"/>
                <w:sz w:val="21"/>
              </w:rPr>
              <w:t>-</w:t>
            </w:r>
          </w:p>
        </w:tc>
      </w:tr>
      <w:tr>
        <w:trPr>
          <w:trHeight w:val="311" w:hRule="atLeast"/>
        </w:trPr>
        <w:tc>
          <w:tcPr>
            <w:tcW w:w="583" w:type="dxa"/>
          </w:tcPr>
          <w:p>
            <w:pPr>
              <w:pStyle w:val="TableParagraph"/>
              <w:spacing w:before="22"/>
              <w:ind w:left="7"/>
              <w:jc w:val="center"/>
              <w:rPr>
                <w:sz w:val="21"/>
              </w:rPr>
            </w:pPr>
            <w:r>
              <w:rPr>
                <w:w w:val="100"/>
                <w:sz w:val="21"/>
              </w:rPr>
              <w:t>5</w:t>
            </w:r>
          </w:p>
        </w:tc>
        <w:tc>
          <w:tcPr>
            <w:tcW w:w="3291" w:type="dxa"/>
          </w:tcPr>
          <w:p>
            <w:pPr>
              <w:pStyle w:val="TableParagraph"/>
              <w:spacing w:before="22"/>
              <w:ind w:left="105"/>
              <w:rPr>
                <w:sz w:val="21"/>
              </w:rPr>
            </w:pPr>
            <w:r>
              <w:rPr>
                <w:sz w:val="21"/>
              </w:rPr>
              <w:t>金融衍生品投资</w:t>
            </w:r>
          </w:p>
        </w:tc>
        <w:tc>
          <w:tcPr>
            <w:tcW w:w="2225" w:type="dxa"/>
          </w:tcPr>
          <w:p>
            <w:pPr>
              <w:pStyle w:val="TableParagraph"/>
              <w:spacing w:before="22"/>
              <w:ind w:right="-15"/>
              <w:jc w:val="right"/>
              <w:rPr>
                <w:sz w:val="21"/>
              </w:rPr>
            </w:pPr>
            <w:r>
              <w:rPr>
                <w:w w:val="100"/>
                <w:sz w:val="21"/>
              </w:rPr>
              <w:t>-</w:t>
            </w:r>
          </w:p>
        </w:tc>
        <w:tc>
          <w:tcPr>
            <w:tcW w:w="2218" w:type="dxa"/>
          </w:tcPr>
          <w:p>
            <w:pPr>
              <w:pStyle w:val="TableParagraph"/>
              <w:spacing w:before="22"/>
              <w:ind w:right="-15"/>
              <w:jc w:val="right"/>
              <w:rPr>
                <w:sz w:val="21"/>
              </w:rPr>
            </w:pPr>
            <w:r>
              <w:rPr>
                <w:w w:val="100"/>
                <w:sz w:val="21"/>
              </w:rPr>
              <w:t>-</w:t>
            </w:r>
          </w:p>
        </w:tc>
      </w:tr>
      <w:tr>
        <w:trPr>
          <w:trHeight w:val="313" w:hRule="atLeast"/>
        </w:trPr>
        <w:tc>
          <w:tcPr>
            <w:tcW w:w="583" w:type="dxa"/>
          </w:tcPr>
          <w:p>
            <w:pPr>
              <w:pStyle w:val="TableParagraph"/>
              <w:spacing w:before="25"/>
              <w:ind w:left="7"/>
              <w:jc w:val="center"/>
              <w:rPr>
                <w:sz w:val="21"/>
              </w:rPr>
            </w:pPr>
            <w:r>
              <w:rPr>
                <w:w w:val="100"/>
                <w:sz w:val="21"/>
              </w:rPr>
              <w:t>6</w:t>
            </w:r>
          </w:p>
        </w:tc>
        <w:tc>
          <w:tcPr>
            <w:tcW w:w="3291" w:type="dxa"/>
          </w:tcPr>
          <w:p>
            <w:pPr>
              <w:pStyle w:val="TableParagraph"/>
              <w:spacing w:before="25"/>
              <w:ind w:left="105"/>
              <w:rPr>
                <w:sz w:val="21"/>
              </w:rPr>
            </w:pPr>
            <w:r>
              <w:rPr>
                <w:sz w:val="21"/>
              </w:rPr>
              <w:t>买入返售金融资产</w:t>
            </w:r>
          </w:p>
        </w:tc>
        <w:tc>
          <w:tcPr>
            <w:tcW w:w="2225" w:type="dxa"/>
          </w:tcPr>
          <w:p>
            <w:pPr>
              <w:pStyle w:val="TableParagraph"/>
              <w:spacing w:before="25"/>
              <w:ind w:right="-15"/>
              <w:jc w:val="right"/>
              <w:rPr>
                <w:sz w:val="21"/>
              </w:rPr>
            </w:pPr>
            <w:r>
              <w:rPr>
                <w:w w:val="100"/>
                <w:sz w:val="21"/>
              </w:rPr>
              <w:t>-</w:t>
            </w:r>
          </w:p>
        </w:tc>
        <w:tc>
          <w:tcPr>
            <w:tcW w:w="2218" w:type="dxa"/>
          </w:tcPr>
          <w:p>
            <w:pPr>
              <w:pStyle w:val="TableParagraph"/>
              <w:spacing w:before="25"/>
              <w:ind w:right="-15"/>
              <w:jc w:val="right"/>
              <w:rPr>
                <w:sz w:val="21"/>
              </w:rPr>
            </w:pPr>
            <w:r>
              <w:rPr>
                <w:w w:val="100"/>
                <w:sz w:val="21"/>
              </w:rPr>
              <w:t>-</w:t>
            </w:r>
          </w:p>
        </w:tc>
      </w:tr>
      <w:tr>
        <w:trPr>
          <w:trHeight w:val="624" w:hRule="atLeast"/>
        </w:trPr>
        <w:tc>
          <w:tcPr>
            <w:tcW w:w="583" w:type="dxa"/>
          </w:tcPr>
          <w:p>
            <w:pPr>
              <w:pStyle w:val="TableParagraph"/>
              <w:rPr>
                <w:rFonts w:ascii="Times New Roman"/>
                <w:sz w:val="20"/>
              </w:rPr>
            </w:pPr>
          </w:p>
        </w:tc>
        <w:tc>
          <w:tcPr>
            <w:tcW w:w="3291" w:type="dxa"/>
          </w:tcPr>
          <w:p>
            <w:pPr>
              <w:pStyle w:val="TableParagraph"/>
              <w:spacing w:before="22"/>
              <w:ind w:left="105" w:right="-15"/>
              <w:rPr>
                <w:sz w:val="21"/>
              </w:rPr>
            </w:pPr>
            <w:r>
              <w:rPr>
                <w:sz w:val="21"/>
              </w:rPr>
              <w:t>其中：买断式回购的买入返售金融</w:t>
            </w:r>
          </w:p>
          <w:p>
            <w:pPr>
              <w:pStyle w:val="TableParagraph"/>
              <w:spacing w:before="44"/>
              <w:ind w:left="105"/>
              <w:rPr>
                <w:sz w:val="21"/>
              </w:rPr>
            </w:pPr>
            <w:r>
              <w:rPr>
                <w:sz w:val="21"/>
              </w:rPr>
              <w:t>资产</w:t>
            </w:r>
          </w:p>
        </w:tc>
        <w:tc>
          <w:tcPr>
            <w:tcW w:w="2225" w:type="dxa"/>
          </w:tcPr>
          <w:p>
            <w:pPr>
              <w:pStyle w:val="TableParagraph"/>
              <w:spacing w:before="178"/>
              <w:ind w:right="-15"/>
              <w:jc w:val="right"/>
              <w:rPr>
                <w:sz w:val="21"/>
              </w:rPr>
            </w:pPr>
            <w:r>
              <w:rPr>
                <w:w w:val="100"/>
                <w:sz w:val="21"/>
              </w:rPr>
              <w:t>-</w:t>
            </w:r>
          </w:p>
        </w:tc>
        <w:tc>
          <w:tcPr>
            <w:tcW w:w="2218" w:type="dxa"/>
          </w:tcPr>
          <w:p>
            <w:pPr>
              <w:pStyle w:val="TableParagraph"/>
              <w:spacing w:before="178"/>
              <w:ind w:right="-15"/>
              <w:jc w:val="right"/>
              <w:rPr>
                <w:sz w:val="21"/>
              </w:rPr>
            </w:pPr>
            <w:r>
              <w:rPr>
                <w:w w:val="100"/>
                <w:sz w:val="21"/>
              </w:rPr>
              <w:t>-</w:t>
            </w:r>
          </w:p>
        </w:tc>
      </w:tr>
      <w:tr>
        <w:trPr>
          <w:trHeight w:val="311" w:hRule="atLeast"/>
        </w:trPr>
        <w:tc>
          <w:tcPr>
            <w:tcW w:w="583" w:type="dxa"/>
          </w:tcPr>
          <w:p>
            <w:pPr>
              <w:pStyle w:val="TableParagraph"/>
              <w:spacing w:before="22"/>
              <w:ind w:left="7"/>
              <w:jc w:val="center"/>
              <w:rPr>
                <w:sz w:val="21"/>
              </w:rPr>
            </w:pPr>
            <w:r>
              <w:rPr>
                <w:w w:val="100"/>
                <w:sz w:val="21"/>
              </w:rPr>
              <w:t>7</w:t>
            </w:r>
          </w:p>
        </w:tc>
        <w:tc>
          <w:tcPr>
            <w:tcW w:w="3291" w:type="dxa"/>
          </w:tcPr>
          <w:p>
            <w:pPr>
              <w:pStyle w:val="TableParagraph"/>
              <w:spacing w:before="22"/>
              <w:ind w:left="105"/>
              <w:rPr>
                <w:sz w:val="21"/>
              </w:rPr>
            </w:pPr>
            <w:r>
              <w:rPr>
                <w:sz w:val="21"/>
              </w:rPr>
              <w:t>银行存款和结算备付金合计</w:t>
            </w:r>
          </w:p>
        </w:tc>
        <w:tc>
          <w:tcPr>
            <w:tcW w:w="2225" w:type="dxa"/>
          </w:tcPr>
          <w:p>
            <w:pPr>
              <w:pStyle w:val="TableParagraph"/>
              <w:spacing w:before="22"/>
              <w:ind w:right="-15"/>
              <w:jc w:val="right"/>
              <w:rPr>
                <w:sz w:val="21"/>
              </w:rPr>
            </w:pPr>
            <w:r>
              <w:rPr>
                <w:sz w:val="21"/>
              </w:rPr>
              <w:t>569,715,535.29</w:t>
            </w:r>
          </w:p>
        </w:tc>
        <w:tc>
          <w:tcPr>
            <w:tcW w:w="2218" w:type="dxa"/>
          </w:tcPr>
          <w:p>
            <w:pPr>
              <w:pStyle w:val="TableParagraph"/>
              <w:spacing w:before="22"/>
              <w:ind w:right="-15"/>
              <w:jc w:val="right"/>
              <w:rPr>
                <w:sz w:val="21"/>
              </w:rPr>
            </w:pPr>
            <w:r>
              <w:rPr>
                <w:sz w:val="21"/>
              </w:rPr>
              <w:t>3.19</w:t>
            </w:r>
          </w:p>
        </w:tc>
      </w:tr>
    </w:tbl>
    <w:p>
      <w:pPr>
        <w:spacing w:after="0"/>
        <w:jc w:val="right"/>
        <w:rPr>
          <w:sz w:val="21"/>
        </w:rPr>
        <w:sectPr>
          <w:pgSz w:w="11910" w:h="16840"/>
          <w:pgMar w:header="877" w:footer="995" w:top="1100" w:bottom="1180" w:left="960" w:right="900"/>
        </w:sectPr>
      </w:pPr>
    </w:p>
    <w:p>
      <w:pPr>
        <w:pStyle w:val="BodyText"/>
        <w:spacing w:before="1"/>
        <w:rPr>
          <w:b/>
          <w:sz w:val="25"/>
        </w:rPr>
      </w:pPr>
    </w:p>
    <w:tbl>
      <w:tblPr>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3"/>
        <w:gridCol w:w="3291"/>
        <w:gridCol w:w="2225"/>
        <w:gridCol w:w="2218"/>
      </w:tblGrid>
      <w:tr>
        <w:trPr>
          <w:trHeight w:val="312" w:hRule="atLeast"/>
        </w:trPr>
        <w:tc>
          <w:tcPr>
            <w:tcW w:w="583" w:type="dxa"/>
          </w:tcPr>
          <w:p>
            <w:pPr>
              <w:pStyle w:val="TableParagraph"/>
              <w:spacing w:before="23"/>
              <w:ind w:left="7"/>
              <w:jc w:val="center"/>
              <w:rPr>
                <w:sz w:val="21"/>
              </w:rPr>
            </w:pPr>
            <w:r>
              <w:rPr>
                <w:w w:val="100"/>
                <w:sz w:val="21"/>
              </w:rPr>
              <w:t>8</w:t>
            </w:r>
          </w:p>
        </w:tc>
        <w:tc>
          <w:tcPr>
            <w:tcW w:w="3291" w:type="dxa"/>
          </w:tcPr>
          <w:p>
            <w:pPr>
              <w:pStyle w:val="TableParagraph"/>
              <w:spacing w:before="23"/>
              <w:ind w:left="105"/>
              <w:rPr>
                <w:sz w:val="21"/>
              </w:rPr>
            </w:pPr>
            <w:r>
              <w:rPr>
                <w:sz w:val="21"/>
              </w:rPr>
              <w:t>其他资产</w:t>
            </w:r>
          </w:p>
        </w:tc>
        <w:tc>
          <w:tcPr>
            <w:tcW w:w="2225" w:type="dxa"/>
          </w:tcPr>
          <w:p>
            <w:pPr>
              <w:pStyle w:val="TableParagraph"/>
              <w:spacing w:before="23"/>
              <w:ind w:right="-15"/>
              <w:jc w:val="right"/>
              <w:rPr>
                <w:sz w:val="21"/>
              </w:rPr>
            </w:pPr>
            <w:r>
              <w:rPr>
                <w:sz w:val="21"/>
              </w:rPr>
              <w:t>217,027,450.01</w:t>
            </w:r>
          </w:p>
        </w:tc>
        <w:tc>
          <w:tcPr>
            <w:tcW w:w="2218" w:type="dxa"/>
          </w:tcPr>
          <w:p>
            <w:pPr>
              <w:pStyle w:val="TableParagraph"/>
              <w:spacing w:before="23"/>
              <w:ind w:right="-15"/>
              <w:jc w:val="right"/>
              <w:rPr>
                <w:sz w:val="21"/>
              </w:rPr>
            </w:pPr>
            <w:r>
              <w:rPr>
                <w:sz w:val="21"/>
              </w:rPr>
              <w:t>1.21</w:t>
            </w:r>
          </w:p>
        </w:tc>
      </w:tr>
      <w:tr>
        <w:trPr>
          <w:trHeight w:val="311" w:hRule="atLeast"/>
        </w:trPr>
        <w:tc>
          <w:tcPr>
            <w:tcW w:w="583" w:type="dxa"/>
          </w:tcPr>
          <w:p>
            <w:pPr>
              <w:pStyle w:val="TableParagraph"/>
              <w:spacing w:before="22"/>
              <w:ind w:left="7"/>
              <w:jc w:val="center"/>
              <w:rPr>
                <w:sz w:val="21"/>
              </w:rPr>
            </w:pPr>
            <w:r>
              <w:rPr>
                <w:w w:val="100"/>
                <w:sz w:val="21"/>
              </w:rPr>
              <w:t>9</w:t>
            </w:r>
          </w:p>
        </w:tc>
        <w:tc>
          <w:tcPr>
            <w:tcW w:w="3291" w:type="dxa"/>
          </w:tcPr>
          <w:p>
            <w:pPr>
              <w:pStyle w:val="TableParagraph"/>
              <w:spacing w:before="22"/>
              <w:ind w:left="105"/>
              <w:rPr>
                <w:sz w:val="21"/>
              </w:rPr>
            </w:pPr>
            <w:r>
              <w:rPr>
                <w:sz w:val="21"/>
              </w:rPr>
              <w:t>合计</w:t>
            </w:r>
          </w:p>
        </w:tc>
        <w:tc>
          <w:tcPr>
            <w:tcW w:w="2225" w:type="dxa"/>
          </w:tcPr>
          <w:p>
            <w:pPr>
              <w:pStyle w:val="TableParagraph"/>
              <w:spacing w:before="22"/>
              <w:ind w:right="-15"/>
              <w:jc w:val="right"/>
              <w:rPr>
                <w:sz w:val="21"/>
              </w:rPr>
            </w:pPr>
            <w:r>
              <w:rPr>
                <w:sz w:val="21"/>
              </w:rPr>
              <w:t>17,872,418,870.60</w:t>
            </w:r>
          </w:p>
        </w:tc>
        <w:tc>
          <w:tcPr>
            <w:tcW w:w="2218" w:type="dxa"/>
          </w:tcPr>
          <w:p>
            <w:pPr>
              <w:pStyle w:val="TableParagraph"/>
              <w:spacing w:before="22"/>
              <w:ind w:right="-15"/>
              <w:jc w:val="right"/>
              <w:rPr>
                <w:sz w:val="21"/>
              </w:rPr>
            </w:pPr>
            <w:r>
              <w:rPr>
                <w:sz w:val="21"/>
              </w:rPr>
              <w:t>100.00</w:t>
            </w:r>
          </w:p>
        </w:tc>
      </w:tr>
    </w:tbl>
    <w:p>
      <w:pPr>
        <w:pStyle w:val="BodyText"/>
        <w:spacing w:before="6"/>
        <w:rPr>
          <w:b/>
          <w:sz w:val="11"/>
        </w:rPr>
      </w:pPr>
    </w:p>
    <w:p>
      <w:pPr>
        <w:pStyle w:val="Heading3"/>
        <w:numPr>
          <w:ilvl w:val="0"/>
          <w:numId w:val="27"/>
        </w:numPr>
        <w:tabs>
          <w:tab w:pos="1105" w:val="left" w:leader="none"/>
        </w:tabs>
        <w:spacing w:line="240" w:lineRule="auto" w:before="88" w:after="0"/>
        <w:ind w:left="1104" w:right="0" w:hanging="265"/>
        <w:jc w:val="left"/>
      </w:pPr>
      <w:r>
        <w:rPr/>
        <w:t>报告期末按行业分类的股票投资组合</w:t>
      </w:r>
    </w:p>
    <w:p>
      <w:pPr>
        <w:pStyle w:val="BodyText"/>
        <w:spacing w:before="9"/>
        <w:rPr>
          <w:b/>
          <w:sz w:val="24"/>
        </w:rPr>
      </w:pPr>
    </w:p>
    <w:p>
      <w:pPr>
        <w:pStyle w:val="Heading3"/>
        <w:numPr>
          <w:ilvl w:val="1"/>
          <w:numId w:val="27"/>
        </w:numPr>
        <w:tabs>
          <w:tab w:pos="1246" w:val="left" w:leader="none"/>
        </w:tabs>
        <w:spacing w:line="240" w:lineRule="auto" w:before="0" w:after="0"/>
        <w:ind w:left="1246" w:right="0" w:hanging="406"/>
        <w:jc w:val="left"/>
        <w:rPr>
          <w:rFonts w:ascii="Cambria" w:eastAsia="Cambria"/>
        </w:rPr>
      </w:pPr>
      <w:r>
        <w:rPr/>
        <w:t>报告期末按行业分类的境内股票投资组合</w:t>
      </w:r>
    </w:p>
    <w:p>
      <w:pPr>
        <w:pStyle w:val="BodyText"/>
        <w:spacing w:before="4"/>
        <w:rPr>
          <w:b/>
          <w:sz w:val="6"/>
        </w:rPr>
      </w:pPr>
    </w:p>
    <w:tbl>
      <w:tblPr>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2890"/>
        <w:gridCol w:w="3003"/>
        <w:gridCol w:w="1719"/>
      </w:tblGrid>
      <w:tr>
        <w:trPr>
          <w:trHeight w:val="640" w:hRule="atLeast"/>
        </w:trPr>
        <w:tc>
          <w:tcPr>
            <w:tcW w:w="715" w:type="dxa"/>
            <w:shd w:val="clear" w:color="auto" w:fill="D9D9D9"/>
          </w:tcPr>
          <w:p>
            <w:pPr>
              <w:pStyle w:val="TableParagraph"/>
              <w:spacing w:before="3"/>
              <w:rPr>
                <w:b/>
                <w:sz w:val="15"/>
              </w:rPr>
            </w:pPr>
          </w:p>
          <w:p>
            <w:pPr>
              <w:pStyle w:val="TableParagraph"/>
              <w:ind w:left="127" w:right="118"/>
              <w:jc w:val="center"/>
              <w:rPr>
                <w:sz w:val="21"/>
              </w:rPr>
            </w:pPr>
            <w:r>
              <w:rPr>
                <w:sz w:val="21"/>
              </w:rPr>
              <w:t>代码</w:t>
            </w:r>
          </w:p>
        </w:tc>
        <w:tc>
          <w:tcPr>
            <w:tcW w:w="2890" w:type="dxa"/>
            <w:shd w:val="clear" w:color="auto" w:fill="D9D9D9"/>
          </w:tcPr>
          <w:p>
            <w:pPr>
              <w:pStyle w:val="TableParagraph"/>
              <w:spacing w:before="3"/>
              <w:rPr>
                <w:b/>
                <w:sz w:val="15"/>
              </w:rPr>
            </w:pPr>
          </w:p>
          <w:p>
            <w:pPr>
              <w:pStyle w:val="TableParagraph"/>
              <w:ind w:left="1003" w:right="996"/>
              <w:jc w:val="center"/>
              <w:rPr>
                <w:sz w:val="21"/>
              </w:rPr>
            </w:pPr>
            <w:r>
              <w:rPr>
                <w:sz w:val="21"/>
              </w:rPr>
              <w:t>行业类别</w:t>
            </w:r>
          </w:p>
        </w:tc>
        <w:tc>
          <w:tcPr>
            <w:tcW w:w="3003" w:type="dxa"/>
            <w:shd w:val="clear" w:color="auto" w:fill="D9D9D9"/>
          </w:tcPr>
          <w:p>
            <w:pPr>
              <w:pStyle w:val="TableParagraph"/>
              <w:spacing w:before="3"/>
              <w:rPr>
                <w:b/>
                <w:sz w:val="15"/>
              </w:rPr>
            </w:pPr>
          </w:p>
          <w:p>
            <w:pPr>
              <w:pStyle w:val="TableParagraph"/>
              <w:ind w:left="768"/>
              <w:rPr>
                <w:sz w:val="21"/>
              </w:rPr>
            </w:pPr>
            <w:r>
              <w:rPr>
                <w:sz w:val="21"/>
              </w:rPr>
              <w:t>公允价值（元）</w:t>
            </w:r>
          </w:p>
        </w:tc>
        <w:tc>
          <w:tcPr>
            <w:tcW w:w="1719" w:type="dxa"/>
            <w:shd w:val="clear" w:color="auto" w:fill="D9D9D9"/>
          </w:tcPr>
          <w:p>
            <w:pPr>
              <w:pStyle w:val="TableParagraph"/>
              <w:spacing w:before="39"/>
              <w:ind w:left="7"/>
              <w:jc w:val="center"/>
              <w:rPr>
                <w:sz w:val="21"/>
              </w:rPr>
            </w:pPr>
            <w:r>
              <w:rPr>
                <w:sz w:val="21"/>
              </w:rPr>
              <w:t>占基金资产净值比</w:t>
            </w:r>
          </w:p>
          <w:p>
            <w:pPr>
              <w:pStyle w:val="TableParagraph"/>
              <w:spacing w:before="43"/>
              <w:ind w:left="8"/>
              <w:jc w:val="center"/>
              <w:rPr>
                <w:sz w:val="21"/>
              </w:rPr>
            </w:pPr>
            <w:r>
              <w:rPr>
                <w:sz w:val="21"/>
              </w:rPr>
              <w:t>例（%）</w:t>
            </w:r>
          </w:p>
        </w:tc>
      </w:tr>
      <w:tr>
        <w:trPr>
          <w:trHeight w:val="326" w:hRule="atLeast"/>
        </w:trPr>
        <w:tc>
          <w:tcPr>
            <w:tcW w:w="715" w:type="dxa"/>
          </w:tcPr>
          <w:p>
            <w:pPr>
              <w:pStyle w:val="TableParagraph"/>
              <w:spacing w:before="37"/>
              <w:ind w:left="4"/>
              <w:jc w:val="center"/>
              <w:rPr>
                <w:sz w:val="21"/>
              </w:rPr>
            </w:pPr>
            <w:r>
              <w:rPr>
                <w:w w:val="100"/>
                <w:sz w:val="21"/>
              </w:rPr>
              <w:t>A</w:t>
            </w:r>
          </w:p>
        </w:tc>
        <w:tc>
          <w:tcPr>
            <w:tcW w:w="2890" w:type="dxa"/>
          </w:tcPr>
          <w:p>
            <w:pPr>
              <w:pStyle w:val="TableParagraph"/>
              <w:spacing w:before="37"/>
              <w:ind w:left="14"/>
              <w:rPr>
                <w:sz w:val="21"/>
              </w:rPr>
            </w:pPr>
            <w:r>
              <w:rPr>
                <w:sz w:val="21"/>
              </w:rPr>
              <w:t>农、林、牧、渔业</w:t>
            </w:r>
          </w:p>
        </w:tc>
        <w:tc>
          <w:tcPr>
            <w:tcW w:w="3003" w:type="dxa"/>
          </w:tcPr>
          <w:p>
            <w:pPr>
              <w:pStyle w:val="TableParagraph"/>
              <w:spacing w:before="37"/>
              <w:ind w:right="-15"/>
              <w:jc w:val="right"/>
              <w:rPr>
                <w:sz w:val="21"/>
              </w:rPr>
            </w:pPr>
            <w:r>
              <w:rPr>
                <w:sz w:val="21"/>
              </w:rPr>
              <w:t>2,753,431,174.40</w:t>
            </w:r>
          </w:p>
        </w:tc>
        <w:tc>
          <w:tcPr>
            <w:tcW w:w="1719" w:type="dxa"/>
          </w:tcPr>
          <w:p>
            <w:pPr>
              <w:pStyle w:val="TableParagraph"/>
              <w:spacing w:before="37"/>
              <w:ind w:right="2"/>
              <w:jc w:val="right"/>
              <w:rPr>
                <w:sz w:val="21"/>
              </w:rPr>
            </w:pPr>
            <w:r>
              <w:rPr>
                <w:sz w:val="21"/>
              </w:rPr>
              <w:t>15.72</w:t>
            </w:r>
          </w:p>
        </w:tc>
      </w:tr>
      <w:tr>
        <w:trPr>
          <w:trHeight w:val="328" w:hRule="atLeast"/>
        </w:trPr>
        <w:tc>
          <w:tcPr>
            <w:tcW w:w="715" w:type="dxa"/>
          </w:tcPr>
          <w:p>
            <w:pPr>
              <w:pStyle w:val="TableParagraph"/>
              <w:spacing w:before="39"/>
              <w:ind w:left="4"/>
              <w:jc w:val="center"/>
              <w:rPr>
                <w:sz w:val="21"/>
              </w:rPr>
            </w:pPr>
            <w:r>
              <w:rPr>
                <w:w w:val="100"/>
                <w:sz w:val="21"/>
              </w:rPr>
              <w:t>B</w:t>
            </w:r>
          </w:p>
        </w:tc>
        <w:tc>
          <w:tcPr>
            <w:tcW w:w="2890" w:type="dxa"/>
          </w:tcPr>
          <w:p>
            <w:pPr>
              <w:pStyle w:val="TableParagraph"/>
              <w:spacing w:before="39"/>
              <w:ind w:left="14"/>
              <w:rPr>
                <w:sz w:val="21"/>
              </w:rPr>
            </w:pPr>
            <w:r>
              <w:rPr>
                <w:sz w:val="21"/>
              </w:rPr>
              <w:t>采矿业</w:t>
            </w:r>
          </w:p>
        </w:tc>
        <w:tc>
          <w:tcPr>
            <w:tcW w:w="3003" w:type="dxa"/>
          </w:tcPr>
          <w:p>
            <w:pPr>
              <w:pStyle w:val="TableParagraph"/>
              <w:spacing w:before="39"/>
              <w:ind w:right="-15"/>
              <w:jc w:val="right"/>
              <w:rPr>
                <w:sz w:val="21"/>
              </w:rPr>
            </w:pPr>
            <w:r>
              <w:rPr>
                <w:w w:val="100"/>
                <w:sz w:val="21"/>
              </w:rPr>
              <w:t>-</w:t>
            </w:r>
          </w:p>
        </w:tc>
        <w:tc>
          <w:tcPr>
            <w:tcW w:w="1719" w:type="dxa"/>
          </w:tcPr>
          <w:p>
            <w:pPr>
              <w:pStyle w:val="TableParagraph"/>
              <w:spacing w:before="39"/>
              <w:ind w:right="4"/>
              <w:jc w:val="right"/>
              <w:rPr>
                <w:sz w:val="21"/>
              </w:rPr>
            </w:pPr>
            <w:r>
              <w:rPr>
                <w:w w:val="100"/>
                <w:sz w:val="21"/>
              </w:rPr>
              <w:t>-</w:t>
            </w:r>
          </w:p>
        </w:tc>
      </w:tr>
      <w:tr>
        <w:trPr>
          <w:trHeight w:val="326" w:hRule="atLeast"/>
        </w:trPr>
        <w:tc>
          <w:tcPr>
            <w:tcW w:w="715" w:type="dxa"/>
          </w:tcPr>
          <w:p>
            <w:pPr>
              <w:pStyle w:val="TableParagraph"/>
              <w:spacing w:before="37"/>
              <w:ind w:left="4"/>
              <w:jc w:val="center"/>
              <w:rPr>
                <w:sz w:val="21"/>
              </w:rPr>
            </w:pPr>
            <w:r>
              <w:rPr>
                <w:w w:val="100"/>
                <w:sz w:val="21"/>
              </w:rPr>
              <w:t>C</w:t>
            </w:r>
          </w:p>
        </w:tc>
        <w:tc>
          <w:tcPr>
            <w:tcW w:w="2890" w:type="dxa"/>
          </w:tcPr>
          <w:p>
            <w:pPr>
              <w:pStyle w:val="TableParagraph"/>
              <w:spacing w:before="37"/>
              <w:ind w:left="14"/>
              <w:rPr>
                <w:sz w:val="21"/>
              </w:rPr>
            </w:pPr>
            <w:r>
              <w:rPr>
                <w:sz w:val="21"/>
              </w:rPr>
              <w:t>制造业</w:t>
            </w:r>
          </w:p>
        </w:tc>
        <w:tc>
          <w:tcPr>
            <w:tcW w:w="3003" w:type="dxa"/>
          </w:tcPr>
          <w:p>
            <w:pPr>
              <w:pStyle w:val="TableParagraph"/>
              <w:spacing w:before="37"/>
              <w:ind w:right="-15"/>
              <w:jc w:val="right"/>
              <w:rPr>
                <w:sz w:val="21"/>
              </w:rPr>
            </w:pPr>
            <w:r>
              <w:rPr>
                <w:sz w:val="21"/>
              </w:rPr>
              <w:t>11,952,195,985.96</w:t>
            </w:r>
          </w:p>
        </w:tc>
        <w:tc>
          <w:tcPr>
            <w:tcW w:w="1719" w:type="dxa"/>
          </w:tcPr>
          <w:p>
            <w:pPr>
              <w:pStyle w:val="TableParagraph"/>
              <w:spacing w:before="37"/>
              <w:ind w:right="2"/>
              <w:jc w:val="right"/>
              <w:rPr>
                <w:sz w:val="21"/>
              </w:rPr>
            </w:pPr>
            <w:r>
              <w:rPr>
                <w:sz w:val="21"/>
              </w:rPr>
              <w:t>68.23</w:t>
            </w:r>
          </w:p>
        </w:tc>
      </w:tr>
      <w:tr>
        <w:trPr>
          <w:trHeight w:val="640" w:hRule="atLeast"/>
        </w:trPr>
        <w:tc>
          <w:tcPr>
            <w:tcW w:w="715" w:type="dxa"/>
          </w:tcPr>
          <w:p>
            <w:pPr>
              <w:pStyle w:val="TableParagraph"/>
              <w:spacing w:before="39"/>
              <w:ind w:left="4"/>
              <w:jc w:val="center"/>
              <w:rPr>
                <w:sz w:val="21"/>
              </w:rPr>
            </w:pPr>
            <w:r>
              <w:rPr>
                <w:w w:val="100"/>
                <w:sz w:val="21"/>
              </w:rPr>
              <w:t>D</w:t>
            </w:r>
          </w:p>
        </w:tc>
        <w:tc>
          <w:tcPr>
            <w:tcW w:w="2890" w:type="dxa"/>
          </w:tcPr>
          <w:p>
            <w:pPr>
              <w:pStyle w:val="TableParagraph"/>
              <w:spacing w:before="39"/>
              <w:ind w:left="14"/>
              <w:rPr>
                <w:sz w:val="21"/>
              </w:rPr>
            </w:pPr>
            <w:r>
              <w:rPr>
                <w:spacing w:val="-12"/>
                <w:sz w:val="21"/>
              </w:rPr>
              <w:t>电力、热力、燃气及水生产和供</w:t>
            </w:r>
          </w:p>
          <w:p>
            <w:pPr>
              <w:pStyle w:val="TableParagraph"/>
              <w:spacing w:before="43"/>
              <w:ind w:left="14"/>
              <w:rPr>
                <w:sz w:val="21"/>
              </w:rPr>
            </w:pPr>
            <w:r>
              <w:rPr>
                <w:sz w:val="21"/>
              </w:rPr>
              <w:t>应业</w:t>
            </w:r>
          </w:p>
        </w:tc>
        <w:tc>
          <w:tcPr>
            <w:tcW w:w="3003" w:type="dxa"/>
          </w:tcPr>
          <w:p>
            <w:pPr>
              <w:pStyle w:val="TableParagraph"/>
              <w:spacing w:before="5"/>
              <w:rPr>
                <w:b/>
                <w:sz w:val="27"/>
              </w:rPr>
            </w:pPr>
          </w:p>
          <w:p>
            <w:pPr>
              <w:pStyle w:val="TableParagraph"/>
              <w:ind w:right="-15"/>
              <w:jc w:val="right"/>
              <w:rPr>
                <w:sz w:val="21"/>
              </w:rPr>
            </w:pPr>
            <w:r>
              <w:rPr>
                <w:w w:val="100"/>
                <w:sz w:val="21"/>
              </w:rPr>
              <w:t>-</w:t>
            </w:r>
          </w:p>
        </w:tc>
        <w:tc>
          <w:tcPr>
            <w:tcW w:w="1719" w:type="dxa"/>
          </w:tcPr>
          <w:p>
            <w:pPr>
              <w:pStyle w:val="TableParagraph"/>
              <w:spacing w:before="5"/>
              <w:rPr>
                <w:b/>
                <w:sz w:val="27"/>
              </w:rPr>
            </w:pPr>
          </w:p>
          <w:p>
            <w:pPr>
              <w:pStyle w:val="TableParagraph"/>
              <w:ind w:right="4"/>
              <w:jc w:val="right"/>
              <w:rPr>
                <w:sz w:val="21"/>
              </w:rPr>
            </w:pPr>
            <w:r>
              <w:rPr>
                <w:w w:val="100"/>
                <w:sz w:val="21"/>
              </w:rPr>
              <w:t>-</w:t>
            </w:r>
          </w:p>
        </w:tc>
      </w:tr>
      <w:tr>
        <w:trPr>
          <w:trHeight w:val="325" w:hRule="atLeast"/>
        </w:trPr>
        <w:tc>
          <w:tcPr>
            <w:tcW w:w="715" w:type="dxa"/>
          </w:tcPr>
          <w:p>
            <w:pPr>
              <w:pStyle w:val="TableParagraph"/>
              <w:spacing w:before="37"/>
              <w:ind w:left="4"/>
              <w:jc w:val="center"/>
              <w:rPr>
                <w:sz w:val="21"/>
              </w:rPr>
            </w:pPr>
            <w:r>
              <w:rPr>
                <w:w w:val="100"/>
                <w:sz w:val="21"/>
              </w:rPr>
              <w:t>E</w:t>
            </w:r>
          </w:p>
        </w:tc>
        <w:tc>
          <w:tcPr>
            <w:tcW w:w="2890" w:type="dxa"/>
          </w:tcPr>
          <w:p>
            <w:pPr>
              <w:pStyle w:val="TableParagraph"/>
              <w:spacing w:before="37"/>
              <w:ind w:left="14"/>
              <w:rPr>
                <w:sz w:val="21"/>
              </w:rPr>
            </w:pPr>
            <w:r>
              <w:rPr>
                <w:sz w:val="21"/>
              </w:rPr>
              <w:t>建筑业</w:t>
            </w:r>
          </w:p>
        </w:tc>
        <w:tc>
          <w:tcPr>
            <w:tcW w:w="3003" w:type="dxa"/>
          </w:tcPr>
          <w:p>
            <w:pPr>
              <w:pStyle w:val="TableParagraph"/>
              <w:spacing w:before="37"/>
              <w:ind w:right="-15"/>
              <w:jc w:val="right"/>
              <w:rPr>
                <w:sz w:val="21"/>
              </w:rPr>
            </w:pPr>
            <w:r>
              <w:rPr>
                <w:w w:val="100"/>
                <w:sz w:val="21"/>
              </w:rPr>
              <w:t>-</w:t>
            </w:r>
          </w:p>
        </w:tc>
        <w:tc>
          <w:tcPr>
            <w:tcW w:w="1719" w:type="dxa"/>
          </w:tcPr>
          <w:p>
            <w:pPr>
              <w:pStyle w:val="TableParagraph"/>
              <w:spacing w:before="37"/>
              <w:ind w:right="4"/>
              <w:jc w:val="right"/>
              <w:rPr>
                <w:sz w:val="21"/>
              </w:rPr>
            </w:pPr>
            <w:r>
              <w:rPr>
                <w:w w:val="100"/>
                <w:sz w:val="21"/>
              </w:rPr>
              <w:t>-</w:t>
            </w:r>
          </w:p>
        </w:tc>
      </w:tr>
      <w:tr>
        <w:trPr>
          <w:trHeight w:val="326" w:hRule="atLeast"/>
        </w:trPr>
        <w:tc>
          <w:tcPr>
            <w:tcW w:w="715" w:type="dxa"/>
          </w:tcPr>
          <w:p>
            <w:pPr>
              <w:pStyle w:val="TableParagraph"/>
              <w:spacing w:before="37"/>
              <w:ind w:left="4"/>
              <w:jc w:val="center"/>
              <w:rPr>
                <w:sz w:val="21"/>
              </w:rPr>
            </w:pPr>
            <w:r>
              <w:rPr>
                <w:w w:val="100"/>
                <w:sz w:val="21"/>
              </w:rPr>
              <w:t>F</w:t>
            </w:r>
          </w:p>
        </w:tc>
        <w:tc>
          <w:tcPr>
            <w:tcW w:w="2890" w:type="dxa"/>
          </w:tcPr>
          <w:p>
            <w:pPr>
              <w:pStyle w:val="TableParagraph"/>
              <w:spacing w:before="37"/>
              <w:ind w:left="14"/>
              <w:rPr>
                <w:sz w:val="21"/>
              </w:rPr>
            </w:pPr>
            <w:r>
              <w:rPr>
                <w:sz w:val="21"/>
              </w:rPr>
              <w:t>批发和零售业</w:t>
            </w:r>
          </w:p>
        </w:tc>
        <w:tc>
          <w:tcPr>
            <w:tcW w:w="3003" w:type="dxa"/>
          </w:tcPr>
          <w:p>
            <w:pPr>
              <w:pStyle w:val="TableParagraph"/>
              <w:spacing w:before="37"/>
              <w:ind w:right="-15"/>
              <w:jc w:val="right"/>
              <w:rPr>
                <w:sz w:val="21"/>
              </w:rPr>
            </w:pPr>
            <w:r>
              <w:rPr>
                <w:w w:val="100"/>
                <w:sz w:val="21"/>
              </w:rPr>
              <w:t>-</w:t>
            </w:r>
          </w:p>
        </w:tc>
        <w:tc>
          <w:tcPr>
            <w:tcW w:w="1719" w:type="dxa"/>
          </w:tcPr>
          <w:p>
            <w:pPr>
              <w:pStyle w:val="TableParagraph"/>
              <w:spacing w:before="37"/>
              <w:ind w:right="4"/>
              <w:jc w:val="right"/>
              <w:rPr>
                <w:sz w:val="21"/>
              </w:rPr>
            </w:pPr>
            <w:r>
              <w:rPr>
                <w:w w:val="100"/>
                <w:sz w:val="21"/>
              </w:rPr>
              <w:t>-</w:t>
            </w:r>
          </w:p>
        </w:tc>
      </w:tr>
      <w:tr>
        <w:trPr>
          <w:trHeight w:val="328" w:hRule="atLeast"/>
        </w:trPr>
        <w:tc>
          <w:tcPr>
            <w:tcW w:w="715" w:type="dxa"/>
          </w:tcPr>
          <w:p>
            <w:pPr>
              <w:pStyle w:val="TableParagraph"/>
              <w:spacing w:before="39"/>
              <w:ind w:left="4"/>
              <w:jc w:val="center"/>
              <w:rPr>
                <w:sz w:val="21"/>
              </w:rPr>
            </w:pPr>
            <w:r>
              <w:rPr>
                <w:w w:val="100"/>
                <w:sz w:val="21"/>
              </w:rPr>
              <w:t>G</w:t>
            </w:r>
          </w:p>
        </w:tc>
        <w:tc>
          <w:tcPr>
            <w:tcW w:w="2890" w:type="dxa"/>
          </w:tcPr>
          <w:p>
            <w:pPr>
              <w:pStyle w:val="TableParagraph"/>
              <w:spacing w:before="39"/>
              <w:ind w:left="14"/>
              <w:rPr>
                <w:sz w:val="21"/>
              </w:rPr>
            </w:pPr>
            <w:r>
              <w:rPr>
                <w:sz w:val="21"/>
              </w:rPr>
              <w:t>交通运输、仓储和邮政业</w:t>
            </w:r>
          </w:p>
        </w:tc>
        <w:tc>
          <w:tcPr>
            <w:tcW w:w="3003" w:type="dxa"/>
          </w:tcPr>
          <w:p>
            <w:pPr>
              <w:pStyle w:val="TableParagraph"/>
              <w:spacing w:before="39"/>
              <w:ind w:right="-15"/>
              <w:jc w:val="right"/>
              <w:rPr>
                <w:sz w:val="21"/>
              </w:rPr>
            </w:pPr>
            <w:r>
              <w:rPr>
                <w:sz w:val="21"/>
              </w:rPr>
              <w:t>7,875,000.00</w:t>
            </w:r>
          </w:p>
        </w:tc>
        <w:tc>
          <w:tcPr>
            <w:tcW w:w="1719" w:type="dxa"/>
          </w:tcPr>
          <w:p>
            <w:pPr>
              <w:pStyle w:val="TableParagraph"/>
              <w:spacing w:before="39"/>
              <w:ind w:right="2"/>
              <w:jc w:val="right"/>
              <w:rPr>
                <w:sz w:val="21"/>
              </w:rPr>
            </w:pPr>
            <w:r>
              <w:rPr>
                <w:sz w:val="21"/>
              </w:rPr>
              <w:t>0.04</w:t>
            </w:r>
          </w:p>
        </w:tc>
      </w:tr>
      <w:tr>
        <w:trPr>
          <w:trHeight w:val="326" w:hRule="atLeast"/>
        </w:trPr>
        <w:tc>
          <w:tcPr>
            <w:tcW w:w="715" w:type="dxa"/>
          </w:tcPr>
          <w:p>
            <w:pPr>
              <w:pStyle w:val="TableParagraph"/>
              <w:spacing w:before="37"/>
              <w:ind w:left="4"/>
              <w:jc w:val="center"/>
              <w:rPr>
                <w:sz w:val="21"/>
              </w:rPr>
            </w:pPr>
            <w:r>
              <w:rPr>
                <w:w w:val="100"/>
                <w:sz w:val="21"/>
              </w:rPr>
              <w:t>H</w:t>
            </w:r>
          </w:p>
        </w:tc>
        <w:tc>
          <w:tcPr>
            <w:tcW w:w="2890" w:type="dxa"/>
          </w:tcPr>
          <w:p>
            <w:pPr>
              <w:pStyle w:val="TableParagraph"/>
              <w:spacing w:before="37"/>
              <w:ind w:left="14"/>
              <w:rPr>
                <w:sz w:val="21"/>
              </w:rPr>
            </w:pPr>
            <w:r>
              <w:rPr>
                <w:sz w:val="21"/>
              </w:rPr>
              <w:t>住宿和餐饮业</w:t>
            </w:r>
          </w:p>
        </w:tc>
        <w:tc>
          <w:tcPr>
            <w:tcW w:w="3003" w:type="dxa"/>
          </w:tcPr>
          <w:p>
            <w:pPr>
              <w:pStyle w:val="TableParagraph"/>
              <w:spacing w:before="37"/>
              <w:ind w:right="-15"/>
              <w:jc w:val="right"/>
              <w:rPr>
                <w:sz w:val="21"/>
              </w:rPr>
            </w:pPr>
            <w:r>
              <w:rPr>
                <w:w w:val="100"/>
                <w:sz w:val="21"/>
              </w:rPr>
              <w:t>-</w:t>
            </w:r>
          </w:p>
        </w:tc>
        <w:tc>
          <w:tcPr>
            <w:tcW w:w="1719" w:type="dxa"/>
          </w:tcPr>
          <w:p>
            <w:pPr>
              <w:pStyle w:val="TableParagraph"/>
              <w:spacing w:before="37"/>
              <w:ind w:right="4"/>
              <w:jc w:val="right"/>
              <w:rPr>
                <w:sz w:val="21"/>
              </w:rPr>
            </w:pPr>
            <w:r>
              <w:rPr>
                <w:w w:val="100"/>
                <w:sz w:val="21"/>
              </w:rPr>
              <w:t>-</w:t>
            </w:r>
          </w:p>
        </w:tc>
      </w:tr>
      <w:tr>
        <w:trPr>
          <w:trHeight w:val="640" w:hRule="atLeast"/>
        </w:trPr>
        <w:tc>
          <w:tcPr>
            <w:tcW w:w="715" w:type="dxa"/>
          </w:tcPr>
          <w:p>
            <w:pPr>
              <w:pStyle w:val="TableParagraph"/>
              <w:spacing w:before="39"/>
              <w:ind w:left="4"/>
              <w:jc w:val="center"/>
              <w:rPr>
                <w:sz w:val="21"/>
              </w:rPr>
            </w:pPr>
            <w:r>
              <w:rPr>
                <w:w w:val="100"/>
                <w:sz w:val="21"/>
              </w:rPr>
              <w:t>I</w:t>
            </w:r>
          </w:p>
        </w:tc>
        <w:tc>
          <w:tcPr>
            <w:tcW w:w="2890" w:type="dxa"/>
          </w:tcPr>
          <w:p>
            <w:pPr>
              <w:pStyle w:val="TableParagraph"/>
              <w:spacing w:line="312" w:lineRule="exact"/>
              <w:ind w:left="14"/>
              <w:rPr>
                <w:sz w:val="21"/>
              </w:rPr>
            </w:pPr>
            <w:r>
              <w:rPr>
                <w:spacing w:val="-12"/>
                <w:sz w:val="21"/>
              </w:rPr>
              <w:t>信息传输、软件和信息技术服务</w:t>
            </w:r>
            <w:r>
              <w:rPr>
                <w:sz w:val="21"/>
              </w:rPr>
              <w:t>业</w:t>
            </w:r>
          </w:p>
        </w:tc>
        <w:tc>
          <w:tcPr>
            <w:tcW w:w="3003" w:type="dxa"/>
          </w:tcPr>
          <w:p>
            <w:pPr>
              <w:pStyle w:val="TableParagraph"/>
              <w:spacing w:before="5"/>
              <w:rPr>
                <w:b/>
                <w:sz w:val="27"/>
              </w:rPr>
            </w:pPr>
          </w:p>
          <w:p>
            <w:pPr>
              <w:pStyle w:val="TableParagraph"/>
              <w:ind w:right="-15"/>
              <w:jc w:val="right"/>
              <w:rPr>
                <w:sz w:val="21"/>
              </w:rPr>
            </w:pPr>
            <w:r>
              <w:rPr>
                <w:sz w:val="21"/>
              </w:rPr>
              <w:t>143,642.10</w:t>
            </w:r>
          </w:p>
        </w:tc>
        <w:tc>
          <w:tcPr>
            <w:tcW w:w="1719" w:type="dxa"/>
          </w:tcPr>
          <w:p>
            <w:pPr>
              <w:pStyle w:val="TableParagraph"/>
              <w:spacing w:before="5"/>
              <w:rPr>
                <w:b/>
                <w:sz w:val="27"/>
              </w:rPr>
            </w:pPr>
          </w:p>
          <w:p>
            <w:pPr>
              <w:pStyle w:val="TableParagraph"/>
              <w:ind w:right="2"/>
              <w:jc w:val="right"/>
              <w:rPr>
                <w:sz w:val="21"/>
              </w:rPr>
            </w:pPr>
            <w:r>
              <w:rPr>
                <w:sz w:val="21"/>
              </w:rPr>
              <w:t>0.00</w:t>
            </w:r>
          </w:p>
        </w:tc>
      </w:tr>
      <w:tr>
        <w:trPr>
          <w:trHeight w:val="326" w:hRule="atLeast"/>
        </w:trPr>
        <w:tc>
          <w:tcPr>
            <w:tcW w:w="715" w:type="dxa"/>
          </w:tcPr>
          <w:p>
            <w:pPr>
              <w:pStyle w:val="TableParagraph"/>
              <w:spacing w:before="37"/>
              <w:ind w:left="4"/>
              <w:jc w:val="center"/>
              <w:rPr>
                <w:sz w:val="21"/>
              </w:rPr>
            </w:pPr>
            <w:r>
              <w:rPr>
                <w:w w:val="100"/>
                <w:sz w:val="21"/>
              </w:rPr>
              <w:t>J</w:t>
            </w:r>
          </w:p>
        </w:tc>
        <w:tc>
          <w:tcPr>
            <w:tcW w:w="2890" w:type="dxa"/>
          </w:tcPr>
          <w:p>
            <w:pPr>
              <w:pStyle w:val="TableParagraph"/>
              <w:spacing w:before="37"/>
              <w:ind w:left="14"/>
              <w:rPr>
                <w:sz w:val="21"/>
              </w:rPr>
            </w:pPr>
            <w:r>
              <w:rPr>
                <w:sz w:val="21"/>
              </w:rPr>
              <w:t>金融业</w:t>
            </w:r>
          </w:p>
        </w:tc>
        <w:tc>
          <w:tcPr>
            <w:tcW w:w="3003" w:type="dxa"/>
          </w:tcPr>
          <w:p>
            <w:pPr>
              <w:pStyle w:val="TableParagraph"/>
              <w:spacing w:before="37"/>
              <w:ind w:right="-15"/>
              <w:jc w:val="right"/>
              <w:rPr>
                <w:sz w:val="21"/>
              </w:rPr>
            </w:pPr>
            <w:r>
              <w:rPr>
                <w:sz w:val="21"/>
              </w:rPr>
              <w:t>525,700,000.00</w:t>
            </w:r>
          </w:p>
        </w:tc>
        <w:tc>
          <w:tcPr>
            <w:tcW w:w="1719" w:type="dxa"/>
          </w:tcPr>
          <w:p>
            <w:pPr>
              <w:pStyle w:val="TableParagraph"/>
              <w:spacing w:before="37"/>
              <w:ind w:right="2"/>
              <w:jc w:val="right"/>
              <w:rPr>
                <w:sz w:val="21"/>
              </w:rPr>
            </w:pPr>
            <w:r>
              <w:rPr>
                <w:sz w:val="21"/>
              </w:rPr>
              <w:t>3.00</w:t>
            </w:r>
          </w:p>
        </w:tc>
      </w:tr>
      <w:tr>
        <w:trPr>
          <w:trHeight w:val="326" w:hRule="atLeast"/>
        </w:trPr>
        <w:tc>
          <w:tcPr>
            <w:tcW w:w="715" w:type="dxa"/>
          </w:tcPr>
          <w:p>
            <w:pPr>
              <w:pStyle w:val="TableParagraph"/>
              <w:spacing w:before="37"/>
              <w:ind w:left="4"/>
              <w:jc w:val="center"/>
              <w:rPr>
                <w:sz w:val="21"/>
              </w:rPr>
            </w:pPr>
            <w:r>
              <w:rPr>
                <w:w w:val="100"/>
                <w:sz w:val="21"/>
              </w:rPr>
              <w:t>K</w:t>
            </w:r>
          </w:p>
        </w:tc>
        <w:tc>
          <w:tcPr>
            <w:tcW w:w="2890" w:type="dxa"/>
          </w:tcPr>
          <w:p>
            <w:pPr>
              <w:pStyle w:val="TableParagraph"/>
              <w:spacing w:before="37"/>
              <w:ind w:left="14"/>
              <w:rPr>
                <w:sz w:val="21"/>
              </w:rPr>
            </w:pPr>
            <w:r>
              <w:rPr>
                <w:sz w:val="21"/>
              </w:rPr>
              <w:t>房地产业</w:t>
            </w:r>
          </w:p>
        </w:tc>
        <w:tc>
          <w:tcPr>
            <w:tcW w:w="3003" w:type="dxa"/>
          </w:tcPr>
          <w:p>
            <w:pPr>
              <w:pStyle w:val="TableParagraph"/>
              <w:spacing w:before="37"/>
              <w:ind w:right="-15"/>
              <w:jc w:val="right"/>
              <w:rPr>
                <w:sz w:val="21"/>
              </w:rPr>
            </w:pPr>
            <w:r>
              <w:rPr>
                <w:w w:val="100"/>
                <w:sz w:val="21"/>
              </w:rPr>
              <w:t>-</w:t>
            </w:r>
          </w:p>
        </w:tc>
        <w:tc>
          <w:tcPr>
            <w:tcW w:w="1719" w:type="dxa"/>
          </w:tcPr>
          <w:p>
            <w:pPr>
              <w:pStyle w:val="TableParagraph"/>
              <w:spacing w:before="37"/>
              <w:ind w:right="4"/>
              <w:jc w:val="right"/>
              <w:rPr>
                <w:sz w:val="21"/>
              </w:rPr>
            </w:pPr>
            <w:r>
              <w:rPr>
                <w:w w:val="100"/>
                <w:sz w:val="21"/>
              </w:rPr>
              <w:t>-</w:t>
            </w:r>
          </w:p>
        </w:tc>
      </w:tr>
      <w:tr>
        <w:trPr>
          <w:trHeight w:val="328" w:hRule="atLeast"/>
        </w:trPr>
        <w:tc>
          <w:tcPr>
            <w:tcW w:w="715" w:type="dxa"/>
          </w:tcPr>
          <w:p>
            <w:pPr>
              <w:pStyle w:val="TableParagraph"/>
              <w:spacing w:before="39"/>
              <w:ind w:left="4"/>
              <w:jc w:val="center"/>
              <w:rPr>
                <w:sz w:val="21"/>
              </w:rPr>
            </w:pPr>
            <w:r>
              <w:rPr>
                <w:w w:val="100"/>
                <w:sz w:val="21"/>
              </w:rPr>
              <w:t>L</w:t>
            </w:r>
          </w:p>
        </w:tc>
        <w:tc>
          <w:tcPr>
            <w:tcW w:w="2890" w:type="dxa"/>
          </w:tcPr>
          <w:p>
            <w:pPr>
              <w:pStyle w:val="TableParagraph"/>
              <w:spacing w:before="39"/>
              <w:ind w:left="14"/>
              <w:rPr>
                <w:sz w:val="21"/>
              </w:rPr>
            </w:pPr>
            <w:r>
              <w:rPr>
                <w:sz w:val="21"/>
              </w:rPr>
              <w:t>租赁和商务服务业</w:t>
            </w:r>
          </w:p>
        </w:tc>
        <w:tc>
          <w:tcPr>
            <w:tcW w:w="3003" w:type="dxa"/>
          </w:tcPr>
          <w:p>
            <w:pPr>
              <w:pStyle w:val="TableParagraph"/>
              <w:spacing w:before="39"/>
              <w:ind w:right="-15"/>
              <w:jc w:val="right"/>
              <w:rPr>
                <w:sz w:val="21"/>
              </w:rPr>
            </w:pPr>
            <w:r>
              <w:rPr>
                <w:sz w:val="21"/>
              </w:rPr>
              <w:t>889,500,000.00</w:t>
            </w:r>
          </w:p>
        </w:tc>
        <w:tc>
          <w:tcPr>
            <w:tcW w:w="1719" w:type="dxa"/>
          </w:tcPr>
          <w:p>
            <w:pPr>
              <w:pStyle w:val="TableParagraph"/>
              <w:spacing w:before="39"/>
              <w:ind w:right="2"/>
              <w:jc w:val="right"/>
              <w:rPr>
                <w:sz w:val="21"/>
              </w:rPr>
            </w:pPr>
            <w:r>
              <w:rPr>
                <w:sz w:val="21"/>
              </w:rPr>
              <w:t>5.08</w:t>
            </w:r>
          </w:p>
        </w:tc>
      </w:tr>
      <w:tr>
        <w:trPr>
          <w:trHeight w:val="325" w:hRule="atLeast"/>
        </w:trPr>
        <w:tc>
          <w:tcPr>
            <w:tcW w:w="715" w:type="dxa"/>
          </w:tcPr>
          <w:p>
            <w:pPr>
              <w:pStyle w:val="TableParagraph"/>
              <w:spacing w:before="37"/>
              <w:ind w:left="4"/>
              <w:jc w:val="center"/>
              <w:rPr>
                <w:sz w:val="21"/>
              </w:rPr>
            </w:pPr>
            <w:r>
              <w:rPr>
                <w:w w:val="100"/>
                <w:sz w:val="21"/>
              </w:rPr>
              <w:t>M</w:t>
            </w:r>
          </w:p>
        </w:tc>
        <w:tc>
          <w:tcPr>
            <w:tcW w:w="2890" w:type="dxa"/>
          </w:tcPr>
          <w:p>
            <w:pPr>
              <w:pStyle w:val="TableParagraph"/>
              <w:spacing w:before="37"/>
              <w:ind w:left="14"/>
              <w:rPr>
                <w:sz w:val="21"/>
              </w:rPr>
            </w:pPr>
            <w:r>
              <w:rPr>
                <w:sz w:val="21"/>
              </w:rPr>
              <w:t>科学研究和技术服务业</w:t>
            </w:r>
          </w:p>
        </w:tc>
        <w:tc>
          <w:tcPr>
            <w:tcW w:w="3003" w:type="dxa"/>
          </w:tcPr>
          <w:p>
            <w:pPr>
              <w:pStyle w:val="TableParagraph"/>
              <w:spacing w:before="37"/>
              <w:ind w:right="-15"/>
              <w:jc w:val="right"/>
              <w:rPr>
                <w:sz w:val="21"/>
              </w:rPr>
            </w:pPr>
            <w:r>
              <w:rPr>
                <w:sz w:val="21"/>
              </w:rPr>
              <w:t>414,519,273.00</w:t>
            </w:r>
          </w:p>
        </w:tc>
        <w:tc>
          <w:tcPr>
            <w:tcW w:w="1719" w:type="dxa"/>
          </w:tcPr>
          <w:p>
            <w:pPr>
              <w:pStyle w:val="TableParagraph"/>
              <w:spacing w:before="37"/>
              <w:ind w:right="2"/>
              <w:jc w:val="right"/>
              <w:rPr>
                <w:sz w:val="21"/>
              </w:rPr>
            </w:pPr>
            <w:r>
              <w:rPr>
                <w:sz w:val="21"/>
              </w:rPr>
              <w:t>2.37</w:t>
            </w:r>
          </w:p>
        </w:tc>
      </w:tr>
      <w:tr>
        <w:trPr>
          <w:trHeight w:val="328" w:hRule="atLeast"/>
        </w:trPr>
        <w:tc>
          <w:tcPr>
            <w:tcW w:w="715" w:type="dxa"/>
          </w:tcPr>
          <w:p>
            <w:pPr>
              <w:pStyle w:val="TableParagraph"/>
              <w:spacing w:before="39"/>
              <w:ind w:left="4"/>
              <w:jc w:val="center"/>
              <w:rPr>
                <w:sz w:val="21"/>
              </w:rPr>
            </w:pPr>
            <w:r>
              <w:rPr>
                <w:w w:val="100"/>
                <w:sz w:val="21"/>
              </w:rPr>
              <w:t>N</w:t>
            </w:r>
          </w:p>
        </w:tc>
        <w:tc>
          <w:tcPr>
            <w:tcW w:w="2890" w:type="dxa"/>
          </w:tcPr>
          <w:p>
            <w:pPr>
              <w:pStyle w:val="TableParagraph"/>
              <w:spacing w:before="39"/>
              <w:ind w:left="14"/>
              <w:rPr>
                <w:sz w:val="21"/>
              </w:rPr>
            </w:pPr>
            <w:r>
              <w:rPr>
                <w:sz w:val="21"/>
              </w:rPr>
              <w:t>水利、环境和公共设施管理业</w:t>
            </w:r>
          </w:p>
        </w:tc>
        <w:tc>
          <w:tcPr>
            <w:tcW w:w="3003" w:type="dxa"/>
          </w:tcPr>
          <w:p>
            <w:pPr>
              <w:pStyle w:val="TableParagraph"/>
              <w:spacing w:before="39"/>
              <w:ind w:right="-15"/>
              <w:jc w:val="right"/>
              <w:rPr>
                <w:sz w:val="21"/>
              </w:rPr>
            </w:pPr>
            <w:r>
              <w:rPr>
                <w:sz w:val="21"/>
              </w:rPr>
              <w:t>6,578.04</w:t>
            </w:r>
          </w:p>
        </w:tc>
        <w:tc>
          <w:tcPr>
            <w:tcW w:w="1719" w:type="dxa"/>
          </w:tcPr>
          <w:p>
            <w:pPr>
              <w:pStyle w:val="TableParagraph"/>
              <w:spacing w:before="39"/>
              <w:ind w:right="2"/>
              <w:jc w:val="right"/>
              <w:rPr>
                <w:sz w:val="21"/>
              </w:rPr>
            </w:pPr>
            <w:r>
              <w:rPr>
                <w:sz w:val="21"/>
              </w:rPr>
              <w:t>0.00</w:t>
            </w:r>
          </w:p>
        </w:tc>
      </w:tr>
      <w:tr>
        <w:trPr>
          <w:trHeight w:val="325" w:hRule="atLeast"/>
        </w:trPr>
        <w:tc>
          <w:tcPr>
            <w:tcW w:w="715" w:type="dxa"/>
          </w:tcPr>
          <w:p>
            <w:pPr>
              <w:pStyle w:val="TableParagraph"/>
              <w:spacing w:before="37"/>
              <w:ind w:left="4"/>
              <w:jc w:val="center"/>
              <w:rPr>
                <w:sz w:val="21"/>
              </w:rPr>
            </w:pPr>
            <w:r>
              <w:rPr>
                <w:w w:val="100"/>
                <w:sz w:val="21"/>
              </w:rPr>
              <w:t>O</w:t>
            </w:r>
          </w:p>
        </w:tc>
        <w:tc>
          <w:tcPr>
            <w:tcW w:w="2890" w:type="dxa"/>
          </w:tcPr>
          <w:p>
            <w:pPr>
              <w:pStyle w:val="TableParagraph"/>
              <w:spacing w:before="37"/>
              <w:ind w:left="14"/>
              <w:rPr>
                <w:sz w:val="21"/>
              </w:rPr>
            </w:pPr>
            <w:r>
              <w:rPr>
                <w:sz w:val="21"/>
              </w:rPr>
              <w:t>居民服务、修理和其他服务业</w:t>
            </w:r>
          </w:p>
        </w:tc>
        <w:tc>
          <w:tcPr>
            <w:tcW w:w="3003" w:type="dxa"/>
          </w:tcPr>
          <w:p>
            <w:pPr>
              <w:pStyle w:val="TableParagraph"/>
              <w:spacing w:before="37"/>
              <w:ind w:right="-15"/>
              <w:jc w:val="right"/>
              <w:rPr>
                <w:sz w:val="21"/>
              </w:rPr>
            </w:pPr>
            <w:r>
              <w:rPr>
                <w:w w:val="100"/>
                <w:sz w:val="21"/>
              </w:rPr>
              <w:t>-</w:t>
            </w:r>
          </w:p>
        </w:tc>
        <w:tc>
          <w:tcPr>
            <w:tcW w:w="1719" w:type="dxa"/>
          </w:tcPr>
          <w:p>
            <w:pPr>
              <w:pStyle w:val="TableParagraph"/>
              <w:spacing w:before="37"/>
              <w:ind w:right="4"/>
              <w:jc w:val="right"/>
              <w:rPr>
                <w:sz w:val="21"/>
              </w:rPr>
            </w:pPr>
            <w:r>
              <w:rPr>
                <w:w w:val="100"/>
                <w:sz w:val="21"/>
              </w:rPr>
              <w:t>-</w:t>
            </w:r>
          </w:p>
        </w:tc>
      </w:tr>
      <w:tr>
        <w:trPr>
          <w:trHeight w:val="328" w:hRule="atLeast"/>
        </w:trPr>
        <w:tc>
          <w:tcPr>
            <w:tcW w:w="715" w:type="dxa"/>
          </w:tcPr>
          <w:p>
            <w:pPr>
              <w:pStyle w:val="TableParagraph"/>
              <w:spacing w:before="39"/>
              <w:ind w:left="4"/>
              <w:jc w:val="center"/>
              <w:rPr>
                <w:sz w:val="21"/>
              </w:rPr>
            </w:pPr>
            <w:r>
              <w:rPr>
                <w:w w:val="100"/>
                <w:sz w:val="21"/>
              </w:rPr>
              <w:t>P</w:t>
            </w:r>
          </w:p>
        </w:tc>
        <w:tc>
          <w:tcPr>
            <w:tcW w:w="2890" w:type="dxa"/>
          </w:tcPr>
          <w:p>
            <w:pPr>
              <w:pStyle w:val="TableParagraph"/>
              <w:spacing w:before="39"/>
              <w:ind w:left="14"/>
              <w:rPr>
                <w:sz w:val="21"/>
              </w:rPr>
            </w:pPr>
            <w:r>
              <w:rPr>
                <w:sz w:val="21"/>
              </w:rPr>
              <w:t>教育</w:t>
            </w:r>
          </w:p>
        </w:tc>
        <w:tc>
          <w:tcPr>
            <w:tcW w:w="3003" w:type="dxa"/>
          </w:tcPr>
          <w:p>
            <w:pPr>
              <w:pStyle w:val="TableParagraph"/>
              <w:spacing w:before="39"/>
              <w:ind w:right="-15"/>
              <w:jc w:val="right"/>
              <w:rPr>
                <w:sz w:val="21"/>
              </w:rPr>
            </w:pPr>
            <w:r>
              <w:rPr>
                <w:w w:val="100"/>
                <w:sz w:val="21"/>
              </w:rPr>
              <w:t>-</w:t>
            </w:r>
          </w:p>
        </w:tc>
        <w:tc>
          <w:tcPr>
            <w:tcW w:w="1719" w:type="dxa"/>
          </w:tcPr>
          <w:p>
            <w:pPr>
              <w:pStyle w:val="TableParagraph"/>
              <w:spacing w:before="39"/>
              <w:ind w:right="4"/>
              <w:jc w:val="right"/>
              <w:rPr>
                <w:sz w:val="21"/>
              </w:rPr>
            </w:pPr>
            <w:r>
              <w:rPr>
                <w:w w:val="100"/>
                <w:sz w:val="21"/>
              </w:rPr>
              <w:t>-</w:t>
            </w:r>
          </w:p>
        </w:tc>
      </w:tr>
      <w:tr>
        <w:trPr>
          <w:trHeight w:val="326" w:hRule="atLeast"/>
        </w:trPr>
        <w:tc>
          <w:tcPr>
            <w:tcW w:w="715" w:type="dxa"/>
          </w:tcPr>
          <w:p>
            <w:pPr>
              <w:pStyle w:val="TableParagraph"/>
              <w:spacing w:before="37"/>
              <w:ind w:left="4"/>
              <w:jc w:val="center"/>
              <w:rPr>
                <w:sz w:val="21"/>
              </w:rPr>
            </w:pPr>
            <w:r>
              <w:rPr>
                <w:w w:val="100"/>
                <w:sz w:val="21"/>
              </w:rPr>
              <w:t>Q</w:t>
            </w:r>
          </w:p>
        </w:tc>
        <w:tc>
          <w:tcPr>
            <w:tcW w:w="2890" w:type="dxa"/>
          </w:tcPr>
          <w:p>
            <w:pPr>
              <w:pStyle w:val="TableParagraph"/>
              <w:spacing w:before="37"/>
              <w:ind w:left="14"/>
              <w:rPr>
                <w:sz w:val="21"/>
              </w:rPr>
            </w:pPr>
            <w:r>
              <w:rPr>
                <w:sz w:val="21"/>
              </w:rPr>
              <w:t>卫生和社会工作</w:t>
            </w:r>
          </w:p>
        </w:tc>
        <w:tc>
          <w:tcPr>
            <w:tcW w:w="3003" w:type="dxa"/>
          </w:tcPr>
          <w:p>
            <w:pPr>
              <w:pStyle w:val="TableParagraph"/>
              <w:spacing w:before="37"/>
              <w:ind w:right="-15"/>
              <w:jc w:val="right"/>
              <w:rPr>
                <w:sz w:val="21"/>
              </w:rPr>
            </w:pPr>
            <w:r>
              <w:rPr>
                <w:sz w:val="21"/>
              </w:rPr>
              <w:t>31,573,231.80</w:t>
            </w:r>
          </w:p>
        </w:tc>
        <w:tc>
          <w:tcPr>
            <w:tcW w:w="1719" w:type="dxa"/>
          </w:tcPr>
          <w:p>
            <w:pPr>
              <w:pStyle w:val="TableParagraph"/>
              <w:spacing w:before="37"/>
              <w:ind w:right="2"/>
              <w:jc w:val="right"/>
              <w:rPr>
                <w:sz w:val="21"/>
              </w:rPr>
            </w:pPr>
            <w:r>
              <w:rPr>
                <w:sz w:val="21"/>
              </w:rPr>
              <w:t>0.18</w:t>
            </w:r>
          </w:p>
        </w:tc>
      </w:tr>
      <w:tr>
        <w:trPr>
          <w:trHeight w:val="325" w:hRule="atLeast"/>
        </w:trPr>
        <w:tc>
          <w:tcPr>
            <w:tcW w:w="715" w:type="dxa"/>
          </w:tcPr>
          <w:p>
            <w:pPr>
              <w:pStyle w:val="TableParagraph"/>
              <w:spacing w:before="37"/>
              <w:ind w:left="4"/>
              <w:jc w:val="center"/>
              <w:rPr>
                <w:sz w:val="21"/>
              </w:rPr>
            </w:pPr>
            <w:r>
              <w:rPr>
                <w:w w:val="100"/>
                <w:sz w:val="21"/>
              </w:rPr>
              <w:t>R</w:t>
            </w:r>
          </w:p>
        </w:tc>
        <w:tc>
          <w:tcPr>
            <w:tcW w:w="2890" w:type="dxa"/>
          </w:tcPr>
          <w:p>
            <w:pPr>
              <w:pStyle w:val="TableParagraph"/>
              <w:spacing w:before="37"/>
              <w:ind w:left="14"/>
              <w:rPr>
                <w:sz w:val="21"/>
              </w:rPr>
            </w:pPr>
            <w:r>
              <w:rPr>
                <w:sz w:val="21"/>
              </w:rPr>
              <w:t>文化、体育和娱乐业</w:t>
            </w:r>
          </w:p>
        </w:tc>
        <w:tc>
          <w:tcPr>
            <w:tcW w:w="3003" w:type="dxa"/>
          </w:tcPr>
          <w:p>
            <w:pPr>
              <w:pStyle w:val="TableParagraph"/>
              <w:spacing w:before="37"/>
              <w:ind w:right="-15"/>
              <w:jc w:val="right"/>
              <w:rPr>
                <w:sz w:val="21"/>
              </w:rPr>
            </w:pPr>
            <w:r>
              <w:rPr>
                <w:w w:val="100"/>
                <w:sz w:val="21"/>
              </w:rPr>
              <w:t>-</w:t>
            </w:r>
          </w:p>
        </w:tc>
        <w:tc>
          <w:tcPr>
            <w:tcW w:w="1719" w:type="dxa"/>
          </w:tcPr>
          <w:p>
            <w:pPr>
              <w:pStyle w:val="TableParagraph"/>
              <w:spacing w:before="37"/>
              <w:ind w:right="4"/>
              <w:jc w:val="right"/>
              <w:rPr>
                <w:sz w:val="21"/>
              </w:rPr>
            </w:pPr>
            <w:r>
              <w:rPr>
                <w:w w:val="100"/>
                <w:sz w:val="21"/>
              </w:rPr>
              <w:t>-</w:t>
            </w:r>
          </w:p>
        </w:tc>
      </w:tr>
      <w:tr>
        <w:trPr>
          <w:trHeight w:val="328" w:hRule="atLeast"/>
        </w:trPr>
        <w:tc>
          <w:tcPr>
            <w:tcW w:w="715" w:type="dxa"/>
          </w:tcPr>
          <w:p>
            <w:pPr>
              <w:pStyle w:val="TableParagraph"/>
              <w:spacing w:before="39"/>
              <w:ind w:left="4"/>
              <w:jc w:val="center"/>
              <w:rPr>
                <w:sz w:val="21"/>
              </w:rPr>
            </w:pPr>
            <w:r>
              <w:rPr>
                <w:w w:val="100"/>
                <w:sz w:val="21"/>
              </w:rPr>
              <w:t>S</w:t>
            </w:r>
          </w:p>
        </w:tc>
        <w:tc>
          <w:tcPr>
            <w:tcW w:w="2890" w:type="dxa"/>
          </w:tcPr>
          <w:p>
            <w:pPr>
              <w:pStyle w:val="TableParagraph"/>
              <w:spacing w:before="39"/>
              <w:ind w:left="14"/>
              <w:rPr>
                <w:sz w:val="21"/>
              </w:rPr>
            </w:pPr>
            <w:r>
              <w:rPr>
                <w:sz w:val="21"/>
              </w:rPr>
              <w:t>综合</w:t>
            </w:r>
          </w:p>
        </w:tc>
        <w:tc>
          <w:tcPr>
            <w:tcW w:w="3003" w:type="dxa"/>
          </w:tcPr>
          <w:p>
            <w:pPr>
              <w:pStyle w:val="TableParagraph"/>
              <w:spacing w:before="39"/>
              <w:ind w:right="-15"/>
              <w:jc w:val="right"/>
              <w:rPr>
                <w:sz w:val="21"/>
              </w:rPr>
            </w:pPr>
            <w:r>
              <w:rPr>
                <w:w w:val="100"/>
                <w:sz w:val="21"/>
              </w:rPr>
              <w:t>-</w:t>
            </w:r>
          </w:p>
        </w:tc>
        <w:tc>
          <w:tcPr>
            <w:tcW w:w="1719" w:type="dxa"/>
          </w:tcPr>
          <w:p>
            <w:pPr>
              <w:pStyle w:val="TableParagraph"/>
              <w:spacing w:before="39"/>
              <w:ind w:right="4"/>
              <w:jc w:val="right"/>
              <w:rPr>
                <w:sz w:val="21"/>
              </w:rPr>
            </w:pPr>
            <w:r>
              <w:rPr>
                <w:w w:val="100"/>
                <w:sz w:val="21"/>
              </w:rPr>
              <w:t>-</w:t>
            </w:r>
          </w:p>
        </w:tc>
      </w:tr>
      <w:tr>
        <w:trPr>
          <w:trHeight w:val="325" w:hRule="atLeast"/>
        </w:trPr>
        <w:tc>
          <w:tcPr>
            <w:tcW w:w="715" w:type="dxa"/>
          </w:tcPr>
          <w:p>
            <w:pPr>
              <w:pStyle w:val="TableParagraph"/>
              <w:rPr>
                <w:rFonts w:ascii="Times New Roman"/>
                <w:sz w:val="20"/>
              </w:rPr>
            </w:pPr>
          </w:p>
        </w:tc>
        <w:tc>
          <w:tcPr>
            <w:tcW w:w="2890" w:type="dxa"/>
          </w:tcPr>
          <w:p>
            <w:pPr>
              <w:pStyle w:val="TableParagraph"/>
              <w:spacing w:before="37"/>
              <w:ind w:left="14"/>
              <w:rPr>
                <w:sz w:val="21"/>
              </w:rPr>
            </w:pPr>
            <w:r>
              <w:rPr>
                <w:sz w:val="21"/>
              </w:rPr>
              <w:t>合计</w:t>
            </w:r>
          </w:p>
        </w:tc>
        <w:tc>
          <w:tcPr>
            <w:tcW w:w="3003" w:type="dxa"/>
          </w:tcPr>
          <w:p>
            <w:pPr>
              <w:pStyle w:val="TableParagraph"/>
              <w:spacing w:before="37"/>
              <w:ind w:right="-15"/>
              <w:jc w:val="right"/>
              <w:rPr>
                <w:sz w:val="21"/>
              </w:rPr>
            </w:pPr>
            <w:r>
              <w:rPr>
                <w:sz w:val="21"/>
              </w:rPr>
              <w:t>16,574,944,885.30</w:t>
            </w:r>
          </w:p>
        </w:tc>
        <w:tc>
          <w:tcPr>
            <w:tcW w:w="1719" w:type="dxa"/>
          </w:tcPr>
          <w:p>
            <w:pPr>
              <w:pStyle w:val="TableParagraph"/>
              <w:spacing w:before="37"/>
              <w:ind w:right="2"/>
              <w:jc w:val="right"/>
              <w:rPr>
                <w:sz w:val="21"/>
              </w:rPr>
            </w:pPr>
            <w:r>
              <w:rPr>
                <w:sz w:val="21"/>
              </w:rPr>
              <w:t>94.62</w:t>
            </w:r>
          </w:p>
        </w:tc>
      </w:tr>
    </w:tbl>
    <w:p>
      <w:pPr>
        <w:pStyle w:val="Heading3"/>
        <w:numPr>
          <w:ilvl w:val="1"/>
          <w:numId w:val="27"/>
        </w:numPr>
        <w:tabs>
          <w:tab w:pos="1246" w:val="left" w:leader="none"/>
        </w:tabs>
        <w:spacing w:line="240" w:lineRule="auto" w:before="236" w:after="0"/>
        <w:ind w:left="1246" w:right="0" w:hanging="406"/>
        <w:jc w:val="left"/>
        <w:rPr>
          <w:rFonts w:ascii="Cambria" w:eastAsia="Cambria"/>
        </w:rPr>
      </w:pPr>
      <w:r>
        <w:rPr/>
        <w:t>报告期末按行业分类的港股通投资股票投资组合</w:t>
      </w:r>
    </w:p>
    <w:p>
      <w:pPr>
        <w:pStyle w:val="BodyText"/>
        <w:spacing w:before="181"/>
        <w:ind w:left="1260"/>
      </w:pPr>
      <w:r>
        <w:rPr/>
        <w:t>无。</w:t>
      </w:r>
    </w:p>
    <w:p>
      <w:pPr>
        <w:pStyle w:val="BodyText"/>
        <w:spacing w:before="1"/>
        <w:rPr>
          <w:sz w:val="26"/>
        </w:rPr>
      </w:pPr>
    </w:p>
    <w:p>
      <w:pPr>
        <w:pStyle w:val="Heading3"/>
        <w:numPr>
          <w:ilvl w:val="0"/>
          <w:numId w:val="27"/>
        </w:numPr>
        <w:tabs>
          <w:tab w:pos="1105" w:val="left" w:leader="none"/>
        </w:tabs>
        <w:spacing w:line="240" w:lineRule="auto" w:before="0" w:after="0"/>
        <w:ind w:left="1104" w:right="0" w:hanging="265"/>
        <w:jc w:val="left"/>
      </w:pPr>
      <w:r>
        <w:rPr/>
        <w:t>报告期末按公允价值占基金资产净值比例大小排序的前十名股票投资明细</w:t>
      </w:r>
    </w:p>
    <w:p>
      <w:pPr>
        <w:pStyle w:val="BodyText"/>
        <w:spacing w:before="5"/>
        <w:rPr>
          <w:b/>
          <w:sz w:val="6"/>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243"/>
        <w:gridCol w:w="1354"/>
        <w:gridCol w:w="1695"/>
        <w:gridCol w:w="2117"/>
        <w:gridCol w:w="1362"/>
      </w:tblGrid>
      <w:tr>
        <w:trPr>
          <w:trHeight w:val="640" w:hRule="atLeast"/>
        </w:trPr>
        <w:tc>
          <w:tcPr>
            <w:tcW w:w="566" w:type="dxa"/>
            <w:shd w:val="clear" w:color="auto" w:fill="D9D9D9"/>
          </w:tcPr>
          <w:p>
            <w:pPr>
              <w:pStyle w:val="TableParagraph"/>
              <w:spacing w:before="3"/>
              <w:rPr>
                <w:b/>
                <w:sz w:val="15"/>
              </w:rPr>
            </w:pPr>
          </w:p>
          <w:p>
            <w:pPr>
              <w:pStyle w:val="TableParagraph"/>
              <w:ind w:left="50" w:right="45"/>
              <w:jc w:val="center"/>
              <w:rPr>
                <w:sz w:val="21"/>
              </w:rPr>
            </w:pPr>
            <w:r>
              <w:rPr>
                <w:sz w:val="21"/>
              </w:rPr>
              <w:t>序号</w:t>
            </w:r>
          </w:p>
        </w:tc>
        <w:tc>
          <w:tcPr>
            <w:tcW w:w="1243" w:type="dxa"/>
            <w:shd w:val="clear" w:color="auto" w:fill="D9D9D9"/>
          </w:tcPr>
          <w:p>
            <w:pPr>
              <w:pStyle w:val="TableParagraph"/>
              <w:spacing w:before="3"/>
              <w:rPr>
                <w:b/>
                <w:sz w:val="15"/>
              </w:rPr>
            </w:pPr>
          </w:p>
          <w:p>
            <w:pPr>
              <w:pStyle w:val="TableParagraph"/>
              <w:ind w:left="180" w:right="172"/>
              <w:jc w:val="center"/>
              <w:rPr>
                <w:sz w:val="21"/>
              </w:rPr>
            </w:pPr>
            <w:r>
              <w:rPr>
                <w:sz w:val="21"/>
              </w:rPr>
              <w:t>股票代码</w:t>
            </w:r>
          </w:p>
        </w:tc>
        <w:tc>
          <w:tcPr>
            <w:tcW w:w="1354" w:type="dxa"/>
            <w:shd w:val="clear" w:color="auto" w:fill="D9D9D9"/>
          </w:tcPr>
          <w:p>
            <w:pPr>
              <w:pStyle w:val="TableParagraph"/>
              <w:spacing w:before="3"/>
              <w:rPr>
                <w:b/>
                <w:sz w:val="15"/>
              </w:rPr>
            </w:pPr>
          </w:p>
          <w:p>
            <w:pPr>
              <w:pStyle w:val="TableParagraph"/>
              <w:ind w:left="234" w:right="225"/>
              <w:jc w:val="center"/>
              <w:rPr>
                <w:sz w:val="21"/>
              </w:rPr>
            </w:pPr>
            <w:r>
              <w:rPr>
                <w:sz w:val="21"/>
              </w:rPr>
              <w:t>股票名称</w:t>
            </w:r>
          </w:p>
        </w:tc>
        <w:tc>
          <w:tcPr>
            <w:tcW w:w="1695" w:type="dxa"/>
            <w:shd w:val="clear" w:color="auto" w:fill="D9D9D9"/>
          </w:tcPr>
          <w:p>
            <w:pPr>
              <w:pStyle w:val="TableParagraph"/>
              <w:spacing w:before="3"/>
              <w:rPr>
                <w:b/>
                <w:sz w:val="15"/>
              </w:rPr>
            </w:pPr>
          </w:p>
          <w:p>
            <w:pPr>
              <w:pStyle w:val="TableParagraph"/>
              <w:ind w:left="319"/>
              <w:rPr>
                <w:sz w:val="21"/>
              </w:rPr>
            </w:pPr>
            <w:r>
              <w:rPr>
                <w:sz w:val="21"/>
              </w:rPr>
              <w:t>数量（股）</w:t>
            </w:r>
          </w:p>
        </w:tc>
        <w:tc>
          <w:tcPr>
            <w:tcW w:w="2117" w:type="dxa"/>
            <w:shd w:val="clear" w:color="auto" w:fill="D9D9D9"/>
          </w:tcPr>
          <w:p>
            <w:pPr>
              <w:pStyle w:val="TableParagraph"/>
              <w:spacing w:before="3"/>
              <w:rPr>
                <w:b/>
                <w:sz w:val="15"/>
              </w:rPr>
            </w:pPr>
          </w:p>
          <w:p>
            <w:pPr>
              <w:pStyle w:val="TableParagraph"/>
              <w:ind w:left="321"/>
              <w:rPr>
                <w:sz w:val="21"/>
              </w:rPr>
            </w:pPr>
            <w:r>
              <w:rPr>
                <w:sz w:val="21"/>
              </w:rPr>
              <w:t>公允价值（元）</w:t>
            </w:r>
          </w:p>
        </w:tc>
        <w:tc>
          <w:tcPr>
            <w:tcW w:w="1362" w:type="dxa"/>
            <w:shd w:val="clear" w:color="auto" w:fill="D9D9D9"/>
          </w:tcPr>
          <w:p>
            <w:pPr>
              <w:pStyle w:val="TableParagraph"/>
              <w:spacing w:before="39"/>
              <w:ind w:left="50"/>
              <w:rPr>
                <w:sz w:val="21"/>
              </w:rPr>
            </w:pPr>
            <w:r>
              <w:rPr>
                <w:sz w:val="21"/>
              </w:rPr>
              <w:t>占基金资产净</w:t>
            </w:r>
          </w:p>
          <w:p>
            <w:pPr>
              <w:pStyle w:val="TableParagraph"/>
              <w:spacing w:before="43"/>
              <w:ind w:left="100"/>
              <w:rPr>
                <w:sz w:val="21"/>
              </w:rPr>
            </w:pPr>
            <w:r>
              <w:rPr>
                <w:sz w:val="21"/>
              </w:rPr>
              <w:t>值比例（%）</w:t>
            </w:r>
          </w:p>
        </w:tc>
      </w:tr>
      <w:tr>
        <w:trPr>
          <w:trHeight w:val="325" w:hRule="atLeast"/>
        </w:trPr>
        <w:tc>
          <w:tcPr>
            <w:tcW w:w="566" w:type="dxa"/>
          </w:tcPr>
          <w:p>
            <w:pPr>
              <w:pStyle w:val="TableParagraph"/>
              <w:spacing w:before="37"/>
              <w:ind w:left="5"/>
              <w:jc w:val="center"/>
              <w:rPr>
                <w:sz w:val="21"/>
              </w:rPr>
            </w:pPr>
            <w:r>
              <w:rPr>
                <w:w w:val="100"/>
                <w:sz w:val="21"/>
              </w:rPr>
              <w:t>1</w:t>
            </w:r>
          </w:p>
        </w:tc>
        <w:tc>
          <w:tcPr>
            <w:tcW w:w="1243" w:type="dxa"/>
          </w:tcPr>
          <w:p>
            <w:pPr>
              <w:pStyle w:val="TableParagraph"/>
              <w:spacing w:before="37"/>
              <w:ind w:left="180" w:right="170"/>
              <w:jc w:val="center"/>
              <w:rPr>
                <w:sz w:val="21"/>
              </w:rPr>
            </w:pPr>
            <w:r>
              <w:rPr>
                <w:sz w:val="21"/>
              </w:rPr>
              <w:t>600519</w:t>
            </w:r>
          </w:p>
        </w:tc>
        <w:tc>
          <w:tcPr>
            <w:tcW w:w="1354" w:type="dxa"/>
          </w:tcPr>
          <w:p>
            <w:pPr>
              <w:pStyle w:val="TableParagraph"/>
              <w:spacing w:before="37"/>
              <w:ind w:left="236" w:right="223"/>
              <w:jc w:val="center"/>
              <w:rPr>
                <w:sz w:val="21"/>
              </w:rPr>
            </w:pPr>
            <w:r>
              <w:rPr>
                <w:sz w:val="21"/>
              </w:rPr>
              <w:t>贵州茅台</w:t>
            </w:r>
          </w:p>
        </w:tc>
        <w:tc>
          <w:tcPr>
            <w:tcW w:w="1695" w:type="dxa"/>
          </w:tcPr>
          <w:p>
            <w:pPr>
              <w:pStyle w:val="TableParagraph"/>
              <w:spacing w:before="37"/>
              <w:ind w:right="2"/>
              <w:jc w:val="right"/>
              <w:rPr>
                <w:sz w:val="21"/>
              </w:rPr>
            </w:pPr>
            <w:r>
              <w:rPr>
                <w:sz w:val="21"/>
              </w:rPr>
              <w:t>1,349,485</w:t>
            </w:r>
          </w:p>
        </w:tc>
        <w:tc>
          <w:tcPr>
            <w:tcW w:w="2117" w:type="dxa"/>
          </w:tcPr>
          <w:p>
            <w:pPr>
              <w:pStyle w:val="TableParagraph"/>
              <w:spacing w:before="37"/>
              <w:ind w:right="2"/>
              <w:jc w:val="right"/>
              <w:rPr>
                <w:sz w:val="21"/>
              </w:rPr>
            </w:pPr>
            <w:r>
              <w:rPr>
                <w:sz w:val="21"/>
              </w:rPr>
              <w:t>1,596,440,755.00</w:t>
            </w:r>
          </w:p>
        </w:tc>
        <w:tc>
          <w:tcPr>
            <w:tcW w:w="1362" w:type="dxa"/>
          </w:tcPr>
          <w:p>
            <w:pPr>
              <w:pStyle w:val="TableParagraph"/>
              <w:spacing w:before="37"/>
              <w:jc w:val="right"/>
              <w:rPr>
                <w:sz w:val="21"/>
              </w:rPr>
            </w:pPr>
            <w:r>
              <w:rPr>
                <w:sz w:val="21"/>
              </w:rPr>
              <w:t>9.11</w:t>
            </w:r>
          </w:p>
        </w:tc>
      </w:tr>
      <w:tr>
        <w:trPr>
          <w:trHeight w:val="328" w:hRule="atLeast"/>
        </w:trPr>
        <w:tc>
          <w:tcPr>
            <w:tcW w:w="566" w:type="dxa"/>
          </w:tcPr>
          <w:p>
            <w:pPr>
              <w:pStyle w:val="TableParagraph"/>
              <w:spacing w:before="39"/>
              <w:ind w:left="5"/>
              <w:jc w:val="center"/>
              <w:rPr>
                <w:sz w:val="21"/>
              </w:rPr>
            </w:pPr>
            <w:r>
              <w:rPr>
                <w:w w:val="100"/>
                <w:sz w:val="21"/>
              </w:rPr>
              <w:t>2</w:t>
            </w:r>
          </w:p>
        </w:tc>
        <w:tc>
          <w:tcPr>
            <w:tcW w:w="1243" w:type="dxa"/>
          </w:tcPr>
          <w:p>
            <w:pPr>
              <w:pStyle w:val="TableParagraph"/>
              <w:spacing w:before="39"/>
              <w:ind w:left="180" w:right="170"/>
              <w:jc w:val="center"/>
              <w:rPr>
                <w:sz w:val="21"/>
              </w:rPr>
            </w:pPr>
            <w:r>
              <w:rPr>
                <w:sz w:val="21"/>
              </w:rPr>
              <w:t>002714</w:t>
            </w:r>
          </w:p>
        </w:tc>
        <w:tc>
          <w:tcPr>
            <w:tcW w:w="1354" w:type="dxa"/>
          </w:tcPr>
          <w:p>
            <w:pPr>
              <w:pStyle w:val="TableParagraph"/>
              <w:spacing w:before="39"/>
              <w:ind w:left="236" w:right="223"/>
              <w:jc w:val="center"/>
              <w:rPr>
                <w:sz w:val="21"/>
              </w:rPr>
            </w:pPr>
            <w:r>
              <w:rPr>
                <w:sz w:val="21"/>
              </w:rPr>
              <w:t>牧原股份</w:t>
            </w:r>
          </w:p>
        </w:tc>
        <w:tc>
          <w:tcPr>
            <w:tcW w:w="1695" w:type="dxa"/>
          </w:tcPr>
          <w:p>
            <w:pPr>
              <w:pStyle w:val="TableParagraph"/>
              <w:spacing w:before="39"/>
              <w:ind w:right="2"/>
              <w:jc w:val="right"/>
              <w:rPr>
                <w:sz w:val="21"/>
              </w:rPr>
            </w:pPr>
            <w:r>
              <w:rPr>
                <w:sz w:val="21"/>
              </w:rPr>
              <w:t>16,000,000</w:t>
            </w:r>
          </w:p>
        </w:tc>
        <w:tc>
          <w:tcPr>
            <w:tcW w:w="2117" w:type="dxa"/>
          </w:tcPr>
          <w:p>
            <w:pPr>
              <w:pStyle w:val="TableParagraph"/>
              <w:spacing w:before="39"/>
              <w:ind w:right="2"/>
              <w:jc w:val="right"/>
              <w:rPr>
                <w:sz w:val="21"/>
              </w:rPr>
            </w:pPr>
            <w:r>
              <w:rPr>
                <w:sz w:val="21"/>
              </w:rPr>
              <w:t>1,420,640,000.00</w:t>
            </w:r>
          </w:p>
        </w:tc>
        <w:tc>
          <w:tcPr>
            <w:tcW w:w="1362" w:type="dxa"/>
          </w:tcPr>
          <w:p>
            <w:pPr>
              <w:pStyle w:val="TableParagraph"/>
              <w:spacing w:before="39"/>
              <w:jc w:val="right"/>
              <w:rPr>
                <w:sz w:val="21"/>
              </w:rPr>
            </w:pPr>
            <w:r>
              <w:rPr>
                <w:sz w:val="21"/>
              </w:rPr>
              <w:t>8.11</w:t>
            </w:r>
          </w:p>
        </w:tc>
      </w:tr>
      <w:tr>
        <w:trPr>
          <w:trHeight w:val="326" w:hRule="atLeast"/>
        </w:trPr>
        <w:tc>
          <w:tcPr>
            <w:tcW w:w="566" w:type="dxa"/>
          </w:tcPr>
          <w:p>
            <w:pPr>
              <w:pStyle w:val="TableParagraph"/>
              <w:spacing w:before="37"/>
              <w:ind w:left="5"/>
              <w:jc w:val="center"/>
              <w:rPr>
                <w:sz w:val="21"/>
              </w:rPr>
            </w:pPr>
            <w:r>
              <w:rPr>
                <w:w w:val="100"/>
                <w:sz w:val="21"/>
              </w:rPr>
              <w:t>3</w:t>
            </w:r>
          </w:p>
        </w:tc>
        <w:tc>
          <w:tcPr>
            <w:tcW w:w="1243" w:type="dxa"/>
          </w:tcPr>
          <w:p>
            <w:pPr>
              <w:pStyle w:val="TableParagraph"/>
              <w:spacing w:before="37"/>
              <w:ind w:left="180" w:right="170"/>
              <w:jc w:val="center"/>
              <w:rPr>
                <w:sz w:val="21"/>
              </w:rPr>
            </w:pPr>
            <w:r>
              <w:rPr>
                <w:sz w:val="21"/>
              </w:rPr>
              <w:t>000568</w:t>
            </w:r>
          </w:p>
        </w:tc>
        <w:tc>
          <w:tcPr>
            <w:tcW w:w="1354" w:type="dxa"/>
          </w:tcPr>
          <w:p>
            <w:pPr>
              <w:pStyle w:val="TableParagraph"/>
              <w:spacing w:before="37"/>
              <w:ind w:left="236" w:right="223"/>
              <w:jc w:val="center"/>
              <w:rPr>
                <w:sz w:val="21"/>
              </w:rPr>
            </w:pPr>
            <w:r>
              <w:rPr>
                <w:sz w:val="21"/>
              </w:rPr>
              <w:t>泸州老窖</w:t>
            </w:r>
          </w:p>
        </w:tc>
        <w:tc>
          <w:tcPr>
            <w:tcW w:w="1695" w:type="dxa"/>
          </w:tcPr>
          <w:p>
            <w:pPr>
              <w:pStyle w:val="TableParagraph"/>
              <w:spacing w:before="37"/>
              <w:ind w:right="2"/>
              <w:jc w:val="right"/>
              <w:rPr>
                <w:sz w:val="21"/>
              </w:rPr>
            </w:pPr>
            <w:r>
              <w:rPr>
                <w:sz w:val="21"/>
              </w:rPr>
              <w:t>15,912,158</w:t>
            </w:r>
          </w:p>
        </w:tc>
        <w:tc>
          <w:tcPr>
            <w:tcW w:w="2117" w:type="dxa"/>
          </w:tcPr>
          <w:p>
            <w:pPr>
              <w:pStyle w:val="TableParagraph"/>
              <w:spacing w:before="37"/>
              <w:ind w:right="2"/>
              <w:jc w:val="right"/>
              <w:rPr>
                <w:sz w:val="21"/>
              </w:rPr>
            </w:pPr>
            <w:r>
              <w:rPr>
                <w:sz w:val="21"/>
              </w:rPr>
              <w:t>1,379,265,855.44</w:t>
            </w:r>
          </w:p>
        </w:tc>
        <w:tc>
          <w:tcPr>
            <w:tcW w:w="1362" w:type="dxa"/>
          </w:tcPr>
          <w:p>
            <w:pPr>
              <w:pStyle w:val="TableParagraph"/>
              <w:spacing w:before="37"/>
              <w:jc w:val="right"/>
              <w:rPr>
                <w:sz w:val="21"/>
              </w:rPr>
            </w:pPr>
            <w:r>
              <w:rPr>
                <w:sz w:val="21"/>
              </w:rPr>
              <w:t>7.87</w:t>
            </w:r>
          </w:p>
        </w:tc>
      </w:tr>
      <w:tr>
        <w:trPr>
          <w:trHeight w:val="328" w:hRule="atLeast"/>
        </w:trPr>
        <w:tc>
          <w:tcPr>
            <w:tcW w:w="566" w:type="dxa"/>
          </w:tcPr>
          <w:p>
            <w:pPr>
              <w:pStyle w:val="TableParagraph"/>
              <w:spacing w:before="37"/>
              <w:ind w:left="5"/>
              <w:jc w:val="center"/>
              <w:rPr>
                <w:sz w:val="21"/>
              </w:rPr>
            </w:pPr>
            <w:r>
              <w:rPr>
                <w:w w:val="100"/>
                <w:sz w:val="21"/>
              </w:rPr>
              <w:t>4</w:t>
            </w:r>
          </w:p>
        </w:tc>
        <w:tc>
          <w:tcPr>
            <w:tcW w:w="1243" w:type="dxa"/>
          </w:tcPr>
          <w:p>
            <w:pPr>
              <w:pStyle w:val="TableParagraph"/>
              <w:spacing w:before="37"/>
              <w:ind w:left="180" w:right="170"/>
              <w:jc w:val="center"/>
              <w:rPr>
                <w:sz w:val="21"/>
              </w:rPr>
            </w:pPr>
            <w:r>
              <w:rPr>
                <w:sz w:val="21"/>
              </w:rPr>
              <w:t>000858</w:t>
            </w:r>
          </w:p>
        </w:tc>
        <w:tc>
          <w:tcPr>
            <w:tcW w:w="1354" w:type="dxa"/>
          </w:tcPr>
          <w:p>
            <w:pPr>
              <w:pStyle w:val="TableParagraph"/>
              <w:spacing w:before="37"/>
              <w:ind w:left="236" w:right="223"/>
              <w:jc w:val="center"/>
              <w:rPr>
                <w:sz w:val="21"/>
              </w:rPr>
            </w:pPr>
            <w:r>
              <w:rPr>
                <w:sz w:val="21"/>
              </w:rPr>
              <w:t>五 粮 液</w:t>
            </w:r>
          </w:p>
        </w:tc>
        <w:tc>
          <w:tcPr>
            <w:tcW w:w="1695" w:type="dxa"/>
          </w:tcPr>
          <w:p>
            <w:pPr>
              <w:pStyle w:val="TableParagraph"/>
              <w:spacing w:before="37"/>
              <w:ind w:right="2"/>
              <w:jc w:val="right"/>
              <w:rPr>
                <w:sz w:val="21"/>
              </w:rPr>
            </w:pPr>
            <w:r>
              <w:rPr>
                <w:sz w:val="21"/>
              </w:rPr>
              <w:t>10,303,601</w:t>
            </w:r>
          </w:p>
        </w:tc>
        <w:tc>
          <w:tcPr>
            <w:tcW w:w="2117" w:type="dxa"/>
          </w:tcPr>
          <w:p>
            <w:pPr>
              <w:pStyle w:val="TableParagraph"/>
              <w:spacing w:before="37"/>
              <w:ind w:right="2"/>
              <w:jc w:val="right"/>
              <w:rPr>
                <w:sz w:val="21"/>
              </w:rPr>
            </w:pPr>
            <w:r>
              <w:rPr>
                <w:sz w:val="21"/>
              </w:rPr>
              <w:t>1,370,481,969.01</w:t>
            </w:r>
          </w:p>
        </w:tc>
        <w:tc>
          <w:tcPr>
            <w:tcW w:w="1362" w:type="dxa"/>
          </w:tcPr>
          <w:p>
            <w:pPr>
              <w:pStyle w:val="TableParagraph"/>
              <w:spacing w:before="37"/>
              <w:jc w:val="right"/>
              <w:rPr>
                <w:sz w:val="21"/>
              </w:rPr>
            </w:pPr>
            <w:r>
              <w:rPr>
                <w:sz w:val="21"/>
              </w:rPr>
              <w:t>7.82</w:t>
            </w:r>
          </w:p>
        </w:tc>
      </w:tr>
    </w:tbl>
    <w:p>
      <w:pPr>
        <w:spacing w:after="0"/>
        <w:jc w:val="right"/>
        <w:rPr>
          <w:sz w:val="21"/>
        </w:rPr>
        <w:sectPr>
          <w:pgSz w:w="11910" w:h="16840"/>
          <w:pgMar w:header="877" w:footer="995" w:top="1100" w:bottom="1180" w:left="960" w:right="900"/>
        </w:sectPr>
      </w:pPr>
    </w:p>
    <w:p>
      <w:pPr>
        <w:pStyle w:val="BodyText"/>
        <w:spacing w:before="1"/>
        <w:rPr>
          <w:b/>
          <w:sz w:val="25"/>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243"/>
        <w:gridCol w:w="1354"/>
        <w:gridCol w:w="1695"/>
        <w:gridCol w:w="2117"/>
        <w:gridCol w:w="1362"/>
      </w:tblGrid>
      <w:tr>
        <w:trPr>
          <w:trHeight w:val="326" w:hRule="atLeast"/>
        </w:trPr>
        <w:tc>
          <w:tcPr>
            <w:tcW w:w="566" w:type="dxa"/>
          </w:tcPr>
          <w:p>
            <w:pPr>
              <w:pStyle w:val="TableParagraph"/>
              <w:spacing w:before="37"/>
              <w:ind w:left="227"/>
              <w:rPr>
                <w:sz w:val="21"/>
              </w:rPr>
            </w:pPr>
            <w:r>
              <w:rPr>
                <w:w w:val="100"/>
                <w:sz w:val="21"/>
              </w:rPr>
              <w:t>5</w:t>
            </w:r>
          </w:p>
        </w:tc>
        <w:tc>
          <w:tcPr>
            <w:tcW w:w="1243" w:type="dxa"/>
          </w:tcPr>
          <w:p>
            <w:pPr>
              <w:pStyle w:val="TableParagraph"/>
              <w:spacing w:before="37"/>
              <w:ind w:left="180" w:right="170"/>
              <w:jc w:val="center"/>
              <w:rPr>
                <w:sz w:val="21"/>
              </w:rPr>
            </w:pPr>
            <w:r>
              <w:rPr>
                <w:sz w:val="21"/>
              </w:rPr>
              <w:t>300498</w:t>
            </w:r>
          </w:p>
        </w:tc>
        <w:tc>
          <w:tcPr>
            <w:tcW w:w="1354" w:type="dxa"/>
          </w:tcPr>
          <w:p>
            <w:pPr>
              <w:pStyle w:val="TableParagraph"/>
              <w:spacing w:before="37"/>
              <w:ind w:left="236" w:right="223"/>
              <w:jc w:val="center"/>
              <w:rPr>
                <w:sz w:val="21"/>
              </w:rPr>
            </w:pPr>
            <w:r>
              <w:rPr>
                <w:sz w:val="21"/>
              </w:rPr>
              <w:t>温氏股份</w:t>
            </w:r>
          </w:p>
        </w:tc>
        <w:tc>
          <w:tcPr>
            <w:tcW w:w="1695" w:type="dxa"/>
          </w:tcPr>
          <w:p>
            <w:pPr>
              <w:pStyle w:val="TableParagraph"/>
              <w:spacing w:before="37"/>
              <w:ind w:right="2"/>
              <w:jc w:val="right"/>
              <w:rPr>
                <w:sz w:val="21"/>
              </w:rPr>
            </w:pPr>
            <w:r>
              <w:rPr>
                <w:sz w:val="21"/>
              </w:rPr>
              <w:t>39,666,404</w:t>
            </w:r>
          </w:p>
        </w:tc>
        <w:tc>
          <w:tcPr>
            <w:tcW w:w="2117" w:type="dxa"/>
          </w:tcPr>
          <w:p>
            <w:pPr>
              <w:pStyle w:val="TableParagraph"/>
              <w:spacing w:before="37"/>
              <w:ind w:right="2"/>
              <w:jc w:val="right"/>
              <w:rPr>
                <w:sz w:val="21"/>
              </w:rPr>
            </w:pPr>
            <w:r>
              <w:rPr>
                <w:sz w:val="21"/>
              </w:rPr>
              <w:t>1,332,791,174.40</w:t>
            </w:r>
          </w:p>
        </w:tc>
        <w:tc>
          <w:tcPr>
            <w:tcW w:w="1362" w:type="dxa"/>
          </w:tcPr>
          <w:p>
            <w:pPr>
              <w:pStyle w:val="TableParagraph"/>
              <w:spacing w:before="37"/>
              <w:jc w:val="right"/>
              <w:rPr>
                <w:sz w:val="21"/>
              </w:rPr>
            </w:pPr>
            <w:r>
              <w:rPr>
                <w:sz w:val="21"/>
              </w:rPr>
              <w:t>7.61</w:t>
            </w:r>
          </w:p>
        </w:tc>
      </w:tr>
      <w:tr>
        <w:trPr>
          <w:trHeight w:val="328" w:hRule="atLeast"/>
        </w:trPr>
        <w:tc>
          <w:tcPr>
            <w:tcW w:w="566" w:type="dxa"/>
          </w:tcPr>
          <w:p>
            <w:pPr>
              <w:pStyle w:val="TableParagraph"/>
              <w:spacing w:before="39"/>
              <w:ind w:left="227"/>
              <w:rPr>
                <w:sz w:val="21"/>
              </w:rPr>
            </w:pPr>
            <w:r>
              <w:rPr>
                <w:w w:val="100"/>
                <w:sz w:val="21"/>
              </w:rPr>
              <w:t>6</w:t>
            </w:r>
          </w:p>
        </w:tc>
        <w:tc>
          <w:tcPr>
            <w:tcW w:w="1243" w:type="dxa"/>
          </w:tcPr>
          <w:p>
            <w:pPr>
              <w:pStyle w:val="TableParagraph"/>
              <w:spacing w:before="39"/>
              <w:ind w:left="180" w:right="170"/>
              <w:jc w:val="center"/>
              <w:rPr>
                <w:sz w:val="21"/>
              </w:rPr>
            </w:pPr>
            <w:r>
              <w:rPr>
                <w:sz w:val="21"/>
              </w:rPr>
              <w:t>000596</w:t>
            </w:r>
          </w:p>
        </w:tc>
        <w:tc>
          <w:tcPr>
            <w:tcW w:w="1354" w:type="dxa"/>
          </w:tcPr>
          <w:p>
            <w:pPr>
              <w:pStyle w:val="TableParagraph"/>
              <w:spacing w:before="39"/>
              <w:ind w:left="236" w:right="223"/>
              <w:jc w:val="center"/>
              <w:rPr>
                <w:sz w:val="21"/>
              </w:rPr>
            </w:pPr>
            <w:r>
              <w:rPr>
                <w:sz w:val="21"/>
              </w:rPr>
              <w:t>古井贡酒</w:t>
            </w:r>
          </w:p>
        </w:tc>
        <w:tc>
          <w:tcPr>
            <w:tcW w:w="1695" w:type="dxa"/>
          </w:tcPr>
          <w:p>
            <w:pPr>
              <w:pStyle w:val="TableParagraph"/>
              <w:spacing w:before="39"/>
              <w:ind w:right="2"/>
              <w:jc w:val="right"/>
              <w:rPr>
                <w:sz w:val="21"/>
              </w:rPr>
            </w:pPr>
            <w:r>
              <w:rPr>
                <w:sz w:val="21"/>
              </w:rPr>
              <w:t>7,500,000</w:t>
            </w:r>
          </w:p>
        </w:tc>
        <w:tc>
          <w:tcPr>
            <w:tcW w:w="2117" w:type="dxa"/>
          </w:tcPr>
          <w:p>
            <w:pPr>
              <w:pStyle w:val="TableParagraph"/>
              <w:spacing w:before="39"/>
              <w:ind w:right="2"/>
              <w:jc w:val="right"/>
              <w:rPr>
                <w:sz w:val="21"/>
              </w:rPr>
            </w:pPr>
            <w:r>
              <w:rPr>
                <w:sz w:val="21"/>
              </w:rPr>
              <w:t>1,019,400,000.00</w:t>
            </w:r>
          </w:p>
        </w:tc>
        <w:tc>
          <w:tcPr>
            <w:tcW w:w="1362" w:type="dxa"/>
          </w:tcPr>
          <w:p>
            <w:pPr>
              <w:pStyle w:val="TableParagraph"/>
              <w:spacing w:before="39"/>
              <w:jc w:val="right"/>
              <w:rPr>
                <w:sz w:val="21"/>
              </w:rPr>
            </w:pPr>
            <w:r>
              <w:rPr>
                <w:sz w:val="21"/>
              </w:rPr>
              <w:t>5.82</w:t>
            </w:r>
          </w:p>
        </w:tc>
      </w:tr>
      <w:tr>
        <w:trPr>
          <w:trHeight w:val="326" w:hRule="atLeast"/>
        </w:trPr>
        <w:tc>
          <w:tcPr>
            <w:tcW w:w="566" w:type="dxa"/>
          </w:tcPr>
          <w:p>
            <w:pPr>
              <w:pStyle w:val="TableParagraph"/>
              <w:spacing w:before="37"/>
              <w:ind w:left="227"/>
              <w:rPr>
                <w:sz w:val="21"/>
              </w:rPr>
            </w:pPr>
            <w:r>
              <w:rPr>
                <w:w w:val="100"/>
                <w:sz w:val="21"/>
              </w:rPr>
              <w:t>7</w:t>
            </w:r>
          </w:p>
        </w:tc>
        <w:tc>
          <w:tcPr>
            <w:tcW w:w="1243" w:type="dxa"/>
          </w:tcPr>
          <w:p>
            <w:pPr>
              <w:pStyle w:val="TableParagraph"/>
              <w:spacing w:before="37"/>
              <w:ind w:left="180" w:right="170"/>
              <w:jc w:val="center"/>
              <w:rPr>
                <w:sz w:val="21"/>
              </w:rPr>
            </w:pPr>
            <w:r>
              <w:rPr>
                <w:sz w:val="21"/>
              </w:rPr>
              <w:t>600031</w:t>
            </w:r>
          </w:p>
        </w:tc>
        <w:tc>
          <w:tcPr>
            <w:tcW w:w="1354" w:type="dxa"/>
          </w:tcPr>
          <w:p>
            <w:pPr>
              <w:pStyle w:val="TableParagraph"/>
              <w:spacing w:before="37"/>
              <w:ind w:left="236" w:right="223"/>
              <w:jc w:val="center"/>
              <w:rPr>
                <w:sz w:val="21"/>
              </w:rPr>
            </w:pPr>
            <w:r>
              <w:rPr>
                <w:sz w:val="21"/>
              </w:rPr>
              <w:t>三一重工</w:t>
            </w:r>
          </w:p>
        </w:tc>
        <w:tc>
          <w:tcPr>
            <w:tcW w:w="1695" w:type="dxa"/>
          </w:tcPr>
          <w:p>
            <w:pPr>
              <w:pStyle w:val="TableParagraph"/>
              <w:spacing w:before="37"/>
              <w:ind w:right="2"/>
              <w:jc w:val="right"/>
              <w:rPr>
                <w:sz w:val="21"/>
              </w:rPr>
            </w:pPr>
            <w:r>
              <w:rPr>
                <w:sz w:val="21"/>
              </w:rPr>
              <w:t>55,000,000</w:t>
            </w:r>
          </w:p>
        </w:tc>
        <w:tc>
          <w:tcPr>
            <w:tcW w:w="2117" w:type="dxa"/>
          </w:tcPr>
          <w:p>
            <w:pPr>
              <w:pStyle w:val="TableParagraph"/>
              <w:spacing w:before="37"/>
              <w:ind w:right="2"/>
              <w:jc w:val="right"/>
              <w:rPr>
                <w:sz w:val="21"/>
              </w:rPr>
            </w:pPr>
            <w:r>
              <w:rPr>
                <w:sz w:val="21"/>
              </w:rPr>
              <w:t>937,750,000.00</w:t>
            </w:r>
          </w:p>
        </w:tc>
        <w:tc>
          <w:tcPr>
            <w:tcW w:w="1362" w:type="dxa"/>
          </w:tcPr>
          <w:p>
            <w:pPr>
              <w:pStyle w:val="TableParagraph"/>
              <w:spacing w:before="37"/>
              <w:jc w:val="right"/>
              <w:rPr>
                <w:sz w:val="21"/>
              </w:rPr>
            </w:pPr>
            <w:r>
              <w:rPr>
                <w:sz w:val="21"/>
              </w:rPr>
              <w:t>5.35</w:t>
            </w:r>
          </w:p>
        </w:tc>
      </w:tr>
      <w:tr>
        <w:trPr>
          <w:trHeight w:val="328" w:hRule="atLeast"/>
        </w:trPr>
        <w:tc>
          <w:tcPr>
            <w:tcW w:w="566" w:type="dxa"/>
          </w:tcPr>
          <w:p>
            <w:pPr>
              <w:pStyle w:val="TableParagraph"/>
              <w:spacing w:before="39"/>
              <w:ind w:left="227"/>
              <w:rPr>
                <w:sz w:val="21"/>
              </w:rPr>
            </w:pPr>
            <w:r>
              <w:rPr>
                <w:w w:val="100"/>
                <w:sz w:val="21"/>
              </w:rPr>
              <w:t>8</w:t>
            </w:r>
          </w:p>
        </w:tc>
        <w:tc>
          <w:tcPr>
            <w:tcW w:w="1243" w:type="dxa"/>
          </w:tcPr>
          <w:p>
            <w:pPr>
              <w:pStyle w:val="TableParagraph"/>
              <w:spacing w:before="39"/>
              <w:ind w:left="180" w:right="170"/>
              <w:jc w:val="center"/>
              <w:rPr>
                <w:sz w:val="21"/>
              </w:rPr>
            </w:pPr>
            <w:r>
              <w:rPr>
                <w:sz w:val="21"/>
              </w:rPr>
              <w:t>600887</w:t>
            </w:r>
          </w:p>
        </w:tc>
        <w:tc>
          <w:tcPr>
            <w:tcW w:w="1354" w:type="dxa"/>
          </w:tcPr>
          <w:p>
            <w:pPr>
              <w:pStyle w:val="TableParagraph"/>
              <w:spacing w:before="39"/>
              <w:ind w:left="236" w:right="223"/>
              <w:jc w:val="center"/>
              <w:rPr>
                <w:sz w:val="21"/>
              </w:rPr>
            </w:pPr>
            <w:r>
              <w:rPr>
                <w:sz w:val="21"/>
              </w:rPr>
              <w:t>伊利股份</w:t>
            </w:r>
          </w:p>
        </w:tc>
        <w:tc>
          <w:tcPr>
            <w:tcW w:w="1695" w:type="dxa"/>
          </w:tcPr>
          <w:p>
            <w:pPr>
              <w:pStyle w:val="TableParagraph"/>
              <w:spacing w:before="39"/>
              <w:ind w:right="2"/>
              <w:jc w:val="right"/>
              <w:rPr>
                <w:sz w:val="21"/>
              </w:rPr>
            </w:pPr>
            <w:r>
              <w:rPr>
                <w:sz w:val="21"/>
              </w:rPr>
              <w:t>30,000,000</w:t>
            </w:r>
          </w:p>
        </w:tc>
        <w:tc>
          <w:tcPr>
            <w:tcW w:w="2117" w:type="dxa"/>
          </w:tcPr>
          <w:p>
            <w:pPr>
              <w:pStyle w:val="TableParagraph"/>
              <w:spacing w:before="39"/>
              <w:ind w:right="2"/>
              <w:jc w:val="right"/>
              <w:rPr>
                <w:sz w:val="21"/>
              </w:rPr>
            </w:pPr>
            <w:r>
              <w:rPr>
                <w:sz w:val="21"/>
              </w:rPr>
              <w:t>928,200,000.00</w:t>
            </w:r>
          </w:p>
        </w:tc>
        <w:tc>
          <w:tcPr>
            <w:tcW w:w="1362" w:type="dxa"/>
          </w:tcPr>
          <w:p>
            <w:pPr>
              <w:pStyle w:val="TableParagraph"/>
              <w:spacing w:before="39"/>
              <w:jc w:val="right"/>
              <w:rPr>
                <w:sz w:val="21"/>
              </w:rPr>
            </w:pPr>
            <w:r>
              <w:rPr>
                <w:sz w:val="21"/>
              </w:rPr>
              <w:t>5.30</w:t>
            </w:r>
          </w:p>
        </w:tc>
      </w:tr>
      <w:tr>
        <w:trPr>
          <w:trHeight w:val="326" w:hRule="atLeast"/>
        </w:trPr>
        <w:tc>
          <w:tcPr>
            <w:tcW w:w="566" w:type="dxa"/>
          </w:tcPr>
          <w:p>
            <w:pPr>
              <w:pStyle w:val="TableParagraph"/>
              <w:spacing w:before="37"/>
              <w:ind w:left="227"/>
              <w:rPr>
                <w:sz w:val="21"/>
              </w:rPr>
            </w:pPr>
            <w:r>
              <w:rPr>
                <w:w w:val="100"/>
                <w:sz w:val="21"/>
              </w:rPr>
              <w:t>9</w:t>
            </w:r>
          </w:p>
        </w:tc>
        <w:tc>
          <w:tcPr>
            <w:tcW w:w="1243" w:type="dxa"/>
          </w:tcPr>
          <w:p>
            <w:pPr>
              <w:pStyle w:val="TableParagraph"/>
              <w:spacing w:before="37"/>
              <w:ind w:left="180" w:right="170"/>
              <w:jc w:val="center"/>
              <w:rPr>
                <w:sz w:val="21"/>
              </w:rPr>
            </w:pPr>
            <w:r>
              <w:rPr>
                <w:sz w:val="21"/>
              </w:rPr>
              <w:t>002415</w:t>
            </w:r>
          </w:p>
        </w:tc>
        <w:tc>
          <w:tcPr>
            <w:tcW w:w="1354" w:type="dxa"/>
          </w:tcPr>
          <w:p>
            <w:pPr>
              <w:pStyle w:val="TableParagraph"/>
              <w:spacing w:before="37"/>
              <w:ind w:left="236" w:right="223"/>
              <w:jc w:val="center"/>
              <w:rPr>
                <w:sz w:val="21"/>
              </w:rPr>
            </w:pPr>
            <w:r>
              <w:rPr>
                <w:sz w:val="21"/>
              </w:rPr>
              <w:t>海康威视</w:t>
            </w:r>
          </w:p>
        </w:tc>
        <w:tc>
          <w:tcPr>
            <w:tcW w:w="1695" w:type="dxa"/>
          </w:tcPr>
          <w:p>
            <w:pPr>
              <w:pStyle w:val="TableParagraph"/>
              <w:spacing w:before="37"/>
              <w:ind w:right="2"/>
              <w:jc w:val="right"/>
              <w:rPr>
                <w:sz w:val="21"/>
              </w:rPr>
            </w:pPr>
            <w:r>
              <w:rPr>
                <w:sz w:val="21"/>
              </w:rPr>
              <w:t>27,799,758</w:t>
            </w:r>
          </w:p>
        </w:tc>
        <w:tc>
          <w:tcPr>
            <w:tcW w:w="2117" w:type="dxa"/>
          </w:tcPr>
          <w:p>
            <w:pPr>
              <w:pStyle w:val="TableParagraph"/>
              <w:spacing w:before="37"/>
              <w:ind w:right="2"/>
              <w:jc w:val="right"/>
              <w:rPr>
                <w:sz w:val="21"/>
              </w:rPr>
            </w:pPr>
            <w:r>
              <w:rPr>
                <w:sz w:val="21"/>
              </w:rPr>
              <w:t>910,164,076.92</w:t>
            </w:r>
          </w:p>
        </w:tc>
        <w:tc>
          <w:tcPr>
            <w:tcW w:w="1362" w:type="dxa"/>
          </w:tcPr>
          <w:p>
            <w:pPr>
              <w:pStyle w:val="TableParagraph"/>
              <w:spacing w:before="37"/>
              <w:jc w:val="right"/>
              <w:rPr>
                <w:sz w:val="21"/>
              </w:rPr>
            </w:pPr>
            <w:r>
              <w:rPr>
                <w:sz w:val="21"/>
              </w:rPr>
              <w:t>5.20</w:t>
            </w:r>
          </w:p>
        </w:tc>
      </w:tr>
      <w:tr>
        <w:trPr>
          <w:trHeight w:val="328" w:hRule="atLeast"/>
        </w:trPr>
        <w:tc>
          <w:tcPr>
            <w:tcW w:w="566" w:type="dxa"/>
          </w:tcPr>
          <w:p>
            <w:pPr>
              <w:pStyle w:val="TableParagraph"/>
              <w:spacing w:before="37"/>
              <w:ind w:left="175"/>
              <w:rPr>
                <w:sz w:val="21"/>
              </w:rPr>
            </w:pPr>
            <w:r>
              <w:rPr>
                <w:sz w:val="21"/>
              </w:rPr>
              <w:t>10</w:t>
            </w:r>
          </w:p>
        </w:tc>
        <w:tc>
          <w:tcPr>
            <w:tcW w:w="1243" w:type="dxa"/>
          </w:tcPr>
          <w:p>
            <w:pPr>
              <w:pStyle w:val="TableParagraph"/>
              <w:spacing w:before="37"/>
              <w:ind w:left="180" w:right="170"/>
              <w:jc w:val="center"/>
              <w:rPr>
                <w:sz w:val="21"/>
              </w:rPr>
            </w:pPr>
            <w:r>
              <w:rPr>
                <w:sz w:val="21"/>
              </w:rPr>
              <w:t>601888</w:t>
            </w:r>
          </w:p>
        </w:tc>
        <w:tc>
          <w:tcPr>
            <w:tcW w:w="1354" w:type="dxa"/>
          </w:tcPr>
          <w:p>
            <w:pPr>
              <w:pStyle w:val="TableParagraph"/>
              <w:spacing w:before="37"/>
              <w:ind w:left="236" w:right="223"/>
              <w:jc w:val="center"/>
              <w:rPr>
                <w:sz w:val="21"/>
              </w:rPr>
            </w:pPr>
            <w:r>
              <w:rPr>
                <w:sz w:val="21"/>
              </w:rPr>
              <w:t>中国国旅</w:t>
            </w:r>
          </w:p>
        </w:tc>
        <w:tc>
          <w:tcPr>
            <w:tcW w:w="1695" w:type="dxa"/>
          </w:tcPr>
          <w:p>
            <w:pPr>
              <w:pStyle w:val="TableParagraph"/>
              <w:spacing w:before="37"/>
              <w:ind w:right="2"/>
              <w:jc w:val="right"/>
              <w:rPr>
                <w:sz w:val="21"/>
              </w:rPr>
            </w:pPr>
            <w:r>
              <w:rPr>
                <w:sz w:val="21"/>
              </w:rPr>
              <w:t>10,000,000</w:t>
            </w:r>
          </w:p>
        </w:tc>
        <w:tc>
          <w:tcPr>
            <w:tcW w:w="2117" w:type="dxa"/>
          </w:tcPr>
          <w:p>
            <w:pPr>
              <w:pStyle w:val="TableParagraph"/>
              <w:spacing w:before="37"/>
              <w:ind w:right="2"/>
              <w:jc w:val="right"/>
              <w:rPr>
                <w:sz w:val="21"/>
              </w:rPr>
            </w:pPr>
            <w:r>
              <w:rPr>
                <w:sz w:val="21"/>
              </w:rPr>
              <w:t>889,500,000.00</w:t>
            </w:r>
          </w:p>
        </w:tc>
        <w:tc>
          <w:tcPr>
            <w:tcW w:w="1362" w:type="dxa"/>
          </w:tcPr>
          <w:p>
            <w:pPr>
              <w:pStyle w:val="TableParagraph"/>
              <w:spacing w:before="37"/>
              <w:jc w:val="right"/>
              <w:rPr>
                <w:sz w:val="21"/>
              </w:rPr>
            </w:pPr>
            <w:r>
              <w:rPr>
                <w:sz w:val="21"/>
              </w:rPr>
              <w:t>5.08</w:t>
            </w:r>
          </w:p>
        </w:tc>
      </w:tr>
    </w:tbl>
    <w:p>
      <w:pPr>
        <w:pStyle w:val="BodyText"/>
        <w:spacing w:before="6"/>
        <w:rPr>
          <w:b/>
          <w:sz w:val="11"/>
        </w:rPr>
      </w:pPr>
    </w:p>
    <w:p>
      <w:pPr>
        <w:pStyle w:val="Heading3"/>
        <w:numPr>
          <w:ilvl w:val="0"/>
          <w:numId w:val="27"/>
        </w:numPr>
        <w:tabs>
          <w:tab w:pos="1105" w:val="left" w:leader="none"/>
        </w:tabs>
        <w:spacing w:line="240" w:lineRule="auto" w:before="88" w:after="0"/>
        <w:ind w:left="1104" w:right="0" w:hanging="265"/>
        <w:jc w:val="left"/>
      </w:pPr>
      <w:r>
        <w:rPr/>
        <w:t>报告期末按债券品种分类的债券投资组合</w:t>
      </w:r>
    </w:p>
    <w:p>
      <w:pPr>
        <w:pStyle w:val="BodyText"/>
        <w:spacing w:before="4"/>
        <w:rPr>
          <w:b/>
          <w:sz w:val="6"/>
        </w:rPr>
      </w:pPr>
    </w:p>
    <w:tbl>
      <w:tblPr>
        <w:tblW w:w="0" w:type="auto"/>
        <w:jc w:val="left"/>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3344"/>
        <w:gridCol w:w="2751"/>
        <w:gridCol w:w="1580"/>
      </w:tblGrid>
      <w:tr>
        <w:trPr>
          <w:trHeight w:val="623" w:hRule="atLeast"/>
        </w:trPr>
        <w:tc>
          <w:tcPr>
            <w:tcW w:w="694" w:type="dxa"/>
            <w:shd w:val="clear" w:color="auto" w:fill="D9D9D9"/>
          </w:tcPr>
          <w:p>
            <w:pPr>
              <w:pStyle w:val="TableParagraph"/>
              <w:spacing w:before="178"/>
              <w:ind w:left="117" w:right="106"/>
              <w:jc w:val="center"/>
              <w:rPr>
                <w:sz w:val="21"/>
              </w:rPr>
            </w:pPr>
            <w:r>
              <w:rPr>
                <w:sz w:val="21"/>
              </w:rPr>
              <w:t>序号</w:t>
            </w:r>
          </w:p>
        </w:tc>
        <w:tc>
          <w:tcPr>
            <w:tcW w:w="3344" w:type="dxa"/>
            <w:shd w:val="clear" w:color="auto" w:fill="D9D9D9"/>
          </w:tcPr>
          <w:p>
            <w:pPr>
              <w:pStyle w:val="TableParagraph"/>
              <w:spacing w:before="178"/>
              <w:ind w:left="1230" w:right="1223"/>
              <w:jc w:val="center"/>
              <w:rPr>
                <w:sz w:val="21"/>
              </w:rPr>
            </w:pPr>
            <w:r>
              <w:rPr>
                <w:sz w:val="21"/>
              </w:rPr>
              <w:t>债券品种</w:t>
            </w:r>
          </w:p>
        </w:tc>
        <w:tc>
          <w:tcPr>
            <w:tcW w:w="2751" w:type="dxa"/>
            <w:shd w:val="clear" w:color="auto" w:fill="D9D9D9"/>
          </w:tcPr>
          <w:p>
            <w:pPr>
              <w:pStyle w:val="TableParagraph"/>
              <w:spacing w:before="178"/>
              <w:ind w:left="637"/>
              <w:rPr>
                <w:sz w:val="21"/>
              </w:rPr>
            </w:pPr>
            <w:r>
              <w:rPr>
                <w:sz w:val="21"/>
              </w:rPr>
              <w:t>公允价值（元）</w:t>
            </w:r>
          </w:p>
        </w:tc>
        <w:tc>
          <w:tcPr>
            <w:tcW w:w="1580" w:type="dxa"/>
            <w:shd w:val="clear" w:color="auto" w:fill="D9D9D9"/>
          </w:tcPr>
          <w:p>
            <w:pPr>
              <w:pStyle w:val="TableParagraph"/>
              <w:spacing w:before="22"/>
              <w:ind w:left="33" w:right="26"/>
              <w:jc w:val="center"/>
              <w:rPr>
                <w:sz w:val="21"/>
              </w:rPr>
            </w:pPr>
            <w:r>
              <w:rPr>
                <w:sz w:val="21"/>
              </w:rPr>
              <w:t>占基金资产净值</w:t>
            </w:r>
          </w:p>
          <w:p>
            <w:pPr>
              <w:pStyle w:val="TableParagraph"/>
              <w:spacing w:before="43"/>
              <w:ind w:left="31" w:right="26"/>
              <w:jc w:val="center"/>
              <w:rPr>
                <w:sz w:val="21"/>
              </w:rPr>
            </w:pPr>
            <w:r>
              <w:rPr>
                <w:sz w:val="21"/>
              </w:rPr>
              <w:t>比例（%）</w:t>
            </w:r>
          </w:p>
        </w:tc>
      </w:tr>
      <w:tr>
        <w:trPr>
          <w:trHeight w:val="314" w:hRule="atLeast"/>
        </w:trPr>
        <w:tc>
          <w:tcPr>
            <w:tcW w:w="694" w:type="dxa"/>
          </w:tcPr>
          <w:p>
            <w:pPr>
              <w:pStyle w:val="TableParagraph"/>
              <w:spacing w:before="25"/>
              <w:ind w:left="11"/>
              <w:jc w:val="center"/>
              <w:rPr>
                <w:sz w:val="21"/>
              </w:rPr>
            </w:pPr>
            <w:r>
              <w:rPr>
                <w:w w:val="100"/>
                <w:sz w:val="21"/>
              </w:rPr>
              <w:t>1</w:t>
            </w:r>
          </w:p>
        </w:tc>
        <w:tc>
          <w:tcPr>
            <w:tcW w:w="3344" w:type="dxa"/>
          </w:tcPr>
          <w:p>
            <w:pPr>
              <w:pStyle w:val="TableParagraph"/>
              <w:spacing w:before="25"/>
              <w:ind w:left="136"/>
              <w:rPr>
                <w:sz w:val="21"/>
              </w:rPr>
            </w:pPr>
            <w:r>
              <w:rPr>
                <w:sz w:val="21"/>
              </w:rPr>
              <w:t>国家债券</w:t>
            </w:r>
          </w:p>
        </w:tc>
        <w:tc>
          <w:tcPr>
            <w:tcW w:w="2751" w:type="dxa"/>
          </w:tcPr>
          <w:p>
            <w:pPr>
              <w:pStyle w:val="TableParagraph"/>
              <w:spacing w:before="25"/>
              <w:ind w:right="20"/>
              <w:jc w:val="right"/>
              <w:rPr>
                <w:sz w:val="21"/>
              </w:rPr>
            </w:pPr>
            <w:r>
              <w:rPr>
                <w:w w:val="100"/>
                <w:sz w:val="21"/>
              </w:rPr>
              <w:t>-</w:t>
            </w:r>
          </w:p>
        </w:tc>
        <w:tc>
          <w:tcPr>
            <w:tcW w:w="1580" w:type="dxa"/>
          </w:tcPr>
          <w:p>
            <w:pPr>
              <w:pStyle w:val="TableParagraph"/>
              <w:spacing w:before="25"/>
              <w:ind w:right="18"/>
              <w:jc w:val="right"/>
              <w:rPr>
                <w:sz w:val="21"/>
              </w:rPr>
            </w:pPr>
            <w:r>
              <w:rPr>
                <w:w w:val="100"/>
                <w:sz w:val="21"/>
              </w:rPr>
              <w:t>-</w:t>
            </w:r>
          </w:p>
        </w:tc>
      </w:tr>
      <w:tr>
        <w:trPr>
          <w:trHeight w:val="316" w:hRule="atLeast"/>
        </w:trPr>
        <w:tc>
          <w:tcPr>
            <w:tcW w:w="694" w:type="dxa"/>
          </w:tcPr>
          <w:p>
            <w:pPr>
              <w:pStyle w:val="TableParagraph"/>
              <w:spacing w:before="25"/>
              <w:ind w:left="11"/>
              <w:jc w:val="center"/>
              <w:rPr>
                <w:sz w:val="21"/>
              </w:rPr>
            </w:pPr>
            <w:r>
              <w:rPr>
                <w:w w:val="100"/>
                <w:sz w:val="21"/>
              </w:rPr>
              <w:t>2</w:t>
            </w:r>
          </w:p>
        </w:tc>
        <w:tc>
          <w:tcPr>
            <w:tcW w:w="3344" w:type="dxa"/>
          </w:tcPr>
          <w:p>
            <w:pPr>
              <w:pStyle w:val="TableParagraph"/>
              <w:spacing w:before="25"/>
              <w:ind w:left="136"/>
              <w:rPr>
                <w:sz w:val="21"/>
              </w:rPr>
            </w:pPr>
            <w:r>
              <w:rPr>
                <w:sz w:val="21"/>
              </w:rPr>
              <w:t>央行票据</w:t>
            </w:r>
          </w:p>
        </w:tc>
        <w:tc>
          <w:tcPr>
            <w:tcW w:w="2751" w:type="dxa"/>
          </w:tcPr>
          <w:p>
            <w:pPr>
              <w:pStyle w:val="TableParagraph"/>
              <w:spacing w:before="25"/>
              <w:ind w:right="20"/>
              <w:jc w:val="right"/>
              <w:rPr>
                <w:sz w:val="21"/>
              </w:rPr>
            </w:pPr>
            <w:r>
              <w:rPr>
                <w:w w:val="100"/>
                <w:sz w:val="21"/>
              </w:rPr>
              <w:t>-</w:t>
            </w:r>
          </w:p>
        </w:tc>
        <w:tc>
          <w:tcPr>
            <w:tcW w:w="1580" w:type="dxa"/>
          </w:tcPr>
          <w:p>
            <w:pPr>
              <w:pStyle w:val="TableParagraph"/>
              <w:spacing w:before="25"/>
              <w:ind w:right="18"/>
              <w:jc w:val="right"/>
              <w:rPr>
                <w:sz w:val="21"/>
              </w:rPr>
            </w:pPr>
            <w:r>
              <w:rPr>
                <w:w w:val="100"/>
                <w:sz w:val="21"/>
              </w:rPr>
              <w:t>-</w:t>
            </w:r>
          </w:p>
        </w:tc>
      </w:tr>
      <w:tr>
        <w:trPr>
          <w:trHeight w:val="313" w:hRule="atLeast"/>
        </w:trPr>
        <w:tc>
          <w:tcPr>
            <w:tcW w:w="694" w:type="dxa"/>
          </w:tcPr>
          <w:p>
            <w:pPr>
              <w:pStyle w:val="TableParagraph"/>
              <w:spacing w:before="22"/>
              <w:ind w:left="11"/>
              <w:jc w:val="center"/>
              <w:rPr>
                <w:sz w:val="21"/>
              </w:rPr>
            </w:pPr>
            <w:r>
              <w:rPr>
                <w:w w:val="100"/>
                <w:sz w:val="21"/>
              </w:rPr>
              <w:t>3</w:t>
            </w:r>
          </w:p>
        </w:tc>
        <w:tc>
          <w:tcPr>
            <w:tcW w:w="3344" w:type="dxa"/>
          </w:tcPr>
          <w:p>
            <w:pPr>
              <w:pStyle w:val="TableParagraph"/>
              <w:spacing w:before="22"/>
              <w:ind w:left="136"/>
              <w:rPr>
                <w:sz w:val="21"/>
              </w:rPr>
            </w:pPr>
            <w:r>
              <w:rPr>
                <w:sz w:val="21"/>
              </w:rPr>
              <w:t>金融债券</w:t>
            </w:r>
          </w:p>
        </w:tc>
        <w:tc>
          <w:tcPr>
            <w:tcW w:w="2751" w:type="dxa"/>
          </w:tcPr>
          <w:p>
            <w:pPr>
              <w:pStyle w:val="TableParagraph"/>
              <w:spacing w:before="22"/>
              <w:ind w:right="17"/>
              <w:jc w:val="right"/>
              <w:rPr>
                <w:sz w:val="21"/>
              </w:rPr>
            </w:pPr>
            <w:r>
              <w:rPr>
                <w:sz w:val="21"/>
              </w:rPr>
              <w:t>510,731,000.00</w:t>
            </w:r>
          </w:p>
        </w:tc>
        <w:tc>
          <w:tcPr>
            <w:tcW w:w="1580" w:type="dxa"/>
          </w:tcPr>
          <w:p>
            <w:pPr>
              <w:pStyle w:val="TableParagraph"/>
              <w:spacing w:before="22"/>
              <w:ind w:right="15"/>
              <w:jc w:val="right"/>
              <w:rPr>
                <w:sz w:val="21"/>
              </w:rPr>
            </w:pPr>
            <w:r>
              <w:rPr>
                <w:sz w:val="21"/>
              </w:rPr>
              <w:t>2.92</w:t>
            </w:r>
          </w:p>
        </w:tc>
      </w:tr>
      <w:tr>
        <w:trPr>
          <w:trHeight w:val="313" w:hRule="atLeast"/>
        </w:trPr>
        <w:tc>
          <w:tcPr>
            <w:tcW w:w="694" w:type="dxa"/>
          </w:tcPr>
          <w:p>
            <w:pPr>
              <w:pStyle w:val="TableParagraph"/>
              <w:rPr>
                <w:rFonts w:ascii="Times New Roman"/>
                <w:sz w:val="20"/>
              </w:rPr>
            </w:pPr>
          </w:p>
        </w:tc>
        <w:tc>
          <w:tcPr>
            <w:tcW w:w="3344" w:type="dxa"/>
          </w:tcPr>
          <w:p>
            <w:pPr>
              <w:pStyle w:val="TableParagraph"/>
              <w:spacing w:before="25"/>
              <w:ind w:left="136"/>
              <w:rPr>
                <w:sz w:val="21"/>
              </w:rPr>
            </w:pPr>
            <w:r>
              <w:rPr>
                <w:sz w:val="21"/>
              </w:rPr>
              <w:t>其中：政策性金融债</w:t>
            </w:r>
          </w:p>
        </w:tc>
        <w:tc>
          <w:tcPr>
            <w:tcW w:w="2751" w:type="dxa"/>
          </w:tcPr>
          <w:p>
            <w:pPr>
              <w:pStyle w:val="TableParagraph"/>
              <w:spacing w:before="25"/>
              <w:ind w:right="17"/>
              <w:jc w:val="right"/>
              <w:rPr>
                <w:sz w:val="21"/>
              </w:rPr>
            </w:pPr>
            <w:r>
              <w:rPr>
                <w:sz w:val="21"/>
              </w:rPr>
              <w:t>510,731,000.00</w:t>
            </w:r>
          </w:p>
        </w:tc>
        <w:tc>
          <w:tcPr>
            <w:tcW w:w="1580" w:type="dxa"/>
          </w:tcPr>
          <w:p>
            <w:pPr>
              <w:pStyle w:val="TableParagraph"/>
              <w:spacing w:before="25"/>
              <w:ind w:right="15"/>
              <w:jc w:val="right"/>
              <w:rPr>
                <w:sz w:val="21"/>
              </w:rPr>
            </w:pPr>
            <w:r>
              <w:rPr>
                <w:sz w:val="21"/>
              </w:rPr>
              <w:t>2.92</w:t>
            </w:r>
          </w:p>
        </w:tc>
      </w:tr>
      <w:tr>
        <w:trPr>
          <w:trHeight w:val="316" w:hRule="atLeast"/>
        </w:trPr>
        <w:tc>
          <w:tcPr>
            <w:tcW w:w="694" w:type="dxa"/>
          </w:tcPr>
          <w:p>
            <w:pPr>
              <w:pStyle w:val="TableParagraph"/>
              <w:spacing w:before="25"/>
              <w:ind w:left="11"/>
              <w:jc w:val="center"/>
              <w:rPr>
                <w:sz w:val="21"/>
              </w:rPr>
            </w:pPr>
            <w:r>
              <w:rPr>
                <w:w w:val="100"/>
                <w:sz w:val="21"/>
              </w:rPr>
              <w:t>4</w:t>
            </w:r>
          </w:p>
        </w:tc>
        <w:tc>
          <w:tcPr>
            <w:tcW w:w="3344" w:type="dxa"/>
          </w:tcPr>
          <w:p>
            <w:pPr>
              <w:pStyle w:val="TableParagraph"/>
              <w:spacing w:before="25"/>
              <w:ind w:left="136"/>
              <w:rPr>
                <w:sz w:val="21"/>
              </w:rPr>
            </w:pPr>
            <w:r>
              <w:rPr>
                <w:sz w:val="21"/>
              </w:rPr>
              <w:t>企业债券</w:t>
            </w:r>
          </w:p>
        </w:tc>
        <w:tc>
          <w:tcPr>
            <w:tcW w:w="2751" w:type="dxa"/>
          </w:tcPr>
          <w:p>
            <w:pPr>
              <w:pStyle w:val="TableParagraph"/>
              <w:spacing w:before="25"/>
              <w:ind w:right="20"/>
              <w:jc w:val="right"/>
              <w:rPr>
                <w:sz w:val="21"/>
              </w:rPr>
            </w:pPr>
            <w:r>
              <w:rPr>
                <w:w w:val="100"/>
                <w:sz w:val="21"/>
              </w:rPr>
              <w:t>-</w:t>
            </w:r>
          </w:p>
        </w:tc>
        <w:tc>
          <w:tcPr>
            <w:tcW w:w="1580" w:type="dxa"/>
          </w:tcPr>
          <w:p>
            <w:pPr>
              <w:pStyle w:val="TableParagraph"/>
              <w:spacing w:before="25"/>
              <w:ind w:right="18"/>
              <w:jc w:val="right"/>
              <w:rPr>
                <w:sz w:val="21"/>
              </w:rPr>
            </w:pPr>
            <w:r>
              <w:rPr>
                <w:w w:val="100"/>
                <w:sz w:val="21"/>
              </w:rPr>
              <w:t>-</w:t>
            </w:r>
          </w:p>
        </w:tc>
      </w:tr>
      <w:tr>
        <w:trPr>
          <w:trHeight w:val="313" w:hRule="atLeast"/>
        </w:trPr>
        <w:tc>
          <w:tcPr>
            <w:tcW w:w="694" w:type="dxa"/>
          </w:tcPr>
          <w:p>
            <w:pPr>
              <w:pStyle w:val="TableParagraph"/>
              <w:spacing w:before="25"/>
              <w:ind w:left="11"/>
              <w:jc w:val="center"/>
              <w:rPr>
                <w:sz w:val="21"/>
              </w:rPr>
            </w:pPr>
            <w:r>
              <w:rPr>
                <w:w w:val="100"/>
                <w:sz w:val="21"/>
              </w:rPr>
              <w:t>5</w:t>
            </w:r>
          </w:p>
        </w:tc>
        <w:tc>
          <w:tcPr>
            <w:tcW w:w="3344" w:type="dxa"/>
          </w:tcPr>
          <w:p>
            <w:pPr>
              <w:pStyle w:val="TableParagraph"/>
              <w:spacing w:before="25"/>
              <w:ind w:left="136"/>
              <w:rPr>
                <w:sz w:val="21"/>
              </w:rPr>
            </w:pPr>
            <w:r>
              <w:rPr>
                <w:sz w:val="21"/>
              </w:rPr>
              <w:t>企业短期融资券</w:t>
            </w:r>
          </w:p>
        </w:tc>
        <w:tc>
          <w:tcPr>
            <w:tcW w:w="2751" w:type="dxa"/>
          </w:tcPr>
          <w:p>
            <w:pPr>
              <w:pStyle w:val="TableParagraph"/>
              <w:spacing w:before="25"/>
              <w:ind w:right="20"/>
              <w:jc w:val="right"/>
              <w:rPr>
                <w:sz w:val="21"/>
              </w:rPr>
            </w:pPr>
            <w:r>
              <w:rPr>
                <w:w w:val="100"/>
                <w:sz w:val="21"/>
              </w:rPr>
              <w:t>-</w:t>
            </w:r>
          </w:p>
        </w:tc>
        <w:tc>
          <w:tcPr>
            <w:tcW w:w="1580" w:type="dxa"/>
          </w:tcPr>
          <w:p>
            <w:pPr>
              <w:pStyle w:val="TableParagraph"/>
              <w:spacing w:before="25"/>
              <w:ind w:right="18"/>
              <w:jc w:val="right"/>
              <w:rPr>
                <w:sz w:val="21"/>
              </w:rPr>
            </w:pPr>
            <w:r>
              <w:rPr>
                <w:w w:val="100"/>
                <w:sz w:val="21"/>
              </w:rPr>
              <w:t>-</w:t>
            </w:r>
          </w:p>
        </w:tc>
      </w:tr>
      <w:tr>
        <w:trPr>
          <w:trHeight w:val="316" w:hRule="atLeast"/>
        </w:trPr>
        <w:tc>
          <w:tcPr>
            <w:tcW w:w="694" w:type="dxa"/>
          </w:tcPr>
          <w:p>
            <w:pPr>
              <w:pStyle w:val="TableParagraph"/>
              <w:spacing w:before="25"/>
              <w:ind w:left="11"/>
              <w:jc w:val="center"/>
              <w:rPr>
                <w:sz w:val="21"/>
              </w:rPr>
            </w:pPr>
            <w:r>
              <w:rPr>
                <w:w w:val="100"/>
                <w:sz w:val="21"/>
              </w:rPr>
              <w:t>6</w:t>
            </w:r>
          </w:p>
        </w:tc>
        <w:tc>
          <w:tcPr>
            <w:tcW w:w="3344" w:type="dxa"/>
          </w:tcPr>
          <w:p>
            <w:pPr>
              <w:pStyle w:val="TableParagraph"/>
              <w:spacing w:before="25"/>
              <w:ind w:left="136"/>
              <w:rPr>
                <w:sz w:val="21"/>
              </w:rPr>
            </w:pPr>
            <w:r>
              <w:rPr>
                <w:sz w:val="21"/>
              </w:rPr>
              <w:t>中期票据</w:t>
            </w:r>
          </w:p>
        </w:tc>
        <w:tc>
          <w:tcPr>
            <w:tcW w:w="2751" w:type="dxa"/>
          </w:tcPr>
          <w:p>
            <w:pPr>
              <w:pStyle w:val="TableParagraph"/>
              <w:spacing w:before="25"/>
              <w:ind w:right="20"/>
              <w:jc w:val="right"/>
              <w:rPr>
                <w:sz w:val="21"/>
              </w:rPr>
            </w:pPr>
            <w:r>
              <w:rPr>
                <w:w w:val="100"/>
                <w:sz w:val="21"/>
              </w:rPr>
              <w:t>-</w:t>
            </w:r>
          </w:p>
        </w:tc>
        <w:tc>
          <w:tcPr>
            <w:tcW w:w="1580" w:type="dxa"/>
          </w:tcPr>
          <w:p>
            <w:pPr>
              <w:pStyle w:val="TableParagraph"/>
              <w:spacing w:before="25"/>
              <w:ind w:right="18"/>
              <w:jc w:val="right"/>
              <w:rPr>
                <w:sz w:val="21"/>
              </w:rPr>
            </w:pPr>
            <w:r>
              <w:rPr>
                <w:w w:val="100"/>
                <w:sz w:val="21"/>
              </w:rPr>
              <w:t>-</w:t>
            </w:r>
          </w:p>
        </w:tc>
      </w:tr>
      <w:tr>
        <w:trPr>
          <w:trHeight w:val="314" w:hRule="atLeast"/>
        </w:trPr>
        <w:tc>
          <w:tcPr>
            <w:tcW w:w="694" w:type="dxa"/>
          </w:tcPr>
          <w:p>
            <w:pPr>
              <w:pStyle w:val="TableParagraph"/>
              <w:spacing w:before="25"/>
              <w:ind w:left="11"/>
              <w:jc w:val="center"/>
              <w:rPr>
                <w:sz w:val="21"/>
              </w:rPr>
            </w:pPr>
            <w:r>
              <w:rPr>
                <w:w w:val="100"/>
                <w:sz w:val="21"/>
              </w:rPr>
              <w:t>7</w:t>
            </w:r>
          </w:p>
        </w:tc>
        <w:tc>
          <w:tcPr>
            <w:tcW w:w="3344" w:type="dxa"/>
          </w:tcPr>
          <w:p>
            <w:pPr>
              <w:pStyle w:val="TableParagraph"/>
              <w:spacing w:before="25"/>
              <w:ind w:left="136"/>
              <w:rPr>
                <w:sz w:val="21"/>
              </w:rPr>
            </w:pPr>
            <w:r>
              <w:rPr>
                <w:sz w:val="21"/>
              </w:rPr>
              <w:t>可转债（可交换债）</w:t>
            </w:r>
          </w:p>
        </w:tc>
        <w:tc>
          <w:tcPr>
            <w:tcW w:w="2751" w:type="dxa"/>
          </w:tcPr>
          <w:p>
            <w:pPr>
              <w:pStyle w:val="TableParagraph"/>
              <w:spacing w:before="25"/>
              <w:ind w:right="20"/>
              <w:jc w:val="right"/>
              <w:rPr>
                <w:sz w:val="21"/>
              </w:rPr>
            </w:pPr>
            <w:r>
              <w:rPr>
                <w:w w:val="100"/>
                <w:sz w:val="21"/>
              </w:rPr>
              <w:t>-</w:t>
            </w:r>
          </w:p>
        </w:tc>
        <w:tc>
          <w:tcPr>
            <w:tcW w:w="1580" w:type="dxa"/>
          </w:tcPr>
          <w:p>
            <w:pPr>
              <w:pStyle w:val="TableParagraph"/>
              <w:spacing w:before="25"/>
              <w:ind w:right="18"/>
              <w:jc w:val="right"/>
              <w:rPr>
                <w:sz w:val="21"/>
              </w:rPr>
            </w:pPr>
            <w:r>
              <w:rPr>
                <w:w w:val="100"/>
                <w:sz w:val="21"/>
              </w:rPr>
              <w:t>-</w:t>
            </w:r>
          </w:p>
        </w:tc>
      </w:tr>
      <w:tr>
        <w:trPr>
          <w:trHeight w:val="316" w:hRule="atLeast"/>
        </w:trPr>
        <w:tc>
          <w:tcPr>
            <w:tcW w:w="694" w:type="dxa"/>
          </w:tcPr>
          <w:p>
            <w:pPr>
              <w:pStyle w:val="TableParagraph"/>
              <w:spacing w:before="25"/>
              <w:ind w:left="11"/>
              <w:jc w:val="center"/>
              <w:rPr>
                <w:sz w:val="21"/>
              </w:rPr>
            </w:pPr>
            <w:r>
              <w:rPr>
                <w:w w:val="100"/>
                <w:sz w:val="21"/>
              </w:rPr>
              <w:t>8</w:t>
            </w:r>
          </w:p>
        </w:tc>
        <w:tc>
          <w:tcPr>
            <w:tcW w:w="3344" w:type="dxa"/>
          </w:tcPr>
          <w:p>
            <w:pPr>
              <w:pStyle w:val="TableParagraph"/>
              <w:spacing w:before="25"/>
              <w:ind w:left="136"/>
              <w:rPr>
                <w:sz w:val="21"/>
              </w:rPr>
            </w:pPr>
            <w:r>
              <w:rPr>
                <w:sz w:val="21"/>
              </w:rPr>
              <w:t>同业存单</w:t>
            </w:r>
          </w:p>
        </w:tc>
        <w:tc>
          <w:tcPr>
            <w:tcW w:w="2751" w:type="dxa"/>
          </w:tcPr>
          <w:p>
            <w:pPr>
              <w:pStyle w:val="TableParagraph"/>
              <w:spacing w:before="25"/>
              <w:ind w:right="20"/>
              <w:jc w:val="right"/>
              <w:rPr>
                <w:sz w:val="21"/>
              </w:rPr>
            </w:pPr>
            <w:r>
              <w:rPr>
                <w:w w:val="100"/>
                <w:sz w:val="21"/>
              </w:rPr>
              <w:t>-</w:t>
            </w:r>
          </w:p>
        </w:tc>
        <w:tc>
          <w:tcPr>
            <w:tcW w:w="1580" w:type="dxa"/>
          </w:tcPr>
          <w:p>
            <w:pPr>
              <w:pStyle w:val="TableParagraph"/>
              <w:spacing w:before="25"/>
              <w:ind w:right="18"/>
              <w:jc w:val="right"/>
              <w:rPr>
                <w:sz w:val="21"/>
              </w:rPr>
            </w:pPr>
            <w:r>
              <w:rPr>
                <w:w w:val="100"/>
                <w:sz w:val="21"/>
              </w:rPr>
              <w:t>-</w:t>
            </w:r>
          </w:p>
        </w:tc>
      </w:tr>
      <w:tr>
        <w:trPr>
          <w:trHeight w:val="313" w:hRule="atLeast"/>
        </w:trPr>
        <w:tc>
          <w:tcPr>
            <w:tcW w:w="694" w:type="dxa"/>
          </w:tcPr>
          <w:p>
            <w:pPr>
              <w:pStyle w:val="TableParagraph"/>
              <w:spacing w:before="22"/>
              <w:ind w:left="11"/>
              <w:jc w:val="center"/>
              <w:rPr>
                <w:sz w:val="21"/>
              </w:rPr>
            </w:pPr>
            <w:r>
              <w:rPr>
                <w:w w:val="100"/>
                <w:sz w:val="21"/>
              </w:rPr>
              <w:t>9</w:t>
            </w:r>
          </w:p>
        </w:tc>
        <w:tc>
          <w:tcPr>
            <w:tcW w:w="3344" w:type="dxa"/>
          </w:tcPr>
          <w:p>
            <w:pPr>
              <w:pStyle w:val="TableParagraph"/>
              <w:spacing w:before="22"/>
              <w:ind w:left="136"/>
              <w:rPr>
                <w:sz w:val="21"/>
              </w:rPr>
            </w:pPr>
            <w:r>
              <w:rPr>
                <w:sz w:val="21"/>
              </w:rPr>
              <w:t>其他</w:t>
            </w:r>
          </w:p>
        </w:tc>
        <w:tc>
          <w:tcPr>
            <w:tcW w:w="2751" w:type="dxa"/>
          </w:tcPr>
          <w:p>
            <w:pPr>
              <w:pStyle w:val="TableParagraph"/>
              <w:spacing w:before="22"/>
              <w:ind w:right="20"/>
              <w:jc w:val="right"/>
              <w:rPr>
                <w:sz w:val="21"/>
              </w:rPr>
            </w:pPr>
            <w:r>
              <w:rPr>
                <w:w w:val="100"/>
                <w:sz w:val="21"/>
              </w:rPr>
              <w:t>-</w:t>
            </w:r>
          </w:p>
        </w:tc>
        <w:tc>
          <w:tcPr>
            <w:tcW w:w="1580" w:type="dxa"/>
          </w:tcPr>
          <w:p>
            <w:pPr>
              <w:pStyle w:val="TableParagraph"/>
              <w:spacing w:before="22"/>
              <w:ind w:right="18"/>
              <w:jc w:val="right"/>
              <w:rPr>
                <w:sz w:val="21"/>
              </w:rPr>
            </w:pPr>
            <w:r>
              <w:rPr>
                <w:w w:val="100"/>
                <w:sz w:val="21"/>
              </w:rPr>
              <w:t>-</w:t>
            </w:r>
          </w:p>
        </w:tc>
      </w:tr>
      <w:tr>
        <w:trPr>
          <w:trHeight w:val="316" w:hRule="atLeast"/>
        </w:trPr>
        <w:tc>
          <w:tcPr>
            <w:tcW w:w="694" w:type="dxa"/>
          </w:tcPr>
          <w:p>
            <w:pPr>
              <w:pStyle w:val="TableParagraph"/>
              <w:spacing w:before="25"/>
              <w:ind w:left="117" w:right="106"/>
              <w:jc w:val="center"/>
              <w:rPr>
                <w:sz w:val="21"/>
              </w:rPr>
            </w:pPr>
            <w:r>
              <w:rPr>
                <w:sz w:val="21"/>
              </w:rPr>
              <w:t>10</w:t>
            </w:r>
          </w:p>
        </w:tc>
        <w:tc>
          <w:tcPr>
            <w:tcW w:w="3344" w:type="dxa"/>
          </w:tcPr>
          <w:p>
            <w:pPr>
              <w:pStyle w:val="TableParagraph"/>
              <w:spacing w:before="25"/>
              <w:ind w:left="136"/>
              <w:rPr>
                <w:sz w:val="21"/>
              </w:rPr>
            </w:pPr>
            <w:r>
              <w:rPr>
                <w:sz w:val="21"/>
              </w:rPr>
              <w:t>合计</w:t>
            </w:r>
          </w:p>
        </w:tc>
        <w:tc>
          <w:tcPr>
            <w:tcW w:w="2751" w:type="dxa"/>
          </w:tcPr>
          <w:p>
            <w:pPr>
              <w:pStyle w:val="TableParagraph"/>
              <w:spacing w:before="25"/>
              <w:ind w:right="17"/>
              <w:jc w:val="right"/>
              <w:rPr>
                <w:sz w:val="21"/>
              </w:rPr>
            </w:pPr>
            <w:r>
              <w:rPr>
                <w:sz w:val="21"/>
              </w:rPr>
              <w:t>510,731,000.00</w:t>
            </w:r>
          </w:p>
        </w:tc>
        <w:tc>
          <w:tcPr>
            <w:tcW w:w="1580" w:type="dxa"/>
          </w:tcPr>
          <w:p>
            <w:pPr>
              <w:pStyle w:val="TableParagraph"/>
              <w:spacing w:before="25"/>
              <w:ind w:right="15"/>
              <w:jc w:val="right"/>
              <w:rPr>
                <w:sz w:val="21"/>
              </w:rPr>
            </w:pPr>
            <w:r>
              <w:rPr>
                <w:sz w:val="21"/>
              </w:rPr>
              <w:t>2.92</w:t>
            </w:r>
          </w:p>
        </w:tc>
      </w:tr>
    </w:tbl>
    <w:p>
      <w:pPr>
        <w:pStyle w:val="Heading3"/>
        <w:numPr>
          <w:ilvl w:val="0"/>
          <w:numId w:val="27"/>
        </w:numPr>
        <w:tabs>
          <w:tab w:pos="1105" w:val="left" w:leader="none"/>
        </w:tabs>
        <w:spacing w:line="240" w:lineRule="auto" w:before="236" w:after="0"/>
        <w:ind w:left="1104" w:right="0" w:hanging="265"/>
        <w:jc w:val="left"/>
      </w:pPr>
      <w:r>
        <w:rPr/>
        <w:pict>
          <v:shape style="position:absolute;margin-left:89.064003pt;margin-top:31.239998pt;width:417.6pt;height:83.4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1205"/>
                    <w:gridCol w:w="1290"/>
                    <w:gridCol w:w="1959"/>
                    <w:gridCol w:w="2062"/>
                    <w:gridCol w:w="1285"/>
                  </w:tblGrid>
                  <w:tr>
                    <w:trPr>
                      <w:trHeight w:val="638" w:hRule="atLeast"/>
                    </w:trPr>
                    <w:tc>
                      <w:tcPr>
                        <w:tcW w:w="538" w:type="dxa"/>
                        <w:shd w:val="clear" w:color="auto" w:fill="D9D9D9"/>
                      </w:tcPr>
                      <w:p>
                        <w:pPr>
                          <w:pStyle w:val="TableParagraph"/>
                          <w:rPr>
                            <w:b/>
                            <w:sz w:val="15"/>
                          </w:rPr>
                        </w:pPr>
                      </w:p>
                      <w:p>
                        <w:pPr>
                          <w:pStyle w:val="TableParagraph"/>
                          <w:spacing w:before="1"/>
                          <w:ind w:left="38" w:right="29"/>
                          <w:jc w:val="center"/>
                          <w:rPr>
                            <w:sz w:val="21"/>
                          </w:rPr>
                        </w:pPr>
                        <w:r>
                          <w:rPr>
                            <w:sz w:val="21"/>
                          </w:rPr>
                          <w:t>序号</w:t>
                        </w:r>
                      </w:p>
                    </w:tc>
                    <w:tc>
                      <w:tcPr>
                        <w:tcW w:w="1205" w:type="dxa"/>
                        <w:shd w:val="clear" w:color="auto" w:fill="D9D9D9"/>
                      </w:tcPr>
                      <w:p>
                        <w:pPr>
                          <w:pStyle w:val="TableParagraph"/>
                          <w:rPr>
                            <w:b/>
                            <w:sz w:val="15"/>
                          </w:rPr>
                        </w:pPr>
                      </w:p>
                      <w:p>
                        <w:pPr>
                          <w:pStyle w:val="TableParagraph"/>
                          <w:spacing w:before="1"/>
                          <w:ind w:left="160" w:right="154"/>
                          <w:jc w:val="center"/>
                          <w:rPr>
                            <w:sz w:val="21"/>
                          </w:rPr>
                        </w:pPr>
                        <w:r>
                          <w:rPr>
                            <w:sz w:val="21"/>
                          </w:rPr>
                          <w:t>债券代码</w:t>
                        </w:r>
                      </w:p>
                    </w:tc>
                    <w:tc>
                      <w:tcPr>
                        <w:tcW w:w="1290" w:type="dxa"/>
                        <w:shd w:val="clear" w:color="auto" w:fill="D9D9D9"/>
                      </w:tcPr>
                      <w:p>
                        <w:pPr>
                          <w:pStyle w:val="TableParagraph"/>
                          <w:rPr>
                            <w:b/>
                            <w:sz w:val="15"/>
                          </w:rPr>
                        </w:pPr>
                      </w:p>
                      <w:p>
                        <w:pPr>
                          <w:pStyle w:val="TableParagraph"/>
                          <w:spacing w:before="1"/>
                          <w:ind w:left="98" w:right="91"/>
                          <w:jc w:val="center"/>
                          <w:rPr>
                            <w:sz w:val="21"/>
                          </w:rPr>
                        </w:pPr>
                        <w:r>
                          <w:rPr>
                            <w:sz w:val="21"/>
                          </w:rPr>
                          <w:t>债券名称</w:t>
                        </w:r>
                      </w:p>
                    </w:tc>
                    <w:tc>
                      <w:tcPr>
                        <w:tcW w:w="1959" w:type="dxa"/>
                        <w:shd w:val="clear" w:color="auto" w:fill="D9D9D9"/>
                      </w:tcPr>
                      <w:p>
                        <w:pPr>
                          <w:pStyle w:val="TableParagraph"/>
                          <w:rPr>
                            <w:b/>
                            <w:sz w:val="15"/>
                          </w:rPr>
                        </w:pPr>
                      </w:p>
                      <w:p>
                        <w:pPr>
                          <w:pStyle w:val="TableParagraph"/>
                          <w:spacing w:before="1"/>
                          <w:ind w:left="449"/>
                          <w:rPr>
                            <w:sz w:val="21"/>
                          </w:rPr>
                        </w:pPr>
                        <w:r>
                          <w:rPr>
                            <w:sz w:val="21"/>
                          </w:rPr>
                          <w:t>数量（张）</w:t>
                        </w:r>
                      </w:p>
                    </w:tc>
                    <w:tc>
                      <w:tcPr>
                        <w:tcW w:w="2062" w:type="dxa"/>
                        <w:shd w:val="clear" w:color="auto" w:fill="D9D9D9"/>
                      </w:tcPr>
                      <w:p>
                        <w:pPr>
                          <w:pStyle w:val="TableParagraph"/>
                          <w:rPr>
                            <w:b/>
                            <w:sz w:val="15"/>
                          </w:rPr>
                        </w:pPr>
                      </w:p>
                      <w:p>
                        <w:pPr>
                          <w:pStyle w:val="TableParagraph"/>
                          <w:spacing w:before="1"/>
                          <w:ind w:left="293"/>
                          <w:rPr>
                            <w:sz w:val="21"/>
                          </w:rPr>
                        </w:pPr>
                        <w:r>
                          <w:rPr>
                            <w:sz w:val="21"/>
                          </w:rPr>
                          <w:t>公允价值（元）</w:t>
                        </w:r>
                      </w:p>
                    </w:tc>
                    <w:tc>
                      <w:tcPr>
                        <w:tcW w:w="1285" w:type="dxa"/>
                        <w:shd w:val="clear" w:color="auto" w:fill="D9D9D9"/>
                      </w:tcPr>
                      <w:p>
                        <w:pPr>
                          <w:pStyle w:val="TableParagraph"/>
                          <w:spacing w:before="37"/>
                          <w:ind w:left="113"/>
                          <w:rPr>
                            <w:sz w:val="21"/>
                          </w:rPr>
                        </w:pPr>
                        <w:r>
                          <w:rPr>
                            <w:spacing w:val="-1"/>
                            <w:sz w:val="21"/>
                          </w:rPr>
                          <w:t>占基金资产</w:t>
                        </w:r>
                      </w:p>
                      <w:p>
                        <w:pPr>
                          <w:pStyle w:val="TableParagraph"/>
                          <w:spacing w:before="43"/>
                          <w:ind w:left="12"/>
                          <w:rPr>
                            <w:sz w:val="21"/>
                          </w:rPr>
                        </w:pPr>
                        <w:r>
                          <w:rPr>
                            <w:spacing w:val="-3"/>
                            <w:sz w:val="21"/>
                          </w:rPr>
                          <w:t>净值比例</w:t>
                        </w:r>
                        <w:r>
                          <w:rPr>
                            <w:sz w:val="21"/>
                          </w:rPr>
                          <w:t>（%</w:t>
                        </w:r>
                      </w:p>
                    </w:tc>
                  </w:tr>
                  <w:tr>
                    <w:trPr>
                      <w:trHeight w:val="325" w:hRule="atLeast"/>
                    </w:trPr>
                    <w:tc>
                      <w:tcPr>
                        <w:tcW w:w="538" w:type="dxa"/>
                      </w:tcPr>
                      <w:p>
                        <w:pPr>
                          <w:pStyle w:val="TableParagraph"/>
                          <w:spacing w:before="37"/>
                          <w:ind w:left="9"/>
                          <w:jc w:val="center"/>
                          <w:rPr>
                            <w:sz w:val="21"/>
                          </w:rPr>
                        </w:pPr>
                        <w:r>
                          <w:rPr>
                            <w:w w:val="100"/>
                            <w:sz w:val="21"/>
                          </w:rPr>
                          <w:t>1</w:t>
                        </w:r>
                      </w:p>
                    </w:tc>
                    <w:tc>
                      <w:tcPr>
                        <w:tcW w:w="1205" w:type="dxa"/>
                      </w:tcPr>
                      <w:p>
                        <w:pPr>
                          <w:pStyle w:val="TableParagraph"/>
                          <w:spacing w:before="37"/>
                          <w:ind w:left="160" w:right="152"/>
                          <w:jc w:val="center"/>
                          <w:rPr>
                            <w:sz w:val="21"/>
                          </w:rPr>
                        </w:pPr>
                        <w:r>
                          <w:rPr>
                            <w:sz w:val="21"/>
                          </w:rPr>
                          <w:t>190211</w:t>
                        </w:r>
                      </w:p>
                    </w:tc>
                    <w:tc>
                      <w:tcPr>
                        <w:tcW w:w="1290" w:type="dxa"/>
                      </w:tcPr>
                      <w:p>
                        <w:pPr>
                          <w:pStyle w:val="TableParagraph"/>
                          <w:spacing w:before="37"/>
                          <w:ind w:left="98" w:right="91"/>
                          <w:jc w:val="center"/>
                          <w:rPr>
                            <w:sz w:val="21"/>
                          </w:rPr>
                        </w:pPr>
                        <w:r>
                          <w:rPr>
                            <w:sz w:val="21"/>
                          </w:rPr>
                          <w:t>19 国开 11</w:t>
                        </w:r>
                      </w:p>
                    </w:tc>
                    <w:tc>
                      <w:tcPr>
                        <w:tcW w:w="1959" w:type="dxa"/>
                      </w:tcPr>
                      <w:p>
                        <w:pPr>
                          <w:pStyle w:val="TableParagraph"/>
                          <w:spacing w:before="37"/>
                          <w:ind w:right="4"/>
                          <w:jc w:val="right"/>
                          <w:rPr>
                            <w:sz w:val="21"/>
                          </w:rPr>
                        </w:pPr>
                        <w:r>
                          <w:rPr>
                            <w:sz w:val="21"/>
                          </w:rPr>
                          <w:t>2,400,000</w:t>
                        </w:r>
                      </w:p>
                    </w:tc>
                    <w:tc>
                      <w:tcPr>
                        <w:tcW w:w="2062" w:type="dxa"/>
                      </w:tcPr>
                      <w:p>
                        <w:pPr>
                          <w:pStyle w:val="TableParagraph"/>
                          <w:spacing w:before="37"/>
                          <w:ind w:right="1"/>
                          <w:jc w:val="right"/>
                          <w:rPr>
                            <w:sz w:val="21"/>
                          </w:rPr>
                        </w:pPr>
                        <w:r>
                          <w:rPr>
                            <w:sz w:val="21"/>
                          </w:rPr>
                          <w:t>240,336,000.00</w:t>
                        </w:r>
                      </w:p>
                    </w:tc>
                    <w:tc>
                      <w:tcPr>
                        <w:tcW w:w="1285" w:type="dxa"/>
                      </w:tcPr>
                      <w:p>
                        <w:pPr>
                          <w:pStyle w:val="TableParagraph"/>
                          <w:spacing w:before="37"/>
                          <w:ind w:right="2"/>
                          <w:jc w:val="right"/>
                          <w:rPr>
                            <w:sz w:val="21"/>
                          </w:rPr>
                        </w:pPr>
                        <w:r>
                          <w:rPr>
                            <w:sz w:val="21"/>
                          </w:rPr>
                          <w:t>1.37</w:t>
                        </w:r>
                      </w:p>
                    </w:tc>
                  </w:tr>
                  <w:tr>
                    <w:trPr>
                      <w:trHeight w:val="328" w:hRule="atLeast"/>
                    </w:trPr>
                    <w:tc>
                      <w:tcPr>
                        <w:tcW w:w="538" w:type="dxa"/>
                      </w:tcPr>
                      <w:p>
                        <w:pPr>
                          <w:pStyle w:val="TableParagraph"/>
                          <w:spacing w:before="39"/>
                          <w:ind w:left="9"/>
                          <w:jc w:val="center"/>
                          <w:rPr>
                            <w:sz w:val="21"/>
                          </w:rPr>
                        </w:pPr>
                        <w:r>
                          <w:rPr>
                            <w:w w:val="100"/>
                            <w:sz w:val="21"/>
                          </w:rPr>
                          <w:t>2</w:t>
                        </w:r>
                      </w:p>
                    </w:tc>
                    <w:tc>
                      <w:tcPr>
                        <w:tcW w:w="1205" w:type="dxa"/>
                      </w:tcPr>
                      <w:p>
                        <w:pPr>
                          <w:pStyle w:val="TableParagraph"/>
                          <w:spacing w:before="39"/>
                          <w:ind w:left="160" w:right="152"/>
                          <w:jc w:val="center"/>
                          <w:rPr>
                            <w:sz w:val="21"/>
                          </w:rPr>
                        </w:pPr>
                        <w:r>
                          <w:rPr>
                            <w:sz w:val="21"/>
                          </w:rPr>
                          <w:t>190405</w:t>
                        </w:r>
                      </w:p>
                    </w:tc>
                    <w:tc>
                      <w:tcPr>
                        <w:tcW w:w="1290" w:type="dxa"/>
                      </w:tcPr>
                      <w:p>
                        <w:pPr>
                          <w:pStyle w:val="TableParagraph"/>
                          <w:spacing w:before="39"/>
                          <w:ind w:left="98" w:right="91"/>
                          <w:jc w:val="center"/>
                          <w:rPr>
                            <w:sz w:val="21"/>
                          </w:rPr>
                        </w:pPr>
                        <w:r>
                          <w:rPr>
                            <w:sz w:val="21"/>
                          </w:rPr>
                          <w:t>19 农发 05</w:t>
                        </w:r>
                      </w:p>
                    </w:tc>
                    <w:tc>
                      <w:tcPr>
                        <w:tcW w:w="1959" w:type="dxa"/>
                      </w:tcPr>
                      <w:p>
                        <w:pPr>
                          <w:pStyle w:val="TableParagraph"/>
                          <w:spacing w:before="39"/>
                          <w:ind w:right="4"/>
                          <w:jc w:val="right"/>
                          <w:rPr>
                            <w:sz w:val="21"/>
                          </w:rPr>
                        </w:pPr>
                        <w:r>
                          <w:rPr>
                            <w:sz w:val="21"/>
                          </w:rPr>
                          <w:t>1,600,000</w:t>
                        </w:r>
                      </w:p>
                    </w:tc>
                    <w:tc>
                      <w:tcPr>
                        <w:tcW w:w="2062" w:type="dxa"/>
                      </w:tcPr>
                      <w:p>
                        <w:pPr>
                          <w:pStyle w:val="TableParagraph"/>
                          <w:spacing w:before="39"/>
                          <w:ind w:right="1"/>
                          <w:jc w:val="right"/>
                          <w:rPr>
                            <w:sz w:val="21"/>
                          </w:rPr>
                        </w:pPr>
                        <w:r>
                          <w:rPr>
                            <w:sz w:val="21"/>
                          </w:rPr>
                          <w:t>160,208,000.00</w:t>
                        </w:r>
                      </w:p>
                    </w:tc>
                    <w:tc>
                      <w:tcPr>
                        <w:tcW w:w="1285" w:type="dxa"/>
                      </w:tcPr>
                      <w:p>
                        <w:pPr>
                          <w:pStyle w:val="TableParagraph"/>
                          <w:spacing w:before="39"/>
                          <w:ind w:right="2"/>
                          <w:jc w:val="right"/>
                          <w:rPr>
                            <w:sz w:val="21"/>
                          </w:rPr>
                        </w:pPr>
                        <w:r>
                          <w:rPr>
                            <w:sz w:val="21"/>
                          </w:rPr>
                          <w:t>0.91</w:t>
                        </w:r>
                      </w:p>
                    </w:tc>
                  </w:tr>
                  <w:tr>
                    <w:trPr>
                      <w:trHeight w:val="326" w:hRule="atLeast"/>
                    </w:trPr>
                    <w:tc>
                      <w:tcPr>
                        <w:tcW w:w="538" w:type="dxa"/>
                      </w:tcPr>
                      <w:p>
                        <w:pPr>
                          <w:pStyle w:val="TableParagraph"/>
                          <w:spacing w:before="37"/>
                          <w:ind w:left="9"/>
                          <w:jc w:val="center"/>
                          <w:rPr>
                            <w:sz w:val="21"/>
                          </w:rPr>
                        </w:pPr>
                        <w:r>
                          <w:rPr>
                            <w:w w:val="100"/>
                            <w:sz w:val="21"/>
                          </w:rPr>
                          <w:t>3</w:t>
                        </w:r>
                      </w:p>
                    </w:tc>
                    <w:tc>
                      <w:tcPr>
                        <w:tcW w:w="1205" w:type="dxa"/>
                      </w:tcPr>
                      <w:p>
                        <w:pPr>
                          <w:pStyle w:val="TableParagraph"/>
                          <w:spacing w:before="37"/>
                          <w:ind w:left="160" w:right="152"/>
                          <w:jc w:val="center"/>
                          <w:rPr>
                            <w:sz w:val="21"/>
                          </w:rPr>
                        </w:pPr>
                        <w:r>
                          <w:rPr>
                            <w:sz w:val="21"/>
                          </w:rPr>
                          <w:t>190304</w:t>
                        </w:r>
                      </w:p>
                    </w:tc>
                    <w:tc>
                      <w:tcPr>
                        <w:tcW w:w="1290" w:type="dxa"/>
                      </w:tcPr>
                      <w:p>
                        <w:pPr>
                          <w:pStyle w:val="TableParagraph"/>
                          <w:spacing w:before="37"/>
                          <w:ind w:left="98" w:right="91"/>
                          <w:jc w:val="center"/>
                          <w:rPr>
                            <w:sz w:val="21"/>
                          </w:rPr>
                        </w:pPr>
                        <w:r>
                          <w:rPr>
                            <w:sz w:val="21"/>
                          </w:rPr>
                          <w:t>19 进出 04</w:t>
                        </w:r>
                      </w:p>
                    </w:tc>
                    <w:tc>
                      <w:tcPr>
                        <w:tcW w:w="1959" w:type="dxa"/>
                      </w:tcPr>
                      <w:p>
                        <w:pPr>
                          <w:pStyle w:val="TableParagraph"/>
                          <w:spacing w:before="37"/>
                          <w:ind w:right="4"/>
                          <w:jc w:val="right"/>
                          <w:rPr>
                            <w:sz w:val="21"/>
                          </w:rPr>
                        </w:pPr>
                        <w:r>
                          <w:rPr>
                            <w:sz w:val="21"/>
                          </w:rPr>
                          <w:t>1,100,000</w:t>
                        </w:r>
                      </w:p>
                    </w:tc>
                    <w:tc>
                      <w:tcPr>
                        <w:tcW w:w="2062" w:type="dxa"/>
                      </w:tcPr>
                      <w:p>
                        <w:pPr>
                          <w:pStyle w:val="TableParagraph"/>
                          <w:spacing w:before="37"/>
                          <w:ind w:right="1"/>
                          <w:jc w:val="right"/>
                          <w:rPr>
                            <w:sz w:val="21"/>
                          </w:rPr>
                        </w:pPr>
                        <w:r>
                          <w:rPr>
                            <w:sz w:val="21"/>
                          </w:rPr>
                          <w:t>110,187,000.00</w:t>
                        </w:r>
                      </w:p>
                    </w:tc>
                    <w:tc>
                      <w:tcPr>
                        <w:tcW w:w="1285" w:type="dxa"/>
                      </w:tcPr>
                      <w:p>
                        <w:pPr>
                          <w:pStyle w:val="TableParagraph"/>
                          <w:spacing w:before="37"/>
                          <w:ind w:right="2"/>
                          <w:jc w:val="right"/>
                          <w:rPr>
                            <w:sz w:val="21"/>
                          </w:rPr>
                        </w:pPr>
                        <w:r>
                          <w:rPr>
                            <w:sz w:val="21"/>
                          </w:rPr>
                          <w:t>0.63</w:t>
                        </w:r>
                      </w:p>
                    </w:tc>
                  </w:tr>
                </w:tbl>
                <w:p>
                  <w:pPr>
                    <w:pStyle w:val="BodyText"/>
                  </w:pPr>
                </w:p>
              </w:txbxContent>
            </v:textbox>
            <w10:wrap type="none"/>
          </v:shape>
        </w:pict>
      </w:r>
      <w:r>
        <w:rPr/>
        <w:t>报告期末按公允价值占基金资产净值比例大小排序的前五名债券投资明细</w:t>
      </w:r>
    </w:p>
    <w:p>
      <w:pPr>
        <w:pStyle w:val="BodyText"/>
        <w:spacing w:before="4"/>
        <w:rPr>
          <w:b/>
          <w:sz w:val="34"/>
        </w:rPr>
      </w:pPr>
    </w:p>
    <w:p>
      <w:pPr>
        <w:pStyle w:val="BodyText"/>
        <w:ind w:right="788"/>
        <w:jc w:val="right"/>
      </w:pPr>
      <w:r>
        <w:rPr>
          <w:w w:val="10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pStyle w:val="Heading3"/>
        <w:numPr>
          <w:ilvl w:val="0"/>
          <w:numId w:val="27"/>
        </w:numPr>
        <w:tabs>
          <w:tab w:pos="1105" w:val="left" w:leader="none"/>
        </w:tabs>
        <w:spacing w:line="364" w:lineRule="auto" w:before="0" w:after="0"/>
        <w:ind w:left="1294" w:right="991" w:hanging="454"/>
        <w:jc w:val="left"/>
      </w:pPr>
      <w:r>
        <w:rPr>
          <w:spacing w:val="-1"/>
        </w:rPr>
        <w:t>报告期末按公允价值占基金资产净值比例大小排序的前十名资产支持证券投</w:t>
      </w:r>
      <w:r>
        <w:rPr/>
        <w:t>资明细</w:t>
      </w:r>
    </w:p>
    <w:p>
      <w:pPr>
        <w:pStyle w:val="BodyText"/>
        <w:spacing w:before="22"/>
        <w:ind w:left="1260"/>
      </w:pPr>
      <w:r>
        <w:rPr/>
        <w:t>本基金本报告期末未持有资产支持证券。</w:t>
      </w:r>
    </w:p>
    <w:p>
      <w:pPr>
        <w:pStyle w:val="BodyText"/>
        <w:spacing w:before="1"/>
        <w:rPr>
          <w:sz w:val="26"/>
        </w:rPr>
      </w:pPr>
    </w:p>
    <w:p>
      <w:pPr>
        <w:pStyle w:val="Heading3"/>
        <w:numPr>
          <w:ilvl w:val="0"/>
          <w:numId w:val="27"/>
        </w:numPr>
        <w:tabs>
          <w:tab w:pos="1105" w:val="left" w:leader="none"/>
        </w:tabs>
        <w:spacing w:line="240" w:lineRule="auto" w:before="1" w:after="0"/>
        <w:ind w:left="1104" w:right="0" w:hanging="265"/>
        <w:jc w:val="left"/>
      </w:pPr>
      <w:r>
        <w:rPr/>
        <w:t>报告期末按公允价值占基金资产净值比例大小排序的前五名贵金属投资明细</w:t>
      </w:r>
    </w:p>
    <w:p>
      <w:pPr>
        <w:pStyle w:val="BodyText"/>
        <w:spacing w:before="180"/>
        <w:ind w:left="1260"/>
      </w:pPr>
      <w:r>
        <w:rPr/>
        <w:t>本基金本报告期末未持有贵金属。</w:t>
      </w:r>
    </w:p>
    <w:p>
      <w:pPr>
        <w:pStyle w:val="BodyText"/>
        <w:spacing w:before="2"/>
        <w:rPr>
          <w:sz w:val="26"/>
        </w:rPr>
      </w:pPr>
    </w:p>
    <w:p>
      <w:pPr>
        <w:pStyle w:val="Heading3"/>
        <w:numPr>
          <w:ilvl w:val="0"/>
          <w:numId w:val="27"/>
        </w:numPr>
        <w:tabs>
          <w:tab w:pos="1105" w:val="left" w:leader="none"/>
        </w:tabs>
        <w:spacing w:line="240" w:lineRule="auto" w:before="0" w:after="0"/>
        <w:ind w:left="1104" w:right="0" w:hanging="265"/>
        <w:jc w:val="left"/>
      </w:pPr>
      <w:r>
        <w:rPr/>
        <w:t>报告期末按公允价值占基金资产净值比例大小排序的前五名权证投资明细</w:t>
      </w:r>
    </w:p>
    <w:p>
      <w:pPr>
        <w:pStyle w:val="BodyText"/>
        <w:spacing w:before="181"/>
        <w:ind w:left="1260"/>
      </w:pPr>
      <w:r>
        <w:rPr/>
        <w:t>本基金本报告期末未持有权证。</w:t>
      </w:r>
    </w:p>
    <w:p>
      <w:pPr>
        <w:pStyle w:val="BodyText"/>
        <w:spacing w:before="1"/>
        <w:rPr>
          <w:sz w:val="26"/>
        </w:rPr>
      </w:pPr>
    </w:p>
    <w:p>
      <w:pPr>
        <w:pStyle w:val="Heading3"/>
        <w:numPr>
          <w:ilvl w:val="0"/>
          <w:numId w:val="27"/>
        </w:numPr>
        <w:tabs>
          <w:tab w:pos="1105" w:val="left" w:leader="none"/>
        </w:tabs>
        <w:spacing w:line="240" w:lineRule="auto" w:before="1" w:after="0"/>
        <w:ind w:left="1104" w:right="0" w:hanging="265"/>
        <w:jc w:val="left"/>
      </w:pPr>
      <w:r>
        <w:rPr/>
        <w:t>报告期末本基金投资的股指期货交易情况说明</w:t>
      </w:r>
    </w:p>
    <w:p>
      <w:pPr>
        <w:spacing w:after="0" w:line="240" w:lineRule="auto"/>
        <w:jc w:val="left"/>
        <w:sectPr>
          <w:pgSz w:w="11910" w:h="16840"/>
          <w:pgMar w:header="877" w:footer="995" w:top="1100" w:bottom="1180" w:left="960" w:right="900"/>
        </w:sectPr>
      </w:pPr>
    </w:p>
    <w:p>
      <w:pPr>
        <w:pStyle w:val="BodyText"/>
        <w:spacing w:before="5"/>
        <w:rPr>
          <w:b/>
          <w:sz w:val="24"/>
        </w:rPr>
      </w:pPr>
    </w:p>
    <w:p>
      <w:pPr>
        <w:pStyle w:val="Heading3"/>
        <w:numPr>
          <w:ilvl w:val="1"/>
          <w:numId w:val="27"/>
        </w:numPr>
        <w:tabs>
          <w:tab w:pos="1246" w:val="left" w:leader="none"/>
        </w:tabs>
        <w:spacing w:line="240" w:lineRule="auto" w:before="88" w:after="0"/>
        <w:ind w:left="1246" w:right="0" w:hanging="406"/>
        <w:jc w:val="left"/>
        <w:rPr>
          <w:rFonts w:ascii="Cambria" w:eastAsia="Cambria"/>
        </w:rPr>
      </w:pPr>
      <w:r>
        <w:rPr/>
        <w:t>报告期末本基金投资的股指期货持仓和损益明细</w:t>
      </w:r>
    </w:p>
    <w:p>
      <w:pPr>
        <w:pStyle w:val="BodyText"/>
        <w:spacing w:before="83"/>
        <w:ind w:left="1260"/>
      </w:pPr>
      <w:r>
        <w:rPr/>
        <w:t>本基金本报告期末未持有股指期货。</w:t>
      </w:r>
    </w:p>
    <w:p>
      <w:pPr>
        <w:pStyle w:val="BodyText"/>
        <w:spacing w:before="1"/>
        <w:rPr>
          <w:sz w:val="29"/>
        </w:rPr>
      </w:pPr>
    </w:p>
    <w:p>
      <w:pPr>
        <w:pStyle w:val="Heading3"/>
        <w:numPr>
          <w:ilvl w:val="1"/>
          <w:numId w:val="27"/>
        </w:numPr>
        <w:tabs>
          <w:tab w:pos="1246" w:val="left" w:leader="none"/>
        </w:tabs>
        <w:spacing w:line="240" w:lineRule="auto" w:before="0" w:after="0"/>
        <w:ind w:left="1246" w:right="0" w:hanging="406"/>
        <w:jc w:val="left"/>
        <w:rPr>
          <w:rFonts w:ascii="Cambria" w:eastAsia="Cambria"/>
        </w:rPr>
      </w:pPr>
      <w:r>
        <w:rPr/>
        <w:t>本基金投资股指期货的投资政策</w:t>
      </w:r>
    </w:p>
    <w:p>
      <w:pPr>
        <w:pStyle w:val="BodyText"/>
        <w:spacing w:before="181"/>
        <w:ind w:left="1260"/>
      </w:pPr>
      <w:r>
        <w:rPr/>
        <w:t>根据本基金基金合同约定，本基金投资范围不包括股指期货。</w:t>
      </w:r>
    </w:p>
    <w:p>
      <w:pPr>
        <w:pStyle w:val="BodyText"/>
        <w:spacing w:before="1"/>
        <w:rPr>
          <w:sz w:val="26"/>
        </w:rPr>
      </w:pPr>
    </w:p>
    <w:p>
      <w:pPr>
        <w:pStyle w:val="Heading3"/>
        <w:numPr>
          <w:ilvl w:val="0"/>
          <w:numId w:val="27"/>
        </w:numPr>
        <w:tabs>
          <w:tab w:pos="1246" w:val="left" w:leader="none"/>
        </w:tabs>
        <w:spacing w:line="240" w:lineRule="auto" w:before="1" w:after="0"/>
        <w:ind w:left="1246" w:right="0" w:hanging="406"/>
        <w:jc w:val="left"/>
      </w:pPr>
      <w:r>
        <w:rPr/>
        <w:t>报告期末本基金投资的国债期货交易情况说明</w:t>
      </w:r>
    </w:p>
    <w:p>
      <w:pPr>
        <w:pStyle w:val="BodyText"/>
        <w:spacing w:before="8"/>
        <w:rPr>
          <w:b/>
          <w:sz w:val="24"/>
        </w:rPr>
      </w:pPr>
    </w:p>
    <w:p>
      <w:pPr>
        <w:pStyle w:val="Heading3"/>
        <w:numPr>
          <w:ilvl w:val="1"/>
          <w:numId w:val="27"/>
        </w:numPr>
        <w:tabs>
          <w:tab w:pos="1390" w:val="left" w:leader="none"/>
        </w:tabs>
        <w:spacing w:line="240" w:lineRule="auto" w:before="1" w:after="0"/>
        <w:ind w:left="1390" w:right="0" w:hanging="550"/>
        <w:jc w:val="left"/>
        <w:rPr>
          <w:rFonts w:ascii="Cambria" w:eastAsia="Cambria"/>
        </w:rPr>
      </w:pPr>
      <w:r>
        <w:rPr/>
        <w:t>本期国债期货投资政策</w:t>
      </w:r>
    </w:p>
    <w:p>
      <w:pPr>
        <w:pStyle w:val="BodyText"/>
        <w:spacing w:before="181"/>
        <w:ind w:left="1260"/>
      </w:pPr>
      <w:r>
        <w:rPr/>
        <w:t>根据本基金基金合同约定，本基金投资范围不包括国债期货。</w:t>
      </w:r>
    </w:p>
    <w:p>
      <w:pPr>
        <w:pStyle w:val="BodyText"/>
        <w:spacing w:before="1"/>
        <w:rPr>
          <w:sz w:val="26"/>
        </w:rPr>
      </w:pPr>
    </w:p>
    <w:p>
      <w:pPr>
        <w:pStyle w:val="Heading3"/>
        <w:numPr>
          <w:ilvl w:val="1"/>
          <w:numId w:val="27"/>
        </w:numPr>
        <w:tabs>
          <w:tab w:pos="1390" w:val="left" w:leader="none"/>
        </w:tabs>
        <w:spacing w:line="240" w:lineRule="auto" w:before="1" w:after="0"/>
        <w:ind w:left="1390" w:right="0" w:hanging="550"/>
        <w:jc w:val="left"/>
        <w:rPr>
          <w:rFonts w:ascii="Cambria" w:eastAsia="Cambria"/>
        </w:rPr>
      </w:pPr>
      <w:r>
        <w:rPr/>
        <w:t>报告期末本基金投资的国债期货持仓和损益明细</w:t>
      </w:r>
    </w:p>
    <w:p>
      <w:pPr>
        <w:pStyle w:val="BodyText"/>
        <w:spacing w:before="82"/>
        <w:ind w:left="1260"/>
      </w:pPr>
      <w:r>
        <w:rPr>
          <w:spacing w:val="-3"/>
        </w:rPr>
        <w:t>本基金本报告期末未持有国债期货。</w:t>
      </w:r>
    </w:p>
    <w:p>
      <w:pPr>
        <w:pStyle w:val="BodyText"/>
        <w:spacing w:before="1"/>
        <w:rPr>
          <w:sz w:val="29"/>
        </w:rPr>
      </w:pPr>
    </w:p>
    <w:p>
      <w:pPr>
        <w:pStyle w:val="Heading3"/>
        <w:numPr>
          <w:ilvl w:val="1"/>
          <w:numId w:val="27"/>
        </w:numPr>
        <w:tabs>
          <w:tab w:pos="1390" w:val="left" w:leader="none"/>
        </w:tabs>
        <w:spacing w:line="240" w:lineRule="auto" w:before="0" w:after="0"/>
        <w:ind w:left="1390" w:right="0" w:hanging="550"/>
        <w:jc w:val="left"/>
        <w:rPr>
          <w:rFonts w:ascii="Cambria" w:eastAsia="Cambria"/>
        </w:rPr>
      </w:pPr>
      <w:r>
        <w:rPr>
          <w:w w:val="95"/>
        </w:rPr>
        <w:t>本期国债期货投资评价</w:t>
      </w:r>
    </w:p>
    <w:p>
      <w:pPr>
        <w:pStyle w:val="BodyText"/>
        <w:spacing w:before="181"/>
        <w:ind w:left="1260"/>
      </w:pPr>
      <w:r>
        <w:rPr>
          <w:spacing w:val="-3"/>
        </w:rPr>
        <w:t>本基金本报告期末未持有国债期货。</w:t>
      </w:r>
    </w:p>
    <w:p>
      <w:pPr>
        <w:pStyle w:val="BodyText"/>
        <w:spacing w:before="1"/>
        <w:rPr>
          <w:sz w:val="26"/>
        </w:rPr>
      </w:pPr>
    </w:p>
    <w:p>
      <w:pPr>
        <w:pStyle w:val="Heading3"/>
        <w:numPr>
          <w:ilvl w:val="0"/>
          <w:numId w:val="27"/>
        </w:numPr>
        <w:tabs>
          <w:tab w:pos="1246" w:val="left" w:leader="none"/>
        </w:tabs>
        <w:spacing w:line="240" w:lineRule="auto" w:before="1" w:after="0"/>
        <w:ind w:left="1246" w:right="0" w:hanging="406"/>
        <w:jc w:val="left"/>
      </w:pPr>
      <w:r>
        <w:rPr/>
        <w:t>投资组合报告附注</w:t>
      </w:r>
    </w:p>
    <w:p>
      <w:pPr>
        <w:pStyle w:val="BodyText"/>
        <w:spacing w:before="9"/>
        <w:rPr>
          <w:b/>
          <w:sz w:val="24"/>
        </w:rPr>
      </w:pPr>
    </w:p>
    <w:p>
      <w:pPr>
        <w:pStyle w:val="Heading3"/>
        <w:numPr>
          <w:ilvl w:val="1"/>
          <w:numId w:val="27"/>
        </w:numPr>
        <w:tabs>
          <w:tab w:pos="1390" w:val="left" w:leader="none"/>
        </w:tabs>
        <w:spacing w:line="364" w:lineRule="auto" w:before="0" w:after="0"/>
        <w:ind w:left="840" w:right="946" w:firstLine="0"/>
        <w:jc w:val="left"/>
        <w:rPr>
          <w:rFonts w:ascii="Cambria" w:eastAsia="Cambria"/>
        </w:rPr>
      </w:pPr>
      <w:r>
        <w:rPr>
          <w:spacing w:val="-1"/>
        </w:rPr>
        <w:t>本基金投资的前十名证券的发行主体本期是否出现被监管部门立案调查， </w:t>
      </w:r>
      <w:r>
        <w:rPr/>
        <w:t>或在报告编制日前一年内受到公开谴责、处罚的情形。</w:t>
      </w:r>
    </w:p>
    <w:p>
      <w:pPr>
        <w:pStyle w:val="BodyText"/>
        <w:spacing w:line="417" w:lineRule="auto" w:before="22"/>
        <w:ind w:left="840" w:right="894" w:firstLine="419"/>
      </w:pPr>
      <w:r>
        <w:rPr/>
        <w:t>本报告期内未出现基金投资的前十名证券的发行主体被监管部门立案调查或者在报告编制日前一年内受到公开谴责、处罚的情况。</w:t>
      </w:r>
    </w:p>
    <w:p>
      <w:pPr>
        <w:pStyle w:val="Heading3"/>
        <w:numPr>
          <w:ilvl w:val="1"/>
          <w:numId w:val="27"/>
        </w:numPr>
        <w:tabs>
          <w:tab w:pos="1390" w:val="left" w:leader="none"/>
        </w:tabs>
        <w:spacing w:line="240" w:lineRule="auto" w:before="135" w:after="0"/>
        <w:ind w:left="1390" w:right="0" w:hanging="550"/>
        <w:jc w:val="left"/>
        <w:rPr>
          <w:rFonts w:ascii="Cambria" w:eastAsia="Cambria"/>
        </w:rPr>
      </w:pPr>
      <w:r>
        <w:rPr/>
        <w:t>基金投资的前十名股票是否超出基金合同规定的备选股票库。</w:t>
      </w:r>
    </w:p>
    <w:p>
      <w:pPr>
        <w:pStyle w:val="BodyText"/>
        <w:spacing w:before="181"/>
        <w:ind w:left="1260"/>
      </w:pPr>
      <w:r>
        <w:rPr/>
        <w:t>本基金投资的前十名股票未超出基金合同规定的备选股票库。</w:t>
      </w:r>
    </w:p>
    <w:p>
      <w:pPr>
        <w:pStyle w:val="BodyText"/>
        <w:spacing w:before="2"/>
        <w:rPr>
          <w:sz w:val="26"/>
        </w:rPr>
      </w:pPr>
    </w:p>
    <w:p>
      <w:pPr>
        <w:pStyle w:val="Heading3"/>
        <w:numPr>
          <w:ilvl w:val="1"/>
          <w:numId w:val="27"/>
        </w:numPr>
        <w:tabs>
          <w:tab w:pos="1390" w:val="left" w:leader="none"/>
        </w:tabs>
        <w:spacing w:line="240" w:lineRule="auto" w:before="0" w:after="0"/>
        <w:ind w:left="1390" w:right="0" w:hanging="550"/>
        <w:jc w:val="left"/>
        <w:rPr>
          <w:rFonts w:ascii="Cambria" w:eastAsia="Cambria"/>
        </w:rPr>
      </w:pPr>
      <w:r>
        <w:rPr/>
        <w:t>其他资产构成</w:t>
      </w:r>
    </w:p>
    <w:p>
      <w:pPr>
        <w:pStyle w:val="BodyText"/>
        <w:spacing w:before="4"/>
        <w:rPr>
          <w:b/>
          <w:sz w:val="6"/>
        </w:rPr>
      </w:pPr>
    </w:p>
    <w:tbl>
      <w:tblPr>
        <w:tblW w:w="0" w:type="auto"/>
        <w:jc w:val="left"/>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6"/>
        <w:gridCol w:w="2127"/>
        <w:gridCol w:w="5343"/>
      </w:tblGrid>
      <w:tr>
        <w:trPr>
          <w:trHeight w:val="330" w:hRule="atLeast"/>
        </w:trPr>
        <w:tc>
          <w:tcPr>
            <w:tcW w:w="866" w:type="dxa"/>
            <w:shd w:val="clear" w:color="auto" w:fill="D9D9D9"/>
          </w:tcPr>
          <w:p>
            <w:pPr>
              <w:pStyle w:val="TableParagraph"/>
              <w:spacing w:before="39"/>
              <w:ind w:left="201" w:right="194"/>
              <w:jc w:val="center"/>
              <w:rPr>
                <w:sz w:val="21"/>
              </w:rPr>
            </w:pPr>
            <w:r>
              <w:rPr>
                <w:sz w:val="21"/>
              </w:rPr>
              <w:t>序号</w:t>
            </w:r>
          </w:p>
        </w:tc>
        <w:tc>
          <w:tcPr>
            <w:tcW w:w="2127" w:type="dxa"/>
            <w:shd w:val="clear" w:color="auto" w:fill="D9D9D9"/>
          </w:tcPr>
          <w:p>
            <w:pPr>
              <w:pStyle w:val="TableParagraph"/>
              <w:spacing w:before="39"/>
              <w:ind w:left="833" w:right="824"/>
              <w:jc w:val="center"/>
              <w:rPr>
                <w:sz w:val="21"/>
              </w:rPr>
            </w:pPr>
            <w:r>
              <w:rPr>
                <w:sz w:val="21"/>
              </w:rPr>
              <w:t>名称</w:t>
            </w:r>
          </w:p>
        </w:tc>
        <w:tc>
          <w:tcPr>
            <w:tcW w:w="5343" w:type="dxa"/>
            <w:shd w:val="clear" w:color="auto" w:fill="D9D9D9"/>
          </w:tcPr>
          <w:p>
            <w:pPr>
              <w:pStyle w:val="TableParagraph"/>
              <w:spacing w:before="39"/>
              <w:ind w:left="2127" w:right="2115"/>
              <w:jc w:val="center"/>
              <w:rPr>
                <w:sz w:val="21"/>
              </w:rPr>
            </w:pPr>
            <w:r>
              <w:rPr>
                <w:sz w:val="21"/>
              </w:rPr>
              <w:t>金额（元）</w:t>
            </w:r>
          </w:p>
        </w:tc>
      </w:tr>
      <w:tr>
        <w:trPr>
          <w:trHeight w:val="326" w:hRule="atLeast"/>
        </w:trPr>
        <w:tc>
          <w:tcPr>
            <w:tcW w:w="866" w:type="dxa"/>
          </w:tcPr>
          <w:p>
            <w:pPr>
              <w:pStyle w:val="TableParagraph"/>
              <w:spacing w:before="37"/>
              <w:ind w:left="7"/>
              <w:jc w:val="center"/>
              <w:rPr>
                <w:sz w:val="21"/>
              </w:rPr>
            </w:pPr>
            <w:r>
              <w:rPr>
                <w:w w:val="100"/>
                <w:sz w:val="21"/>
              </w:rPr>
              <w:t>1</w:t>
            </w:r>
          </w:p>
        </w:tc>
        <w:tc>
          <w:tcPr>
            <w:tcW w:w="2127" w:type="dxa"/>
          </w:tcPr>
          <w:p>
            <w:pPr>
              <w:pStyle w:val="TableParagraph"/>
              <w:spacing w:before="37"/>
              <w:ind w:left="14"/>
              <w:rPr>
                <w:sz w:val="21"/>
              </w:rPr>
            </w:pPr>
            <w:r>
              <w:rPr>
                <w:sz w:val="21"/>
              </w:rPr>
              <w:t>存出保证金</w:t>
            </w:r>
          </w:p>
        </w:tc>
        <w:tc>
          <w:tcPr>
            <w:tcW w:w="5343" w:type="dxa"/>
          </w:tcPr>
          <w:p>
            <w:pPr>
              <w:pStyle w:val="TableParagraph"/>
              <w:spacing w:before="37"/>
              <w:ind w:right="1"/>
              <w:jc w:val="right"/>
              <w:rPr>
                <w:sz w:val="21"/>
              </w:rPr>
            </w:pPr>
            <w:r>
              <w:rPr>
                <w:sz w:val="21"/>
              </w:rPr>
              <w:t>1,693,097.37</w:t>
            </w:r>
          </w:p>
        </w:tc>
      </w:tr>
      <w:tr>
        <w:trPr>
          <w:trHeight w:val="328" w:hRule="atLeast"/>
        </w:trPr>
        <w:tc>
          <w:tcPr>
            <w:tcW w:w="866" w:type="dxa"/>
          </w:tcPr>
          <w:p>
            <w:pPr>
              <w:pStyle w:val="TableParagraph"/>
              <w:spacing w:before="39"/>
              <w:ind w:left="7"/>
              <w:jc w:val="center"/>
              <w:rPr>
                <w:sz w:val="21"/>
              </w:rPr>
            </w:pPr>
            <w:r>
              <w:rPr>
                <w:w w:val="100"/>
                <w:sz w:val="21"/>
              </w:rPr>
              <w:t>2</w:t>
            </w:r>
          </w:p>
        </w:tc>
        <w:tc>
          <w:tcPr>
            <w:tcW w:w="2127" w:type="dxa"/>
          </w:tcPr>
          <w:p>
            <w:pPr>
              <w:pStyle w:val="TableParagraph"/>
              <w:spacing w:before="39"/>
              <w:ind w:left="14"/>
              <w:rPr>
                <w:sz w:val="21"/>
              </w:rPr>
            </w:pPr>
            <w:r>
              <w:rPr>
                <w:sz w:val="21"/>
              </w:rPr>
              <w:t>应收证券清算款</w:t>
            </w:r>
          </w:p>
        </w:tc>
        <w:tc>
          <w:tcPr>
            <w:tcW w:w="5343" w:type="dxa"/>
          </w:tcPr>
          <w:p>
            <w:pPr>
              <w:pStyle w:val="TableParagraph"/>
              <w:spacing w:before="39"/>
              <w:ind w:right="1"/>
              <w:jc w:val="right"/>
              <w:rPr>
                <w:sz w:val="21"/>
              </w:rPr>
            </w:pPr>
            <w:r>
              <w:rPr>
                <w:sz w:val="21"/>
              </w:rPr>
              <w:t>110,737,867.64</w:t>
            </w:r>
          </w:p>
        </w:tc>
      </w:tr>
      <w:tr>
        <w:trPr>
          <w:trHeight w:val="325" w:hRule="atLeast"/>
        </w:trPr>
        <w:tc>
          <w:tcPr>
            <w:tcW w:w="866" w:type="dxa"/>
          </w:tcPr>
          <w:p>
            <w:pPr>
              <w:pStyle w:val="TableParagraph"/>
              <w:spacing w:before="37"/>
              <w:ind w:left="7"/>
              <w:jc w:val="center"/>
              <w:rPr>
                <w:sz w:val="21"/>
              </w:rPr>
            </w:pPr>
            <w:r>
              <w:rPr>
                <w:w w:val="100"/>
                <w:sz w:val="21"/>
              </w:rPr>
              <w:t>3</w:t>
            </w:r>
          </w:p>
        </w:tc>
        <w:tc>
          <w:tcPr>
            <w:tcW w:w="2127" w:type="dxa"/>
          </w:tcPr>
          <w:p>
            <w:pPr>
              <w:pStyle w:val="TableParagraph"/>
              <w:spacing w:before="37"/>
              <w:ind w:left="14"/>
              <w:rPr>
                <w:sz w:val="21"/>
              </w:rPr>
            </w:pPr>
            <w:r>
              <w:rPr>
                <w:sz w:val="21"/>
              </w:rPr>
              <w:t>应收股利</w:t>
            </w:r>
          </w:p>
        </w:tc>
        <w:tc>
          <w:tcPr>
            <w:tcW w:w="5343" w:type="dxa"/>
          </w:tcPr>
          <w:p>
            <w:pPr>
              <w:pStyle w:val="TableParagraph"/>
              <w:spacing w:before="37"/>
              <w:ind w:right="1"/>
              <w:jc w:val="right"/>
              <w:rPr>
                <w:sz w:val="21"/>
              </w:rPr>
            </w:pPr>
            <w:r>
              <w:rPr>
                <w:w w:val="100"/>
                <w:sz w:val="21"/>
              </w:rPr>
              <w:t>-</w:t>
            </w:r>
          </w:p>
        </w:tc>
      </w:tr>
      <w:tr>
        <w:trPr>
          <w:trHeight w:val="328" w:hRule="atLeast"/>
        </w:trPr>
        <w:tc>
          <w:tcPr>
            <w:tcW w:w="866" w:type="dxa"/>
          </w:tcPr>
          <w:p>
            <w:pPr>
              <w:pStyle w:val="TableParagraph"/>
              <w:spacing w:before="39"/>
              <w:ind w:left="7"/>
              <w:jc w:val="center"/>
              <w:rPr>
                <w:sz w:val="21"/>
              </w:rPr>
            </w:pPr>
            <w:r>
              <w:rPr>
                <w:w w:val="100"/>
                <w:sz w:val="21"/>
              </w:rPr>
              <w:t>4</w:t>
            </w:r>
          </w:p>
        </w:tc>
        <w:tc>
          <w:tcPr>
            <w:tcW w:w="2127" w:type="dxa"/>
          </w:tcPr>
          <w:p>
            <w:pPr>
              <w:pStyle w:val="TableParagraph"/>
              <w:spacing w:before="39"/>
              <w:ind w:left="14"/>
              <w:rPr>
                <w:sz w:val="21"/>
              </w:rPr>
            </w:pPr>
            <w:r>
              <w:rPr>
                <w:sz w:val="21"/>
              </w:rPr>
              <w:t>应收利息</w:t>
            </w:r>
          </w:p>
        </w:tc>
        <w:tc>
          <w:tcPr>
            <w:tcW w:w="5343" w:type="dxa"/>
          </w:tcPr>
          <w:p>
            <w:pPr>
              <w:pStyle w:val="TableParagraph"/>
              <w:spacing w:before="39"/>
              <w:ind w:right="1"/>
              <w:jc w:val="right"/>
              <w:rPr>
                <w:sz w:val="21"/>
              </w:rPr>
            </w:pPr>
            <w:r>
              <w:rPr>
                <w:sz w:val="21"/>
              </w:rPr>
              <w:t>5,761,030.21</w:t>
            </w:r>
          </w:p>
        </w:tc>
      </w:tr>
      <w:tr>
        <w:trPr>
          <w:trHeight w:val="326" w:hRule="atLeast"/>
        </w:trPr>
        <w:tc>
          <w:tcPr>
            <w:tcW w:w="866" w:type="dxa"/>
          </w:tcPr>
          <w:p>
            <w:pPr>
              <w:pStyle w:val="TableParagraph"/>
              <w:spacing w:before="37"/>
              <w:ind w:left="7"/>
              <w:jc w:val="center"/>
              <w:rPr>
                <w:sz w:val="21"/>
              </w:rPr>
            </w:pPr>
            <w:r>
              <w:rPr>
                <w:w w:val="100"/>
                <w:sz w:val="21"/>
              </w:rPr>
              <w:t>5</w:t>
            </w:r>
          </w:p>
        </w:tc>
        <w:tc>
          <w:tcPr>
            <w:tcW w:w="2127" w:type="dxa"/>
          </w:tcPr>
          <w:p>
            <w:pPr>
              <w:pStyle w:val="TableParagraph"/>
              <w:spacing w:before="37"/>
              <w:ind w:left="14"/>
              <w:rPr>
                <w:sz w:val="21"/>
              </w:rPr>
            </w:pPr>
            <w:r>
              <w:rPr>
                <w:sz w:val="21"/>
              </w:rPr>
              <w:t>应收申购款</w:t>
            </w:r>
          </w:p>
        </w:tc>
        <w:tc>
          <w:tcPr>
            <w:tcW w:w="5343" w:type="dxa"/>
          </w:tcPr>
          <w:p>
            <w:pPr>
              <w:pStyle w:val="TableParagraph"/>
              <w:spacing w:before="37"/>
              <w:ind w:right="1"/>
              <w:jc w:val="right"/>
              <w:rPr>
                <w:sz w:val="21"/>
              </w:rPr>
            </w:pPr>
            <w:r>
              <w:rPr>
                <w:sz w:val="21"/>
              </w:rPr>
              <w:t>98,835,454.79</w:t>
            </w:r>
          </w:p>
        </w:tc>
      </w:tr>
      <w:tr>
        <w:trPr>
          <w:trHeight w:val="328" w:hRule="atLeast"/>
        </w:trPr>
        <w:tc>
          <w:tcPr>
            <w:tcW w:w="866" w:type="dxa"/>
          </w:tcPr>
          <w:p>
            <w:pPr>
              <w:pStyle w:val="TableParagraph"/>
              <w:spacing w:before="39"/>
              <w:ind w:left="7"/>
              <w:jc w:val="center"/>
              <w:rPr>
                <w:sz w:val="21"/>
              </w:rPr>
            </w:pPr>
            <w:r>
              <w:rPr>
                <w:w w:val="100"/>
                <w:sz w:val="21"/>
              </w:rPr>
              <w:t>6</w:t>
            </w:r>
          </w:p>
        </w:tc>
        <w:tc>
          <w:tcPr>
            <w:tcW w:w="2127" w:type="dxa"/>
          </w:tcPr>
          <w:p>
            <w:pPr>
              <w:pStyle w:val="TableParagraph"/>
              <w:spacing w:before="39"/>
              <w:ind w:left="14"/>
              <w:rPr>
                <w:sz w:val="21"/>
              </w:rPr>
            </w:pPr>
            <w:r>
              <w:rPr>
                <w:sz w:val="21"/>
              </w:rPr>
              <w:t>其他应收款</w:t>
            </w:r>
          </w:p>
        </w:tc>
        <w:tc>
          <w:tcPr>
            <w:tcW w:w="5343" w:type="dxa"/>
          </w:tcPr>
          <w:p>
            <w:pPr>
              <w:pStyle w:val="TableParagraph"/>
              <w:spacing w:before="39"/>
              <w:ind w:right="1"/>
              <w:jc w:val="right"/>
              <w:rPr>
                <w:sz w:val="21"/>
              </w:rPr>
            </w:pPr>
            <w:r>
              <w:rPr>
                <w:w w:val="100"/>
                <w:sz w:val="21"/>
              </w:rPr>
              <w:t>-</w:t>
            </w:r>
          </w:p>
        </w:tc>
      </w:tr>
      <w:tr>
        <w:trPr>
          <w:trHeight w:val="326" w:hRule="atLeast"/>
        </w:trPr>
        <w:tc>
          <w:tcPr>
            <w:tcW w:w="866" w:type="dxa"/>
          </w:tcPr>
          <w:p>
            <w:pPr>
              <w:pStyle w:val="TableParagraph"/>
              <w:spacing w:before="37"/>
              <w:ind w:left="7"/>
              <w:jc w:val="center"/>
              <w:rPr>
                <w:sz w:val="21"/>
              </w:rPr>
            </w:pPr>
            <w:r>
              <w:rPr>
                <w:w w:val="100"/>
                <w:sz w:val="21"/>
              </w:rPr>
              <w:t>7</w:t>
            </w:r>
          </w:p>
        </w:tc>
        <w:tc>
          <w:tcPr>
            <w:tcW w:w="2127" w:type="dxa"/>
          </w:tcPr>
          <w:p>
            <w:pPr>
              <w:pStyle w:val="TableParagraph"/>
              <w:spacing w:before="37"/>
              <w:ind w:left="14"/>
              <w:rPr>
                <w:sz w:val="21"/>
              </w:rPr>
            </w:pPr>
            <w:r>
              <w:rPr>
                <w:sz w:val="21"/>
              </w:rPr>
              <w:t>待摊费用</w:t>
            </w:r>
          </w:p>
        </w:tc>
        <w:tc>
          <w:tcPr>
            <w:tcW w:w="5343" w:type="dxa"/>
          </w:tcPr>
          <w:p>
            <w:pPr>
              <w:pStyle w:val="TableParagraph"/>
              <w:spacing w:before="37"/>
              <w:ind w:right="1"/>
              <w:jc w:val="right"/>
              <w:rPr>
                <w:sz w:val="21"/>
              </w:rPr>
            </w:pPr>
            <w:r>
              <w:rPr>
                <w:w w:val="100"/>
                <w:sz w:val="21"/>
              </w:rPr>
              <w:t>-</w:t>
            </w:r>
          </w:p>
        </w:tc>
      </w:tr>
      <w:tr>
        <w:trPr>
          <w:trHeight w:val="326" w:hRule="atLeast"/>
        </w:trPr>
        <w:tc>
          <w:tcPr>
            <w:tcW w:w="866" w:type="dxa"/>
          </w:tcPr>
          <w:p>
            <w:pPr>
              <w:pStyle w:val="TableParagraph"/>
              <w:spacing w:before="37"/>
              <w:ind w:left="7"/>
              <w:jc w:val="center"/>
              <w:rPr>
                <w:sz w:val="21"/>
              </w:rPr>
            </w:pPr>
            <w:r>
              <w:rPr>
                <w:w w:val="100"/>
                <w:sz w:val="21"/>
              </w:rPr>
              <w:t>8</w:t>
            </w:r>
          </w:p>
        </w:tc>
        <w:tc>
          <w:tcPr>
            <w:tcW w:w="2127" w:type="dxa"/>
          </w:tcPr>
          <w:p>
            <w:pPr>
              <w:pStyle w:val="TableParagraph"/>
              <w:spacing w:before="37"/>
              <w:ind w:left="14"/>
              <w:rPr>
                <w:sz w:val="21"/>
              </w:rPr>
            </w:pPr>
            <w:r>
              <w:rPr>
                <w:sz w:val="21"/>
              </w:rPr>
              <w:t>其他</w:t>
            </w:r>
          </w:p>
        </w:tc>
        <w:tc>
          <w:tcPr>
            <w:tcW w:w="5343" w:type="dxa"/>
          </w:tcPr>
          <w:p>
            <w:pPr>
              <w:pStyle w:val="TableParagraph"/>
              <w:spacing w:before="37"/>
              <w:ind w:right="1"/>
              <w:jc w:val="right"/>
              <w:rPr>
                <w:sz w:val="21"/>
              </w:rPr>
            </w:pPr>
            <w:r>
              <w:rPr>
                <w:w w:val="100"/>
                <w:sz w:val="21"/>
              </w:rPr>
              <w:t>-</w:t>
            </w:r>
          </w:p>
        </w:tc>
      </w:tr>
      <w:tr>
        <w:trPr>
          <w:trHeight w:val="328" w:hRule="atLeast"/>
        </w:trPr>
        <w:tc>
          <w:tcPr>
            <w:tcW w:w="866" w:type="dxa"/>
          </w:tcPr>
          <w:p>
            <w:pPr>
              <w:pStyle w:val="TableParagraph"/>
              <w:spacing w:before="39"/>
              <w:ind w:left="7"/>
              <w:jc w:val="center"/>
              <w:rPr>
                <w:sz w:val="21"/>
              </w:rPr>
            </w:pPr>
            <w:r>
              <w:rPr>
                <w:w w:val="100"/>
                <w:sz w:val="21"/>
              </w:rPr>
              <w:t>9</w:t>
            </w:r>
          </w:p>
        </w:tc>
        <w:tc>
          <w:tcPr>
            <w:tcW w:w="2127" w:type="dxa"/>
          </w:tcPr>
          <w:p>
            <w:pPr>
              <w:pStyle w:val="TableParagraph"/>
              <w:spacing w:before="39"/>
              <w:ind w:left="14"/>
              <w:rPr>
                <w:sz w:val="21"/>
              </w:rPr>
            </w:pPr>
            <w:r>
              <w:rPr>
                <w:sz w:val="21"/>
              </w:rPr>
              <w:t>合计</w:t>
            </w:r>
          </w:p>
        </w:tc>
        <w:tc>
          <w:tcPr>
            <w:tcW w:w="5343" w:type="dxa"/>
          </w:tcPr>
          <w:p>
            <w:pPr>
              <w:pStyle w:val="TableParagraph"/>
              <w:spacing w:before="39"/>
              <w:ind w:right="1"/>
              <w:jc w:val="right"/>
              <w:rPr>
                <w:sz w:val="21"/>
              </w:rPr>
            </w:pPr>
            <w:r>
              <w:rPr>
                <w:sz w:val="21"/>
              </w:rPr>
              <w:t>217,027,450.01</w:t>
            </w:r>
          </w:p>
        </w:tc>
      </w:tr>
    </w:tbl>
    <w:p>
      <w:pPr>
        <w:spacing w:after="0"/>
        <w:jc w:val="right"/>
        <w:rPr>
          <w:sz w:val="21"/>
        </w:rPr>
        <w:sectPr>
          <w:pgSz w:w="11910" w:h="16840"/>
          <w:pgMar w:header="877" w:footer="995" w:top="1100" w:bottom="1180" w:left="960" w:right="900"/>
        </w:sectPr>
      </w:pPr>
    </w:p>
    <w:p>
      <w:pPr>
        <w:pStyle w:val="BodyText"/>
        <w:spacing w:before="5"/>
        <w:rPr>
          <w:b/>
          <w:sz w:val="24"/>
        </w:rPr>
      </w:pPr>
    </w:p>
    <w:p>
      <w:pPr>
        <w:pStyle w:val="Heading3"/>
        <w:numPr>
          <w:ilvl w:val="1"/>
          <w:numId w:val="27"/>
        </w:numPr>
        <w:tabs>
          <w:tab w:pos="1390" w:val="left" w:leader="none"/>
        </w:tabs>
        <w:spacing w:line="240" w:lineRule="auto" w:before="88" w:after="0"/>
        <w:ind w:left="1390" w:right="0" w:hanging="550"/>
        <w:jc w:val="left"/>
        <w:rPr>
          <w:rFonts w:ascii="Cambria" w:eastAsia="Cambria"/>
        </w:rPr>
      </w:pPr>
      <w:r>
        <w:rPr/>
        <w:t>报告期末持有的处于转股期的可转换债券明细</w:t>
      </w:r>
    </w:p>
    <w:p>
      <w:pPr>
        <w:pStyle w:val="BodyText"/>
        <w:spacing w:before="181"/>
        <w:ind w:left="1260"/>
      </w:pPr>
      <w:r>
        <w:rPr/>
        <w:t>本基金本报告期末未持有处于转股期的可转换债券。</w:t>
      </w:r>
    </w:p>
    <w:p>
      <w:pPr>
        <w:pStyle w:val="BodyText"/>
        <w:spacing w:before="2"/>
        <w:rPr>
          <w:sz w:val="26"/>
        </w:rPr>
      </w:pPr>
    </w:p>
    <w:p>
      <w:pPr>
        <w:pStyle w:val="Heading3"/>
        <w:numPr>
          <w:ilvl w:val="1"/>
          <w:numId w:val="27"/>
        </w:numPr>
        <w:tabs>
          <w:tab w:pos="1390" w:val="left" w:leader="none"/>
        </w:tabs>
        <w:spacing w:line="240" w:lineRule="auto" w:before="0" w:after="0"/>
        <w:ind w:left="1390" w:right="0" w:hanging="550"/>
        <w:jc w:val="left"/>
        <w:rPr>
          <w:rFonts w:ascii="Cambria" w:eastAsia="Cambria"/>
        </w:rPr>
      </w:pPr>
      <w:r>
        <w:rPr/>
        <w:t>报告期末前十名股票中存在流通受限情况的说明</w:t>
      </w:r>
    </w:p>
    <w:p>
      <w:pPr>
        <w:pStyle w:val="BodyText"/>
        <w:spacing w:before="181"/>
        <w:ind w:left="1260"/>
      </w:pPr>
      <w:r>
        <w:rPr/>
        <w:t>本基金本报告期末前十名股票中不存在流通受限的情况。</w:t>
      </w:r>
    </w:p>
    <w:p>
      <w:pPr>
        <w:pStyle w:val="BodyText"/>
        <w:spacing w:before="1"/>
        <w:rPr>
          <w:sz w:val="26"/>
        </w:rPr>
      </w:pPr>
    </w:p>
    <w:p>
      <w:pPr>
        <w:pStyle w:val="Heading3"/>
        <w:numPr>
          <w:ilvl w:val="1"/>
          <w:numId w:val="27"/>
        </w:numPr>
        <w:tabs>
          <w:tab w:pos="1321" w:val="left" w:leader="none"/>
        </w:tabs>
        <w:spacing w:line="240" w:lineRule="auto" w:before="0" w:after="0"/>
        <w:ind w:left="1320" w:right="0" w:hanging="481"/>
        <w:jc w:val="left"/>
        <w:rPr>
          <w:rFonts w:ascii="Cambria" w:eastAsia="Cambria"/>
          <w:sz w:val="21"/>
        </w:rPr>
      </w:pPr>
      <w:r>
        <w:rPr/>
        <w:t>投资组合报告附注的其他文字描述部分</w:t>
      </w:r>
    </w:p>
    <w:p>
      <w:pPr>
        <w:pStyle w:val="BodyText"/>
        <w:spacing w:before="181"/>
        <w:ind w:left="840"/>
      </w:pPr>
      <w:r>
        <w:rPr/>
        <w:t>无。</w:t>
      </w:r>
    </w:p>
    <w:p>
      <w:pPr>
        <w:pStyle w:val="BodyText"/>
        <w:rPr>
          <w:sz w:val="20"/>
        </w:rPr>
      </w:pPr>
    </w:p>
    <w:p>
      <w:pPr>
        <w:pStyle w:val="BodyText"/>
        <w:rPr>
          <w:sz w:val="20"/>
        </w:rPr>
      </w:pPr>
    </w:p>
    <w:p>
      <w:pPr>
        <w:pStyle w:val="BodyText"/>
        <w:spacing w:before="12"/>
        <w:rPr>
          <w:sz w:val="26"/>
        </w:rPr>
      </w:pPr>
    </w:p>
    <w:p>
      <w:pPr>
        <w:pStyle w:val="Heading1"/>
        <w:spacing w:before="0"/>
        <w:ind w:right="1351"/>
      </w:pPr>
      <w:bookmarkStart w:name="_TOC_250015" w:id="9"/>
      <w:bookmarkEnd w:id="9"/>
      <w:r>
        <w:rPr/>
        <w:t>九、基金的融资</w:t>
      </w:r>
    </w:p>
    <w:p>
      <w:pPr>
        <w:pStyle w:val="BodyText"/>
        <w:spacing w:before="12"/>
        <w:rPr>
          <w:rFonts w:ascii="黑体"/>
          <w:b/>
          <w:sz w:val="41"/>
        </w:rPr>
      </w:pPr>
    </w:p>
    <w:p>
      <w:pPr>
        <w:pStyle w:val="BodyText"/>
        <w:ind w:left="1260"/>
      </w:pPr>
      <w:r>
        <w:rPr/>
        <w:t>本基金可以按照国家的有关规定进行融资。</w:t>
      </w:r>
    </w:p>
    <w:p>
      <w:pPr>
        <w:spacing w:after="0"/>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51"/>
      </w:pPr>
      <w:bookmarkStart w:name="_TOC_250014" w:id="10"/>
      <w:bookmarkEnd w:id="10"/>
      <w:r>
        <w:rPr/>
        <w:t>十、基金的业绩</w:t>
      </w:r>
    </w:p>
    <w:p>
      <w:pPr>
        <w:pStyle w:val="BodyText"/>
        <w:spacing w:before="12"/>
        <w:rPr>
          <w:rFonts w:ascii="黑体"/>
          <w:b/>
          <w:sz w:val="41"/>
        </w:rPr>
      </w:pPr>
    </w:p>
    <w:p>
      <w:pPr>
        <w:pStyle w:val="BodyText"/>
        <w:spacing w:line="417" w:lineRule="auto"/>
        <w:ind w:left="840" w:right="891" w:firstLine="419"/>
        <w:jc w:val="both"/>
      </w:pPr>
      <w:r>
        <w:rPr>
          <w:spacing w:val="-9"/>
        </w:rPr>
        <w:t>基金管理人承诺以诚实信用、勤勉尽责的原则管理和运用基金资产，但不保证基金一定</w:t>
      </w:r>
      <w:r>
        <w:rPr>
          <w:spacing w:val="-10"/>
        </w:rPr>
        <w:t>盈利。基金的过往业绩并不代表其未来表现。投资有风险，投资者在作出投资决策前应仔细</w:t>
      </w:r>
      <w:r>
        <w:rPr>
          <w:spacing w:val="-8"/>
        </w:rPr>
        <w:t>阅读本基金的招募说明书。基金业绩数据截至 </w:t>
      </w:r>
      <w:r>
        <w:rPr>
          <w:rFonts w:ascii="Times New Roman" w:eastAsia="Times New Roman"/>
        </w:rPr>
        <w:t>2019 </w:t>
      </w:r>
      <w:r>
        <w:rPr>
          <w:spacing w:val="-26"/>
        </w:rPr>
        <w:t>年 </w:t>
      </w:r>
      <w:r>
        <w:rPr>
          <w:rFonts w:ascii="Times New Roman" w:eastAsia="Times New Roman"/>
        </w:rPr>
        <w:t>12 </w:t>
      </w:r>
      <w:r>
        <w:rPr>
          <w:spacing w:val="-26"/>
        </w:rPr>
        <w:t>月 </w:t>
      </w:r>
      <w:r>
        <w:rPr>
          <w:rFonts w:ascii="Times New Roman" w:eastAsia="Times New Roman"/>
        </w:rPr>
        <w:t>31 </w:t>
      </w:r>
      <w:r>
        <w:rPr/>
        <w:t>日。</w:t>
      </w:r>
    </w:p>
    <w:p>
      <w:pPr>
        <w:pStyle w:val="BodyText"/>
        <w:spacing w:before="6"/>
        <w:rPr>
          <w:sz w:val="30"/>
        </w:rPr>
      </w:pPr>
    </w:p>
    <w:p>
      <w:pPr>
        <w:pStyle w:val="Heading4"/>
        <w:spacing w:after="36"/>
      </w:pPr>
      <w:r>
        <w:rPr>
          <w:rFonts w:ascii="Times New Roman" w:eastAsia="Times New Roman"/>
        </w:rPr>
        <w:t>1</w:t>
      </w:r>
      <w:r>
        <w:rPr/>
        <w:t>、基金份额净值增长率及其与同期业绩比较基准收益率的比较</w:t>
      </w:r>
    </w:p>
    <w:tbl>
      <w:tblPr>
        <w:tblW w:w="0" w:type="auto"/>
        <w:jc w:val="left"/>
        <w:tblInd w:w="14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1980"/>
        <w:gridCol w:w="1291"/>
        <w:gridCol w:w="1439"/>
        <w:gridCol w:w="1547"/>
        <w:gridCol w:w="1299"/>
        <w:gridCol w:w="1098"/>
        <w:gridCol w:w="1131"/>
      </w:tblGrid>
      <w:tr>
        <w:trPr>
          <w:trHeight w:val="961" w:hRule="atLeast"/>
        </w:trPr>
        <w:tc>
          <w:tcPr>
            <w:tcW w:w="1980" w:type="dxa"/>
            <w:tcBorders>
              <w:bottom w:val="single" w:sz="4" w:space="0" w:color="000000"/>
              <w:right w:val="single" w:sz="4" w:space="0" w:color="000000"/>
            </w:tcBorders>
          </w:tcPr>
          <w:p>
            <w:pPr>
              <w:pStyle w:val="TableParagraph"/>
              <w:spacing w:before="2"/>
              <w:rPr>
                <w:b/>
                <w:sz w:val="27"/>
              </w:rPr>
            </w:pPr>
          </w:p>
          <w:p>
            <w:pPr>
              <w:pStyle w:val="TableParagraph"/>
              <w:ind w:left="615" w:right="615"/>
              <w:jc w:val="center"/>
              <w:rPr>
                <w:sz w:val="21"/>
              </w:rPr>
            </w:pPr>
            <w:r>
              <w:rPr>
                <w:sz w:val="21"/>
              </w:rPr>
              <w:t>阶段</w:t>
            </w:r>
          </w:p>
        </w:tc>
        <w:tc>
          <w:tcPr>
            <w:tcW w:w="1291" w:type="dxa"/>
            <w:tcBorders>
              <w:left w:val="single" w:sz="4" w:space="0" w:color="000000"/>
              <w:bottom w:val="single" w:sz="4" w:space="0" w:color="000000"/>
              <w:right w:val="single" w:sz="4" w:space="0" w:color="000000"/>
            </w:tcBorders>
          </w:tcPr>
          <w:p>
            <w:pPr>
              <w:pStyle w:val="TableParagraph"/>
              <w:rPr>
                <w:b/>
                <w:sz w:val="15"/>
              </w:rPr>
            </w:pPr>
          </w:p>
          <w:p>
            <w:pPr>
              <w:pStyle w:val="TableParagraph"/>
              <w:ind w:left="104" w:right="87"/>
              <w:jc w:val="center"/>
              <w:rPr>
                <w:sz w:val="21"/>
              </w:rPr>
            </w:pPr>
            <w:r>
              <w:rPr>
                <w:sz w:val="21"/>
              </w:rPr>
              <w:t>净值增长率</w:t>
            </w:r>
          </w:p>
          <w:p>
            <w:pPr>
              <w:pStyle w:val="TableParagraph"/>
              <w:spacing w:before="43"/>
              <w:ind w:left="102" w:right="87"/>
              <w:jc w:val="center"/>
              <w:rPr>
                <w:sz w:val="21"/>
              </w:rPr>
            </w:pPr>
            <w:r>
              <w:rPr>
                <w:sz w:val="21"/>
              </w:rPr>
              <w:t>（1）</w:t>
            </w:r>
          </w:p>
        </w:tc>
        <w:tc>
          <w:tcPr>
            <w:tcW w:w="1439" w:type="dxa"/>
            <w:tcBorders>
              <w:left w:val="single" w:sz="4" w:space="0" w:color="000000"/>
              <w:bottom w:val="single" w:sz="4" w:space="0" w:color="000000"/>
              <w:right w:val="single" w:sz="4" w:space="0" w:color="000000"/>
            </w:tcBorders>
          </w:tcPr>
          <w:p>
            <w:pPr>
              <w:pStyle w:val="TableParagraph"/>
              <w:rPr>
                <w:b/>
                <w:sz w:val="15"/>
              </w:rPr>
            </w:pPr>
          </w:p>
          <w:p>
            <w:pPr>
              <w:pStyle w:val="TableParagraph"/>
              <w:spacing w:line="278" w:lineRule="auto"/>
              <w:ind w:left="145" w:right="125" w:firstLine="52"/>
              <w:rPr>
                <w:sz w:val="21"/>
              </w:rPr>
            </w:pPr>
            <w:r>
              <w:rPr>
                <w:sz w:val="21"/>
              </w:rPr>
              <w:t>净值增长率标准差（2）</w:t>
            </w:r>
          </w:p>
        </w:tc>
        <w:tc>
          <w:tcPr>
            <w:tcW w:w="1547" w:type="dxa"/>
            <w:tcBorders>
              <w:left w:val="single" w:sz="4" w:space="0" w:color="000000"/>
              <w:bottom w:val="single" w:sz="4" w:space="0" w:color="000000"/>
              <w:right w:val="single" w:sz="4" w:space="0" w:color="000000"/>
            </w:tcBorders>
          </w:tcPr>
          <w:p>
            <w:pPr>
              <w:pStyle w:val="TableParagraph"/>
              <w:rPr>
                <w:b/>
                <w:sz w:val="15"/>
              </w:rPr>
            </w:pPr>
          </w:p>
          <w:p>
            <w:pPr>
              <w:pStyle w:val="TableParagraph"/>
              <w:spacing w:line="278" w:lineRule="auto"/>
              <w:ind w:left="198" w:right="126" w:hanging="53"/>
              <w:rPr>
                <w:sz w:val="21"/>
              </w:rPr>
            </w:pPr>
            <w:r>
              <w:rPr>
                <w:sz w:val="21"/>
              </w:rPr>
              <w:t>业绩比较基准收益率（3）</w:t>
            </w:r>
          </w:p>
        </w:tc>
        <w:tc>
          <w:tcPr>
            <w:tcW w:w="1299" w:type="dxa"/>
            <w:tcBorders>
              <w:left w:val="single" w:sz="4" w:space="0" w:color="000000"/>
              <w:bottom w:val="single" w:sz="4" w:space="0" w:color="000000"/>
              <w:right w:val="single" w:sz="4" w:space="0" w:color="000000"/>
            </w:tcBorders>
          </w:tcPr>
          <w:p>
            <w:pPr>
              <w:pStyle w:val="TableParagraph"/>
              <w:spacing w:line="278" w:lineRule="auto" w:before="36"/>
              <w:ind w:left="128" w:right="105"/>
              <w:rPr>
                <w:sz w:val="21"/>
              </w:rPr>
            </w:pPr>
            <w:r>
              <w:rPr>
                <w:spacing w:val="-5"/>
                <w:sz w:val="21"/>
              </w:rPr>
              <w:t>业绩比较基准收益率标</w:t>
            </w:r>
          </w:p>
          <w:p>
            <w:pPr>
              <w:pStyle w:val="TableParagraph"/>
              <w:spacing w:line="269" w:lineRule="exact"/>
              <w:ind w:left="181"/>
              <w:rPr>
                <w:sz w:val="21"/>
              </w:rPr>
            </w:pPr>
            <w:r>
              <w:rPr>
                <w:spacing w:val="-1"/>
                <w:sz w:val="21"/>
              </w:rPr>
              <w:t>准差（4）</w:t>
            </w:r>
          </w:p>
        </w:tc>
        <w:tc>
          <w:tcPr>
            <w:tcW w:w="1098" w:type="dxa"/>
            <w:tcBorders>
              <w:left w:val="single" w:sz="4" w:space="0" w:color="000000"/>
              <w:bottom w:val="single" w:sz="4" w:space="0" w:color="000000"/>
              <w:right w:val="single" w:sz="4" w:space="0" w:color="000000"/>
            </w:tcBorders>
          </w:tcPr>
          <w:p>
            <w:pPr>
              <w:pStyle w:val="TableParagraph"/>
              <w:spacing w:before="2"/>
              <w:rPr>
                <w:b/>
                <w:sz w:val="27"/>
              </w:rPr>
            </w:pPr>
          </w:p>
          <w:p>
            <w:pPr>
              <w:pStyle w:val="TableParagraph"/>
              <w:ind w:left="115" w:right="-29"/>
              <w:rPr>
                <w:sz w:val="21"/>
              </w:rPr>
            </w:pPr>
            <w:r>
              <w:rPr>
                <w:w w:val="100"/>
                <w:sz w:val="21"/>
              </w:rPr>
              <w:t>（1</w:t>
            </w:r>
            <w:r>
              <w:rPr>
                <w:spacing w:val="-84"/>
                <w:w w:val="100"/>
                <w:sz w:val="21"/>
              </w:rPr>
              <w:t>）</w:t>
            </w:r>
            <w:r>
              <w:rPr>
                <w:spacing w:val="-87"/>
                <w:w w:val="100"/>
                <w:sz w:val="21"/>
              </w:rPr>
              <w:t>-</w:t>
            </w:r>
            <w:r>
              <w:rPr>
                <w:w w:val="100"/>
                <w:sz w:val="21"/>
              </w:rPr>
              <w:t>（3）</w:t>
            </w:r>
          </w:p>
        </w:tc>
        <w:tc>
          <w:tcPr>
            <w:tcW w:w="1131" w:type="dxa"/>
            <w:tcBorders>
              <w:left w:val="single" w:sz="4" w:space="0" w:color="000000"/>
              <w:bottom w:val="single" w:sz="4" w:space="0" w:color="000000"/>
            </w:tcBorders>
          </w:tcPr>
          <w:p>
            <w:pPr>
              <w:pStyle w:val="TableParagraph"/>
              <w:spacing w:before="2"/>
              <w:rPr>
                <w:b/>
                <w:sz w:val="27"/>
              </w:rPr>
            </w:pPr>
          </w:p>
          <w:p>
            <w:pPr>
              <w:pStyle w:val="TableParagraph"/>
              <w:ind w:right="-44"/>
              <w:jc w:val="right"/>
              <w:rPr>
                <w:sz w:val="21"/>
              </w:rPr>
            </w:pPr>
            <w:r>
              <w:rPr>
                <w:spacing w:val="-20"/>
                <w:sz w:val="21"/>
              </w:rPr>
              <w:t>（2）-（4）</w:t>
            </w:r>
          </w:p>
        </w:tc>
      </w:tr>
      <w:tr>
        <w:trPr>
          <w:trHeight w:val="623" w:hRule="atLeast"/>
        </w:trPr>
        <w:tc>
          <w:tcPr>
            <w:tcW w:w="1980" w:type="dxa"/>
            <w:tcBorders>
              <w:top w:val="single" w:sz="4" w:space="0" w:color="000000"/>
              <w:bottom w:val="single" w:sz="4" w:space="0" w:color="000000"/>
              <w:right w:val="single" w:sz="4" w:space="0" w:color="000000"/>
            </w:tcBorders>
          </w:tcPr>
          <w:p>
            <w:pPr>
              <w:pStyle w:val="TableParagraph"/>
              <w:spacing w:before="22"/>
              <w:ind w:left="92"/>
              <w:rPr>
                <w:sz w:val="21"/>
              </w:rPr>
            </w:pPr>
            <w:r>
              <w:rPr>
                <w:rFonts w:ascii="Times New Roman" w:eastAsia="Times New Roman"/>
                <w:sz w:val="21"/>
              </w:rPr>
              <w:t>2006</w:t>
            </w:r>
            <w:r>
              <w:rPr>
                <w:rFonts w:ascii="Times New Roman" w:eastAsia="Times New Roman"/>
                <w:spacing w:val="-16"/>
                <w:sz w:val="21"/>
              </w:rPr>
              <w:t> </w:t>
            </w:r>
            <w:r>
              <w:rPr>
                <w:spacing w:val="-33"/>
                <w:sz w:val="21"/>
              </w:rPr>
              <w:t>年 </w:t>
            </w:r>
            <w:r>
              <w:rPr>
                <w:rFonts w:ascii="Times New Roman" w:eastAsia="Times New Roman"/>
                <w:sz w:val="21"/>
              </w:rPr>
              <w:t>6</w:t>
            </w:r>
            <w:r>
              <w:rPr>
                <w:rFonts w:ascii="Times New Roman" w:eastAsia="Times New Roman"/>
                <w:spacing w:val="-16"/>
                <w:sz w:val="21"/>
              </w:rPr>
              <w:t> </w:t>
            </w:r>
            <w:r>
              <w:rPr>
                <w:spacing w:val="-33"/>
                <w:sz w:val="21"/>
              </w:rPr>
              <w:t>月 </w:t>
            </w:r>
            <w:r>
              <w:rPr>
                <w:rFonts w:ascii="Times New Roman" w:eastAsia="Times New Roman"/>
                <w:sz w:val="21"/>
              </w:rPr>
              <w:t>28</w:t>
            </w:r>
            <w:r>
              <w:rPr>
                <w:rFonts w:ascii="Times New Roman" w:eastAsia="Times New Roman"/>
                <w:spacing w:val="-13"/>
                <w:sz w:val="21"/>
              </w:rPr>
              <w:t> </w:t>
            </w:r>
            <w:r>
              <w:rPr>
                <w:spacing w:val="-3"/>
                <w:sz w:val="21"/>
              </w:rPr>
              <w:t>日至</w:t>
            </w:r>
          </w:p>
          <w:p>
            <w:pPr>
              <w:pStyle w:val="TableParagraph"/>
              <w:spacing w:before="43"/>
              <w:ind w:left="107"/>
              <w:rPr>
                <w:sz w:val="21"/>
              </w:rPr>
            </w:pPr>
            <w:r>
              <w:rPr>
                <w:rFonts w:ascii="Times New Roman" w:eastAsia="Times New Roman"/>
                <w:sz w:val="21"/>
              </w:rPr>
              <w:t>2006</w:t>
            </w:r>
            <w:r>
              <w:rPr>
                <w:rFonts w:ascii="Times New Roman" w:eastAsia="Times New Roman"/>
                <w:spacing w:val="-1"/>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190"/>
              <w:ind w:right="90"/>
              <w:jc w:val="right"/>
              <w:rPr>
                <w:rFonts w:ascii="Times New Roman"/>
                <w:sz w:val="21"/>
              </w:rPr>
            </w:pPr>
            <w:r>
              <w:rPr>
                <w:rFonts w:ascii="Times New Roman"/>
                <w:sz w:val="21"/>
              </w:rPr>
              <w:t>56.70%</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190"/>
              <w:ind w:right="88"/>
              <w:jc w:val="right"/>
              <w:rPr>
                <w:rFonts w:ascii="Times New Roman"/>
                <w:sz w:val="21"/>
              </w:rPr>
            </w:pPr>
            <w:r>
              <w:rPr>
                <w:rFonts w:ascii="Times New Roman"/>
                <w:sz w:val="21"/>
              </w:rPr>
              <w:t>1.05%</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190"/>
              <w:ind w:right="89"/>
              <w:jc w:val="right"/>
              <w:rPr>
                <w:rFonts w:ascii="Times New Roman"/>
                <w:sz w:val="21"/>
              </w:rPr>
            </w:pPr>
            <w:r>
              <w:rPr>
                <w:rFonts w:ascii="Times New Roman"/>
                <w:sz w:val="21"/>
              </w:rPr>
              <w:t>38.75%</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190"/>
              <w:ind w:right="87"/>
              <w:jc w:val="right"/>
              <w:rPr>
                <w:rFonts w:ascii="Times New Roman"/>
                <w:sz w:val="21"/>
              </w:rPr>
            </w:pPr>
            <w:r>
              <w:rPr>
                <w:rFonts w:ascii="Times New Roman"/>
                <w:sz w:val="21"/>
              </w:rPr>
              <w:t>1.12%</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190"/>
              <w:ind w:left="351"/>
              <w:rPr>
                <w:rFonts w:ascii="Times New Roman"/>
                <w:sz w:val="21"/>
              </w:rPr>
            </w:pPr>
            <w:r>
              <w:rPr>
                <w:rFonts w:ascii="Times New Roman"/>
                <w:sz w:val="21"/>
              </w:rPr>
              <w:t>17.95%</w:t>
            </w:r>
          </w:p>
        </w:tc>
        <w:tc>
          <w:tcPr>
            <w:tcW w:w="1131" w:type="dxa"/>
            <w:tcBorders>
              <w:top w:val="single" w:sz="4" w:space="0" w:color="000000"/>
              <w:left w:val="single" w:sz="4" w:space="0" w:color="000000"/>
              <w:bottom w:val="single" w:sz="4" w:space="0" w:color="000000"/>
            </w:tcBorders>
          </w:tcPr>
          <w:p>
            <w:pPr>
              <w:pStyle w:val="TableParagraph"/>
              <w:spacing w:before="190"/>
              <w:ind w:right="68"/>
              <w:jc w:val="right"/>
              <w:rPr>
                <w:rFonts w:ascii="Times New Roman"/>
                <w:sz w:val="21"/>
              </w:rPr>
            </w:pPr>
            <w:r>
              <w:rPr>
                <w:rFonts w:ascii="Times New Roman"/>
                <w:sz w:val="21"/>
              </w:rPr>
              <w:t>-0.07%</w:t>
            </w:r>
          </w:p>
        </w:tc>
      </w:tr>
      <w:tr>
        <w:trPr>
          <w:trHeight w:val="311" w:hRule="atLeast"/>
        </w:trPr>
        <w:tc>
          <w:tcPr>
            <w:tcW w:w="1980" w:type="dxa"/>
            <w:tcBorders>
              <w:top w:val="single" w:sz="4" w:space="0" w:color="000000"/>
              <w:bottom w:val="single" w:sz="4" w:space="0" w:color="000000"/>
              <w:right w:val="single" w:sz="4" w:space="0" w:color="000000"/>
            </w:tcBorders>
          </w:tcPr>
          <w:p>
            <w:pPr>
              <w:pStyle w:val="TableParagraph"/>
              <w:spacing w:before="22"/>
              <w:ind w:left="615" w:right="615"/>
              <w:jc w:val="center"/>
              <w:rPr>
                <w:sz w:val="21"/>
              </w:rPr>
            </w:pPr>
            <w:r>
              <w:rPr>
                <w:rFonts w:ascii="Times New Roman" w:eastAsia="Times New Roman"/>
                <w:sz w:val="21"/>
              </w:rPr>
              <w:t>2007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34"/>
              <w:ind w:right="90"/>
              <w:jc w:val="right"/>
              <w:rPr>
                <w:rFonts w:ascii="Times New Roman"/>
                <w:sz w:val="21"/>
              </w:rPr>
            </w:pPr>
            <w:r>
              <w:rPr>
                <w:rFonts w:ascii="Times New Roman"/>
                <w:sz w:val="21"/>
              </w:rPr>
              <w:t>109.12%</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34"/>
              <w:ind w:right="88"/>
              <w:jc w:val="right"/>
              <w:rPr>
                <w:rFonts w:ascii="Times New Roman"/>
                <w:sz w:val="21"/>
              </w:rPr>
            </w:pPr>
            <w:r>
              <w:rPr>
                <w:rFonts w:ascii="Times New Roman"/>
                <w:sz w:val="21"/>
              </w:rPr>
              <w:t>2.03%</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34"/>
              <w:ind w:right="89"/>
              <w:jc w:val="right"/>
              <w:rPr>
                <w:rFonts w:ascii="Times New Roman"/>
                <w:sz w:val="21"/>
              </w:rPr>
            </w:pPr>
            <w:r>
              <w:rPr>
                <w:rFonts w:ascii="Times New Roman"/>
                <w:sz w:val="21"/>
              </w:rPr>
              <w:t>102.08%</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34"/>
              <w:ind w:right="87"/>
              <w:jc w:val="right"/>
              <w:rPr>
                <w:rFonts w:ascii="Times New Roman"/>
                <w:sz w:val="21"/>
              </w:rPr>
            </w:pPr>
            <w:r>
              <w:rPr>
                <w:rFonts w:ascii="Times New Roman"/>
                <w:sz w:val="21"/>
              </w:rPr>
              <w:t>1.76%</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34"/>
              <w:ind w:left="457"/>
              <w:rPr>
                <w:rFonts w:ascii="Times New Roman"/>
                <w:sz w:val="21"/>
              </w:rPr>
            </w:pPr>
            <w:r>
              <w:rPr>
                <w:rFonts w:ascii="Times New Roman"/>
                <w:sz w:val="21"/>
              </w:rPr>
              <w:t>7.04%</w:t>
            </w:r>
          </w:p>
        </w:tc>
        <w:tc>
          <w:tcPr>
            <w:tcW w:w="1131" w:type="dxa"/>
            <w:tcBorders>
              <w:top w:val="single" w:sz="4" w:space="0" w:color="000000"/>
              <w:left w:val="single" w:sz="4" w:space="0" w:color="000000"/>
              <w:bottom w:val="single" w:sz="4" w:space="0" w:color="000000"/>
            </w:tcBorders>
          </w:tcPr>
          <w:p>
            <w:pPr>
              <w:pStyle w:val="TableParagraph"/>
              <w:spacing w:before="34"/>
              <w:ind w:right="66"/>
              <w:jc w:val="right"/>
              <w:rPr>
                <w:rFonts w:ascii="Times New Roman"/>
                <w:sz w:val="21"/>
              </w:rPr>
            </w:pPr>
            <w:r>
              <w:rPr>
                <w:rFonts w:ascii="Times New Roman"/>
                <w:sz w:val="21"/>
              </w:rPr>
              <w:t>0.27%</w:t>
            </w:r>
          </w:p>
        </w:tc>
      </w:tr>
      <w:tr>
        <w:trPr>
          <w:trHeight w:val="311" w:hRule="atLeast"/>
        </w:trPr>
        <w:tc>
          <w:tcPr>
            <w:tcW w:w="1980" w:type="dxa"/>
            <w:tcBorders>
              <w:top w:val="single" w:sz="4" w:space="0" w:color="000000"/>
              <w:bottom w:val="single" w:sz="4" w:space="0" w:color="000000"/>
              <w:right w:val="single" w:sz="4" w:space="0" w:color="000000"/>
            </w:tcBorders>
          </w:tcPr>
          <w:p>
            <w:pPr>
              <w:pStyle w:val="TableParagraph"/>
              <w:spacing w:before="22"/>
              <w:ind w:left="615" w:right="615"/>
              <w:jc w:val="center"/>
              <w:rPr>
                <w:sz w:val="21"/>
              </w:rPr>
            </w:pPr>
            <w:r>
              <w:rPr>
                <w:rFonts w:ascii="Times New Roman" w:eastAsia="Times New Roman"/>
                <w:sz w:val="21"/>
              </w:rPr>
              <w:t>2008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34"/>
              <w:ind w:right="92"/>
              <w:jc w:val="right"/>
              <w:rPr>
                <w:rFonts w:ascii="Times New Roman"/>
                <w:sz w:val="21"/>
              </w:rPr>
            </w:pPr>
            <w:r>
              <w:rPr>
                <w:rFonts w:ascii="Times New Roman"/>
                <w:sz w:val="21"/>
              </w:rPr>
              <w:t>-48.38%</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34"/>
              <w:ind w:right="90"/>
              <w:jc w:val="right"/>
              <w:rPr>
                <w:rFonts w:ascii="Times New Roman"/>
                <w:sz w:val="21"/>
              </w:rPr>
            </w:pPr>
            <w:r>
              <w:rPr>
                <w:rFonts w:ascii="Times New Roman"/>
                <w:sz w:val="21"/>
              </w:rPr>
              <w:t>1.95%</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34"/>
              <w:ind w:right="91"/>
              <w:jc w:val="right"/>
              <w:rPr>
                <w:rFonts w:ascii="Times New Roman"/>
                <w:sz w:val="21"/>
              </w:rPr>
            </w:pPr>
            <w:r>
              <w:rPr>
                <w:rFonts w:ascii="Times New Roman"/>
                <w:sz w:val="21"/>
              </w:rPr>
              <w:t>-57.70%</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34"/>
              <w:ind w:right="90"/>
              <w:jc w:val="right"/>
              <w:rPr>
                <w:rFonts w:ascii="Times New Roman"/>
                <w:sz w:val="21"/>
              </w:rPr>
            </w:pPr>
            <w:r>
              <w:rPr>
                <w:rFonts w:ascii="Times New Roman"/>
                <w:sz w:val="21"/>
              </w:rPr>
              <w:t>2.44%</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34"/>
              <w:ind w:left="454"/>
              <w:rPr>
                <w:rFonts w:ascii="Times New Roman"/>
                <w:sz w:val="21"/>
              </w:rPr>
            </w:pPr>
            <w:r>
              <w:rPr>
                <w:rFonts w:ascii="Times New Roman"/>
                <w:sz w:val="21"/>
              </w:rPr>
              <w:t>9.32%</w:t>
            </w:r>
          </w:p>
        </w:tc>
        <w:tc>
          <w:tcPr>
            <w:tcW w:w="1131" w:type="dxa"/>
            <w:tcBorders>
              <w:top w:val="single" w:sz="4" w:space="0" w:color="000000"/>
              <w:left w:val="single" w:sz="4" w:space="0" w:color="000000"/>
              <w:bottom w:val="single" w:sz="4" w:space="0" w:color="000000"/>
            </w:tcBorders>
          </w:tcPr>
          <w:p>
            <w:pPr>
              <w:pStyle w:val="TableParagraph"/>
              <w:spacing w:before="34"/>
              <w:ind w:right="68"/>
              <w:jc w:val="right"/>
              <w:rPr>
                <w:rFonts w:ascii="Times New Roman"/>
                <w:sz w:val="21"/>
              </w:rPr>
            </w:pPr>
            <w:r>
              <w:rPr>
                <w:rFonts w:ascii="Times New Roman"/>
                <w:sz w:val="21"/>
              </w:rPr>
              <w:t>-0.49%</w:t>
            </w:r>
          </w:p>
        </w:tc>
      </w:tr>
      <w:tr>
        <w:trPr>
          <w:trHeight w:val="314" w:hRule="atLeast"/>
        </w:trPr>
        <w:tc>
          <w:tcPr>
            <w:tcW w:w="1980" w:type="dxa"/>
            <w:tcBorders>
              <w:top w:val="single" w:sz="4" w:space="0" w:color="000000"/>
              <w:bottom w:val="single" w:sz="4" w:space="0" w:color="000000"/>
              <w:right w:val="single" w:sz="4" w:space="0" w:color="000000"/>
            </w:tcBorders>
          </w:tcPr>
          <w:p>
            <w:pPr>
              <w:pStyle w:val="TableParagraph"/>
              <w:spacing w:before="25"/>
              <w:ind w:left="615" w:right="615"/>
              <w:jc w:val="center"/>
              <w:rPr>
                <w:sz w:val="21"/>
              </w:rPr>
            </w:pPr>
            <w:r>
              <w:rPr>
                <w:rFonts w:ascii="Times New Roman" w:eastAsia="Times New Roman"/>
                <w:sz w:val="21"/>
              </w:rPr>
              <w:t>2009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36"/>
              <w:ind w:right="90"/>
              <w:jc w:val="right"/>
              <w:rPr>
                <w:rFonts w:ascii="Times New Roman"/>
                <w:sz w:val="21"/>
              </w:rPr>
            </w:pPr>
            <w:r>
              <w:rPr>
                <w:rFonts w:ascii="Times New Roman"/>
                <w:sz w:val="21"/>
              </w:rPr>
              <w:t>35.61%</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36"/>
              <w:ind w:right="88"/>
              <w:jc w:val="right"/>
              <w:rPr>
                <w:rFonts w:ascii="Times New Roman"/>
                <w:sz w:val="21"/>
              </w:rPr>
            </w:pPr>
            <w:r>
              <w:rPr>
                <w:rFonts w:ascii="Times New Roman"/>
                <w:sz w:val="21"/>
              </w:rPr>
              <w:t>1.66%</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36"/>
              <w:ind w:right="89"/>
              <w:jc w:val="right"/>
              <w:rPr>
                <w:rFonts w:ascii="Times New Roman"/>
                <w:sz w:val="21"/>
              </w:rPr>
            </w:pPr>
            <w:r>
              <w:rPr>
                <w:rFonts w:ascii="Times New Roman"/>
                <w:sz w:val="21"/>
              </w:rPr>
              <w:t>72.06%</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36"/>
              <w:ind w:right="87"/>
              <w:jc w:val="right"/>
              <w:rPr>
                <w:rFonts w:ascii="Times New Roman"/>
                <w:sz w:val="21"/>
              </w:rPr>
            </w:pPr>
            <w:r>
              <w:rPr>
                <w:rFonts w:ascii="Times New Roman"/>
                <w:sz w:val="21"/>
              </w:rPr>
              <w:t>1.67%</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36"/>
              <w:ind w:left="281"/>
              <w:rPr>
                <w:rFonts w:ascii="Times New Roman"/>
                <w:sz w:val="21"/>
              </w:rPr>
            </w:pPr>
            <w:r>
              <w:rPr>
                <w:rFonts w:ascii="Times New Roman"/>
                <w:sz w:val="21"/>
              </w:rPr>
              <w:t>-36.45%</w:t>
            </w:r>
          </w:p>
        </w:tc>
        <w:tc>
          <w:tcPr>
            <w:tcW w:w="1131" w:type="dxa"/>
            <w:tcBorders>
              <w:top w:val="single" w:sz="4" w:space="0" w:color="000000"/>
              <w:left w:val="single" w:sz="4" w:space="0" w:color="000000"/>
              <w:bottom w:val="single" w:sz="4" w:space="0" w:color="000000"/>
            </w:tcBorders>
          </w:tcPr>
          <w:p>
            <w:pPr>
              <w:pStyle w:val="TableParagraph"/>
              <w:spacing w:before="36"/>
              <w:ind w:right="68"/>
              <w:jc w:val="right"/>
              <w:rPr>
                <w:rFonts w:ascii="Times New Roman"/>
                <w:sz w:val="21"/>
              </w:rPr>
            </w:pPr>
            <w:r>
              <w:rPr>
                <w:rFonts w:ascii="Times New Roman"/>
                <w:sz w:val="21"/>
              </w:rPr>
              <w:t>-0.01%</w:t>
            </w:r>
          </w:p>
        </w:tc>
      </w:tr>
      <w:tr>
        <w:trPr>
          <w:trHeight w:val="311" w:hRule="atLeast"/>
        </w:trPr>
        <w:tc>
          <w:tcPr>
            <w:tcW w:w="1980" w:type="dxa"/>
            <w:tcBorders>
              <w:top w:val="single" w:sz="4" w:space="0" w:color="000000"/>
              <w:bottom w:val="single" w:sz="4" w:space="0" w:color="000000"/>
              <w:right w:val="single" w:sz="4" w:space="0" w:color="000000"/>
            </w:tcBorders>
          </w:tcPr>
          <w:p>
            <w:pPr>
              <w:pStyle w:val="TableParagraph"/>
              <w:spacing w:before="22"/>
              <w:ind w:left="615" w:right="615"/>
              <w:jc w:val="center"/>
              <w:rPr>
                <w:sz w:val="21"/>
              </w:rPr>
            </w:pPr>
            <w:r>
              <w:rPr>
                <w:rFonts w:ascii="Times New Roman" w:eastAsia="Times New Roman"/>
                <w:sz w:val="21"/>
              </w:rPr>
              <w:t>2010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34"/>
              <w:ind w:right="92"/>
              <w:jc w:val="right"/>
              <w:rPr>
                <w:rFonts w:ascii="Times New Roman"/>
                <w:sz w:val="21"/>
              </w:rPr>
            </w:pPr>
            <w:r>
              <w:rPr>
                <w:rFonts w:ascii="Times New Roman"/>
                <w:sz w:val="21"/>
              </w:rPr>
              <w:t>-1.70%</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34"/>
              <w:ind w:right="88"/>
              <w:jc w:val="right"/>
              <w:rPr>
                <w:rFonts w:ascii="Times New Roman"/>
                <w:sz w:val="21"/>
              </w:rPr>
            </w:pPr>
            <w:r>
              <w:rPr>
                <w:rFonts w:ascii="Times New Roman"/>
                <w:sz w:val="21"/>
              </w:rPr>
              <w:t>1.44%</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34"/>
              <w:ind w:right="91"/>
              <w:jc w:val="right"/>
              <w:rPr>
                <w:rFonts w:ascii="Times New Roman"/>
                <w:sz w:val="21"/>
              </w:rPr>
            </w:pPr>
            <w:r>
              <w:rPr>
                <w:rFonts w:ascii="Times New Roman"/>
                <w:sz w:val="21"/>
              </w:rPr>
              <w:t>-1.41%</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34"/>
              <w:ind w:right="87"/>
              <w:jc w:val="right"/>
              <w:rPr>
                <w:rFonts w:ascii="Times New Roman"/>
                <w:sz w:val="21"/>
              </w:rPr>
            </w:pPr>
            <w:r>
              <w:rPr>
                <w:rFonts w:ascii="Times New Roman"/>
                <w:sz w:val="21"/>
              </w:rPr>
              <w:t>1.30%</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34"/>
              <w:ind w:left="387"/>
              <w:rPr>
                <w:rFonts w:ascii="Times New Roman"/>
                <w:sz w:val="21"/>
              </w:rPr>
            </w:pPr>
            <w:r>
              <w:rPr>
                <w:rFonts w:ascii="Times New Roman"/>
                <w:sz w:val="21"/>
              </w:rPr>
              <w:t>-0.29%</w:t>
            </w:r>
          </w:p>
        </w:tc>
        <w:tc>
          <w:tcPr>
            <w:tcW w:w="1131" w:type="dxa"/>
            <w:tcBorders>
              <w:top w:val="single" w:sz="4" w:space="0" w:color="000000"/>
              <w:left w:val="single" w:sz="4" w:space="0" w:color="000000"/>
              <w:bottom w:val="single" w:sz="4" w:space="0" w:color="000000"/>
            </w:tcBorders>
          </w:tcPr>
          <w:p>
            <w:pPr>
              <w:pStyle w:val="TableParagraph"/>
              <w:spacing w:before="34"/>
              <w:ind w:right="66"/>
              <w:jc w:val="right"/>
              <w:rPr>
                <w:rFonts w:ascii="Times New Roman"/>
                <w:sz w:val="21"/>
              </w:rPr>
            </w:pPr>
            <w:r>
              <w:rPr>
                <w:rFonts w:ascii="Times New Roman"/>
                <w:sz w:val="21"/>
              </w:rPr>
              <w:t>0.14%</w:t>
            </w:r>
          </w:p>
        </w:tc>
      </w:tr>
      <w:tr>
        <w:trPr>
          <w:trHeight w:val="312" w:hRule="atLeast"/>
        </w:trPr>
        <w:tc>
          <w:tcPr>
            <w:tcW w:w="1980" w:type="dxa"/>
            <w:tcBorders>
              <w:top w:val="single" w:sz="4" w:space="0" w:color="000000"/>
              <w:bottom w:val="single" w:sz="4" w:space="0" w:color="000000"/>
              <w:right w:val="single" w:sz="4" w:space="0" w:color="000000"/>
            </w:tcBorders>
          </w:tcPr>
          <w:p>
            <w:pPr>
              <w:pStyle w:val="TableParagraph"/>
              <w:spacing w:before="22"/>
              <w:ind w:left="615" w:right="615"/>
              <w:jc w:val="center"/>
              <w:rPr>
                <w:sz w:val="21"/>
              </w:rPr>
            </w:pPr>
            <w:r>
              <w:rPr>
                <w:rFonts w:ascii="Times New Roman" w:eastAsia="Times New Roman"/>
                <w:sz w:val="21"/>
              </w:rPr>
              <w:t>2011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34"/>
              <w:ind w:right="92"/>
              <w:jc w:val="right"/>
              <w:rPr>
                <w:rFonts w:ascii="Times New Roman"/>
                <w:sz w:val="21"/>
              </w:rPr>
            </w:pPr>
            <w:r>
              <w:rPr>
                <w:rFonts w:ascii="Times New Roman"/>
                <w:sz w:val="21"/>
              </w:rPr>
              <w:t>-32.56%</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34"/>
              <w:ind w:right="88"/>
              <w:jc w:val="right"/>
              <w:rPr>
                <w:rFonts w:ascii="Times New Roman"/>
                <w:sz w:val="21"/>
              </w:rPr>
            </w:pPr>
            <w:r>
              <w:rPr>
                <w:rFonts w:ascii="Times New Roman"/>
                <w:sz w:val="21"/>
              </w:rPr>
              <w:t>1.46%</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34"/>
              <w:ind w:right="91"/>
              <w:jc w:val="right"/>
              <w:rPr>
                <w:rFonts w:ascii="Times New Roman"/>
                <w:sz w:val="21"/>
              </w:rPr>
            </w:pPr>
            <w:r>
              <w:rPr>
                <w:rFonts w:ascii="Times New Roman"/>
                <w:sz w:val="21"/>
              </w:rPr>
              <w:t>-24.01%</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34"/>
              <w:ind w:right="87"/>
              <w:jc w:val="right"/>
              <w:rPr>
                <w:rFonts w:ascii="Times New Roman"/>
                <w:sz w:val="21"/>
              </w:rPr>
            </w:pPr>
            <w:r>
              <w:rPr>
                <w:rFonts w:ascii="Times New Roman"/>
                <w:sz w:val="21"/>
              </w:rPr>
              <w:t>1.07%</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34"/>
              <w:ind w:left="387"/>
              <w:rPr>
                <w:rFonts w:ascii="Times New Roman"/>
                <w:sz w:val="21"/>
              </w:rPr>
            </w:pPr>
            <w:r>
              <w:rPr>
                <w:rFonts w:ascii="Times New Roman"/>
                <w:sz w:val="21"/>
              </w:rPr>
              <w:t>-8.55%</w:t>
            </w:r>
          </w:p>
        </w:tc>
        <w:tc>
          <w:tcPr>
            <w:tcW w:w="1131" w:type="dxa"/>
            <w:tcBorders>
              <w:top w:val="single" w:sz="4" w:space="0" w:color="000000"/>
              <w:left w:val="single" w:sz="4" w:space="0" w:color="000000"/>
              <w:bottom w:val="single" w:sz="4" w:space="0" w:color="000000"/>
            </w:tcBorders>
          </w:tcPr>
          <w:p>
            <w:pPr>
              <w:pStyle w:val="TableParagraph"/>
              <w:spacing w:before="34"/>
              <w:ind w:right="66"/>
              <w:jc w:val="right"/>
              <w:rPr>
                <w:rFonts w:ascii="Times New Roman"/>
                <w:sz w:val="21"/>
              </w:rPr>
            </w:pPr>
            <w:r>
              <w:rPr>
                <w:rFonts w:ascii="Times New Roman"/>
                <w:sz w:val="21"/>
              </w:rPr>
              <w:t>0.39%</w:t>
            </w:r>
          </w:p>
        </w:tc>
      </w:tr>
      <w:tr>
        <w:trPr>
          <w:trHeight w:val="326" w:hRule="atLeast"/>
        </w:trPr>
        <w:tc>
          <w:tcPr>
            <w:tcW w:w="1980" w:type="dxa"/>
            <w:tcBorders>
              <w:top w:val="single" w:sz="4" w:space="0" w:color="000000"/>
              <w:bottom w:val="single" w:sz="4" w:space="0" w:color="000000"/>
              <w:right w:val="single" w:sz="4" w:space="0" w:color="000000"/>
            </w:tcBorders>
          </w:tcPr>
          <w:p>
            <w:pPr>
              <w:pStyle w:val="TableParagraph"/>
              <w:spacing w:before="29"/>
              <w:ind w:left="615" w:right="615"/>
              <w:jc w:val="center"/>
              <w:rPr>
                <w:sz w:val="21"/>
              </w:rPr>
            </w:pPr>
            <w:r>
              <w:rPr>
                <w:rFonts w:ascii="Times New Roman" w:eastAsia="Times New Roman"/>
                <w:sz w:val="21"/>
              </w:rPr>
              <w:t>2012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41"/>
              <w:ind w:right="92"/>
              <w:jc w:val="right"/>
              <w:rPr>
                <w:rFonts w:ascii="Times New Roman"/>
                <w:sz w:val="21"/>
              </w:rPr>
            </w:pPr>
            <w:r>
              <w:rPr>
                <w:rFonts w:ascii="Times New Roman"/>
                <w:sz w:val="21"/>
              </w:rPr>
              <w:t>-6.47%</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41"/>
              <w:ind w:right="88"/>
              <w:jc w:val="right"/>
              <w:rPr>
                <w:rFonts w:ascii="Times New Roman"/>
                <w:sz w:val="21"/>
              </w:rPr>
            </w:pPr>
            <w:r>
              <w:rPr>
                <w:rFonts w:ascii="Times New Roman"/>
                <w:sz w:val="21"/>
              </w:rPr>
              <w:t>1.30%</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41"/>
              <w:ind w:right="89"/>
              <w:jc w:val="right"/>
              <w:rPr>
                <w:rFonts w:ascii="Times New Roman"/>
                <w:sz w:val="21"/>
              </w:rPr>
            </w:pPr>
            <w:r>
              <w:rPr>
                <w:rFonts w:ascii="Times New Roman"/>
                <w:sz w:val="21"/>
              </w:rPr>
              <w:t>4.44%</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41"/>
              <w:ind w:right="87"/>
              <w:jc w:val="right"/>
              <w:rPr>
                <w:rFonts w:ascii="Times New Roman"/>
                <w:sz w:val="21"/>
              </w:rPr>
            </w:pPr>
            <w:r>
              <w:rPr>
                <w:rFonts w:ascii="Times New Roman"/>
                <w:sz w:val="21"/>
              </w:rPr>
              <w:t>1.13%</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41"/>
              <w:ind w:left="281"/>
              <w:rPr>
                <w:rFonts w:ascii="Times New Roman"/>
                <w:sz w:val="21"/>
              </w:rPr>
            </w:pPr>
            <w:r>
              <w:rPr>
                <w:rFonts w:ascii="Times New Roman"/>
                <w:sz w:val="21"/>
              </w:rPr>
              <w:t>-10.91%</w:t>
            </w:r>
          </w:p>
        </w:tc>
        <w:tc>
          <w:tcPr>
            <w:tcW w:w="1131" w:type="dxa"/>
            <w:tcBorders>
              <w:top w:val="single" w:sz="4" w:space="0" w:color="000000"/>
              <w:left w:val="single" w:sz="4" w:space="0" w:color="000000"/>
              <w:bottom w:val="single" w:sz="4" w:space="0" w:color="000000"/>
            </w:tcBorders>
          </w:tcPr>
          <w:p>
            <w:pPr>
              <w:pStyle w:val="TableParagraph"/>
              <w:spacing w:before="41"/>
              <w:ind w:right="66"/>
              <w:jc w:val="right"/>
              <w:rPr>
                <w:rFonts w:ascii="Times New Roman"/>
                <w:sz w:val="21"/>
              </w:rPr>
            </w:pPr>
            <w:r>
              <w:rPr>
                <w:rFonts w:ascii="Times New Roman"/>
                <w:sz w:val="21"/>
              </w:rPr>
              <w:t>0.17%</w:t>
            </w:r>
          </w:p>
        </w:tc>
      </w:tr>
      <w:tr>
        <w:trPr>
          <w:trHeight w:val="419" w:hRule="atLeast"/>
        </w:trPr>
        <w:tc>
          <w:tcPr>
            <w:tcW w:w="1980" w:type="dxa"/>
            <w:tcBorders>
              <w:top w:val="single" w:sz="4" w:space="0" w:color="000000"/>
              <w:bottom w:val="single" w:sz="4" w:space="0" w:color="000000"/>
              <w:right w:val="single" w:sz="4" w:space="0" w:color="000000"/>
            </w:tcBorders>
          </w:tcPr>
          <w:p>
            <w:pPr>
              <w:pStyle w:val="TableParagraph"/>
              <w:spacing w:before="78"/>
              <w:ind w:left="615" w:right="615"/>
              <w:jc w:val="center"/>
              <w:rPr>
                <w:sz w:val="21"/>
              </w:rPr>
            </w:pPr>
            <w:r>
              <w:rPr>
                <w:rFonts w:ascii="Times New Roman" w:eastAsia="Times New Roman"/>
                <w:sz w:val="21"/>
              </w:rPr>
              <w:t>2013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89"/>
              <w:ind w:right="89"/>
              <w:jc w:val="right"/>
              <w:rPr>
                <w:rFonts w:ascii="Times New Roman"/>
                <w:sz w:val="21"/>
              </w:rPr>
            </w:pPr>
            <w:r>
              <w:rPr>
                <w:rFonts w:ascii="Times New Roman"/>
                <w:sz w:val="21"/>
              </w:rPr>
              <w:t>20.10%</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89"/>
              <w:ind w:right="88"/>
              <w:jc w:val="right"/>
              <w:rPr>
                <w:rFonts w:ascii="Times New Roman"/>
                <w:sz w:val="21"/>
              </w:rPr>
            </w:pPr>
            <w:r>
              <w:rPr>
                <w:rFonts w:ascii="Times New Roman"/>
                <w:sz w:val="21"/>
              </w:rPr>
              <w:t>1.47%</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89"/>
              <w:ind w:right="91"/>
              <w:jc w:val="right"/>
              <w:rPr>
                <w:rFonts w:ascii="Times New Roman"/>
                <w:sz w:val="21"/>
              </w:rPr>
            </w:pPr>
            <w:r>
              <w:rPr>
                <w:rFonts w:ascii="Times New Roman"/>
                <w:sz w:val="21"/>
              </w:rPr>
              <w:t>-0.31%</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89"/>
              <w:ind w:right="87"/>
              <w:jc w:val="right"/>
              <w:rPr>
                <w:rFonts w:ascii="Times New Roman"/>
                <w:sz w:val="21"/>
              </w:rPr>
            </w:pPr>
            <w:r>
              <w:rPr>
                <w:rFonts w:ascii="Times New Roman"/>
                <w:sz w:val="21"/>
              </w:rPr>
              <w:t>1.09%</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89"/>
              <w:ind w:left="351"/>
              <w:rPr>
                <w:rFonts w:ascii="Times New Roman"/>
                <w:sz w:val="21"/>
              </w:rPr>
            </w:pPr>
            <w:r>
              <w:rPr>
                <w:rFonts w:ascii="Times New Roman"/>
                <w:sz w:val="21"/>
              </w:rPr>
              <w:t>20.41%</w:t>
            </w:r>
          </w:p>
        </w:tc>
        <w:tc>
          <w:tcPr>
            <w:tcW w:w="1131" w:type="dxa"/>
            <w:tcBorders>
              <w:top w:val="single" w:sz="4" w:space="0" w:color="000000"/>
              <w:left w:val="single" w:sz="4" w:space="0" w:color="000000"/>
              <w:bottom w:val="single" w:sz="4" w:space="0" w:color="000000"/>
            </w:tcBorders>
          </w:tcPr>
          <w:p>
            <w:pPr>
              <w:pStyle w:val="TableParagraph"/>
              <w:spacing w:before="89"/>
              <w:ind w:right="66"/>
              <w:jc w:val="right"/>
              <w:rPr>
                <w:rFonts w:ascii="Times New Roman"/>
                <w:sz w:val="21"/>
              </w:rPr>
            </w:pPr>
            <w:r>
              <w:rPr>
                <w:rFonts w:ascii="Times New Roman"/>
                <w:sz w:val="21"/>
              </w:rPr>
              <w:t>0.38%</w:t>
            </w:r>
          </w:p>
        </w:tc>
      </w:tr>
      <w:tr>
        <w:trPr>
          <w:trHeight w:val="417" w:hRule="atLeast"/>
        </w:trPr>
        <w:tc>
          <w:tcPr>
            <w:tcW w:w="1980" w:type="dxa"/>
            <w:tcBorders>
              <w:top w:val="single" w:sz="4" w:space="0" w:color="000000"/>
              <w:bottom w:val="single" w:sz="4" w:space="0" w:color="000000"/>
              <w:right w:val="single" w:sz="4" w:space="0" w:color="000000"/>
            </w:tcBorders>
          </w:tcPr>
          <w:p>
            <w:pPr>
              <w:pStyle w:val="TableParagraph"/>
              <w:spacing w:before="75"/>
              <w:ind w:left="615" w:right="615"/>
              <w:jc w:val="center"/>
              <w:rPr>
                <w:sz w:val="21"/>
              </w:rPr>
            </w:pPr>
            <w:r>
              <w:rPr>
                <w:rFonts w:ascii="Times New Roman" w:eastAsia="Times New Roman"/>
                <w:sz w:val="21"/>
              </w:rPr>
              <w:t>2014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87"/>
              <w:ind w:right="90"/>
              <w:jc w:val="right"/>
              <w:rPr>
                <w:rFonts w:ascii="Times New Roman"/>
                <w:sz w:val="21"/>
              </w:rPr>
            </w:pPr>
            <w:r>
              <w:rPr>
                <w:rFonts w:ascii="Times New Roman"/>
                <w:sz w:val="21"/>
              </w:rPr>
              <w:t>1.74%</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87"/>
              <w:ind w:right="88"/>
              <w:jc w:val="right"/>
              <w:rPr>
                <w:rFonts w:ascii="Times New Roman"/>
                <w:sz w:val="21"/>
              </w:rPr>
            </w:pPr>
            <w:r>
              <w:rPr>
                <w:rFonts w:ascii="Times New Roman"/>
                <w:sz w:val="21"/>
              </w:rPr>
              <w:t>1.20%</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87"/>
              <w:ind w:right="89"/>
              <w:jc w:val="right"/>
              <w:rPr>
                <w:rFonts w:ascii="Times New Roman"/>
                <w:sz w:val="21"/>
              </w:rPr>
            </w:pPr>
            <w:r>
              <w:rPr>
                <w:rFonts w:ascii="Times New Roman"/>
                <w:sz w:val="21"/>
              </w:rPr>
              <w:t>19.78%</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87"/>
              <w:ind w:right="87"/>
              <w:jc w:val="right"/>
              <w:rPr>
                <w:rFonts w:ascii="Times New Roman"/>
                <w:sz w:val="21"/>
              </w:rPr>
            </w:pPr>
            <w:r>
              <w:rPr>
                <w:rFonts w:ascii="Times New Roman"/>
                <w:sz w:val="21"/>
              </w:rPr>
              <w:t>0.90%</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87"/>
              <w:ind w:left="281"/>
              <w:rPr>
                <w:rFonts w:ascii="Times New Roman"/>
                <w:sz w:val="21"/>
              </w:rPr>
            </w:pPr>
            <w:r>
              <w:rPr>
                <w:rFonts w:ascii="Times New Roman"/>
                <w:sz w:val="21"/>
              </w:rPr>
              <w:t>-18.04%</w:t>
            </w:r>
          </w:p>
        </w:tc>
        <w:tc>
          <w:tcPr>
            <w:tcW w:w="1131" w:type="dxa"/>
            <w:tcBorders>
              <w:top w:val="single" w:sz="4" w:space="0" w:color="000000"/>
              <w:left w:val="single" w:sz="4" w:space="0" w:color="000000"/>
              <w:bottom w:val="single" w:sz="4" w:space="0" w:color="000000"/>
            </w:tcBorders>
          </w:tcPr>
          <w:p>
            <w:pPr>
              <w:pStyle w:val="TableParagraph"/>
              <w:spacing w:before="87"/>
              <w:ind w:right="66"/>
              <w:jc w:val="right"/>
              <w:rPr>
                <w:rFonts w:ascii="Times New Roman"/>
                <w:sz w:val="21"/>
              </w:rPr>
            </w:pPr>
            <w:r>
              <w:rPr>
                <w:rFonts w:ascii="Times New Roman"/>
                <w:sz w:val="21"/>
              </w:rPr>
              <w:t>0.30%</w:t>
            </w:r>
          </w:p>
        </w:tc>
      </w:tr>
      <w:tr>
        <w:trPr>
          <w:trHeight w:val="414" w:hRule="atLeast"/>
        </w:trPr>
        <w:tc>
          <w:tcPr>
            <w:tcW w:w="1980" w:type="dxa"/>
            <w:tcBorders>
              <w:top w:val="single" w:sz="4" w:space="0" w:color="000000"/>
              <w:bottom w:val="single" w:sz="4" w:space="0" w:color="000000"/>
              <w:right w:val="single" w:sz="4" w:space="0" w:color="000000"/>
            </w:tcBorders>
          </w:tcPr>
          <w:p>
            <w:pPr>
              <w:pStyle w:val="TableParagraph"/>
              <w:spacing w:before="73"/>
              <w:ind w:left="615" w:right="615"/>
              <w:jc w:val="center"/>
              <w:rPr>
                <w:sz w:val="21"/>
              </w:rPr>
            </w:pPr>
            <w:r>
              <w:rPr>
                <w:rFonts w:ascii="Times New Roman" w:eastAsia="Times New Roman"/>
                <w:sz w:val="21"/>
              </w:rPr>
              <w:t>2015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84"/>
              <w:ind w:right="90"/>
              <w:jc w:val="right"/>
              <w:rPr>
                <w:rFonts w:ascii="Times New Roman"/>
                <w:sz w:val="21"/>
              </w:rPr>
            </w:pPr>
            <w:r>
              <w:rPr>
                <w:rFonts w:ascii="Times New Roman"/>
                <w:sz w:val="21"/>
              </w:rPr>
              <w:t>33.42%</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84"/>
              <w:ind w:right="88"/>
              <w:jc w:val="right"/>
              <w:rPr>
                <w:rFonts w:ascii="Times New Roman"/>
                <w:sz w:val="21"/>
              </w:rPr>
            </w:pPr>
            <w:r>
              <w:rPr>
                <w:rFonts w:ascii="Times New Roman"/>
                <w:sz w:val="21"/>
              </w:rPr>
              <w:t>2.73%</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84"/>
              <w:ind w:right="89"/>
              <w:jc w:val="right"/>
              <w:rPr>
                <w:rFonts w:ascii="Times New Roman"/>
                <w:sz w:val="21"/>
              </w:rPr>
            </w:pPr>
            <w:r>
              <w:rPr>
                <w:rFonts w:ascii="Times New Roman"/>
                <w:sz w:val="21"/>
              </w:rPr>
              <w:t>15.40%</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84"/>
              <w:ind w:right="87"/>
              <w:jc w:val="right"/>
              <w:rPr>
                <w:rFonts w:ascii="Times New Roman"/>
                <w:sz w:val="21"/>
              </w:rPr>
            </w:pPr>
            <w:r>
              <w:rPr>
                <w:rFonts w:ascii="Times New Roman"/>
                <w:sz w:val="21"/>
              </w:rPr>
              <w:t>2.09%</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84"/>
              <w:ind w:left="351"/>
              <w:rPr>
                <w:rFonts w:ascii="Times New Roman"/>
                <w:sz w:val="21"/>
              </w:rPr>
            </w:pPr>
            <w:r>
              <w:rPr>
                <w:rFonts w:ascii="Times New Roman"/>
                <w:sz w:val="21"/>
              </w:rPr>
              <w:t>18.02%</w:t>
            </w:r>
          </w:p>
        </w:tc>
        <w:tc>
          <w:tcPr>
            <w:tcW w:w="1131" w:type="dxa"/>
            <w:tcBorders>
              <w:top w:val="single" w:sz="4" w:space="0" w:color="000000"/>
              <w:left w:val="single" w:sz="4" w:space="0" w:color="000000"/>
              <w:bottom w:val="single" w:sz="4" w:space="0" w:color="000000"/>
            </w:tcBorders>
          </w:tcPr>
          <w:p>
            <w:pPr>
              <w:pStyle w:val="TableParagraph"/>
              <w:spacing w:before="84"/>
              <w:ind w:right="66"/>
              <w:jc w:val="right"/>
              <w:rPr>
                <w:rFonts w:ascii="Times New Roman"/>
                <w:sz w:val="21"/>
              </w:rPr>
            </w:pPr>
            <w:r>
              <w:rPr>
                <w:rFonts w:ascii="Times New Roman"/>
                <w:sz w:val="21"/>
              </w:rPr>
              <w:t>0.64%</w:t>
            </w:r>
          </w:p>
        </w:tc>
      </w:tr>
      <w:tr>
        <w:trPr>
          <w:trHeight w:val="417" w:hRule="atLeast"/>
        </w:trPr>
        <w:tc>
          <w:tcPr>
            <w:tcW w:w="1980" w:type="dxa"/>
            <w:tcBorders>
              <w:top w:val="single" w:sz="4" w:space="0" w:color="000000"/>
              <w:bottom w:val="single" w:sz="4" w:space="0" w:color="000000"/>
              <w:right w:val="single" w:sz="4" w:space="0" w:color="000000"/>
            </w:tcBorders>
          </w:tcPr>
          <w:p>
            <w:pPr>
              <w:pStyle w:val="TableParagraph"/>
              <w:spacing w:before="75"/>
              <w:ind w:left="615" w:right="615"/>
              <w:jc w:val="center"/>
              <w:rPr>
                <w:sz w:val="21"/>
              </w:rPr>
            </w:pPr>
            <w:r>
              <w:rPr>
                <w:rFonts w:ascii="Times New Roman" w:eastAsia="Times New Roman"/>
                <w:sz w:val="21"/>
              </w:rPr>
              <w:t>2016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87"/>
              <w:ind w:right="91"/>
              <w:jc w:val="right"/>
              <w:rPr>
                <w:rFonts w:ascii="Times New Roman"/>
                <w:sz w:val="21"/>
              </w:rPr>
            </w:pPr>
            <w:r>
              <w:rPr>
                <w:rFonts w:ascii="Times New Roman"/>
                <w:sz w:val="21"/>
              </w:rPr>
              <w:t>-8.12%</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87"/>
              <w:ind w:right="88"/>
              <w:jc w:val="right"/>
              <w:rPr>
                <w:rFonts w:ascii="Times New Roman"/>
                <w:sz w:val="21"/>
              </w:rPr>
            </w:pPr>
            <w:r>
              <w:rPr>
                <w:rFonts w:ascii="Times New Roman"/>
                <w:sz w:val="21"/>
              </w:rPr>
              <w:t>1.68%</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87"/>
              <w:ind w:right="91"/>
              <w:jc w:val="right"/>
              <w:rPr>
                <w:rFonts w:ascii="Times New Roman"/>
                <w:sz w:val="21"/>
              </w:rPr>
            </w:pPr>
            <w:r>
              <w:rPr>
                <w:rFonts w:ascii="Times New Roman"/>
                <w:sz w:val="21"/>
              </w:rPr>
              <w:t>-16.33%</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87"/>
              <w:ind w:right="87"/>
              <w:jc w:val="right"/>
              <w:rPr>
                <w:rFonts w:ascii="Times New Roman"/>
                <w:sz w:val="21"/>
              </w:rPr>
            </w:pPr>
            <w:r>
              <w:rPr>
                <w:rFonts w:ascii="Times New Roman"/>
                <w:sz w:val="21"/>
              </w:rPr>
              <w:t>1.36%</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87"/>
              <w:ind w:left="457"/>
              <w:rPr>
                <w:rFonts w:ascii="Times New Roman"/>
                <w:sz w:val="21"/>
              </w:rPr>
            </w:pPr>
            <w:r>
              <w:rPr>
                <w:rFonts w:ascii="Times New Roman"/>
                <w:sz w:val="21"/>
              </w:rPr>
              <w:t>8.21%</w:t>
            </w:r>
          </w:p>
        </w:tc>
        <w:tc>
          <w:tcPr>
            <w:tcW w:w="1131" w:type="dxa"/>
            <w:tcBorders>
              <w:top w:val="single" w:sz="4" w:space="0" w:color="000000"/>
              <w:left w:val="single" w:sz="4" w:space="0" w:color="000000"/>
              <w:bottom w:val="single" w:sz="4" w:space="0" w:color="000000"/>
            </w:tcBorders>
          </w:tcPr>
          <w:p>
            <w:pPr>
              <w:pStyle w:val="TableParagraph"/>
              <w:spacing w:before="87"/>
              <w:ind w:right="66"/>
              <w:jc w:val="right"/>
              <w:rPr>
                <w:rFonts w:ascii="Times New Roman"/>
                <w:sz w:val="21"/>
              </w:rPr>
            </w:pPr>
            <w:r>
              <w:rPr>
                <w:rFonts w:ascii="Times New Roman"/>
                <w:sz w:val="21"/>
              </w:rPr>
              <w:t>0.32%</w:t>
            </w:r>
          </w:p>
        </w:tc>
      </w:tr>
      <w:tr>
        <w:trPr>
          <w:trHeight w:val="414" w:hRule="atLeast"/>
        </w:trPr>
        <w:tc>
          <w:tcPr>
            <w:tcW w:w="1980" w:type="dxa"/>
            <w:tcBorders>
              <w:top w:val="single" w:sz="4" w:space="0" w:color="000000"/>
              <w:bottom w:val="single" w:sz="4" w:space="0" w:color="000000"/>
              <w:right w:val="single" w:sz="4" w:space="0" w:color="000000"/>
            </w:tcBorders>
          </w:tcPr>
          <w:p>
            <w:pPr>
              <w:pStyle w:val="TableParagraph"/>
              <w:spacing w:before="73"/>
              <w:ind w:left="615" w:right="615"/>
              <w:jc w:val="center"/>
              <w:rPr>
                <w:sz w:val="21"/>
              </w:rPr>
            </w:pPr>
            <w:r>
              <w:rPr>
                <w:rFonts w:ascii="Times New Roman" w:eastAsia="Times New Roman"/>
                <w:sz w:val="21"/>
              </w:rPr>
              <w:t>2017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84"/>
              <w:ind w:right="90"/>
              <w:jc w:val="right"/>
              <w:rPr>
                <w:rFonts w:ascii="Times New Roman"/>
                <w:sz w:val="21"/>
              </w:rPr>
            </w:pPr>
            <w:r>
              <w:rPr>
                <w:rFonts w:ascii="Times New Roman"/>
                <w:sz w:val="21"/>
              </w:rPr>
              <w:t>56.28%</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84"/>
              <w:ind w:right="88"/>
              <w:jc w:val="right"/>
              <w:rPr>
                <w:rFonts w:ascii="Times New Roman"/>
                <w:sz w:val="21"/>
              </w:rPr>
            </w:pPr>
            <w:r>
              <w:rPr>
                <w:rFonts w:ascii="Times New Roman"/>
                <w:sz w:val="21"/>
              </w:rPr>
              <w:t>1.05%</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84"/>
              <w:ind w:right="89"/>
              <w:jc w:val="right"/>
              <w:rPr>
                <w:rFonts w:ascii="Times New Roman"/>
                <w:sz w:val="21"/>
              </w:rPr>
            </w:pPr>
            <w:r>
              <w:rPr>
                <w:rFonts w:ascii="Times New Roman"/>
                <w:sz w:val="21"/>
              </w:rPr>
              <w:t>15.29%</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84"/>
              <w:ind w:right="87"/>
              <w:jc w:val="right"/>
              <w:rPr>
                <w:rFonts w:ascii="Times New Roman"/>
                <w:sz w:val="21"/>
              </w:rPr>
            </w:pPr>
            <w:r>
              <w:rPr>
                <w:rFonts w:ascii="Times New Roman"/>
                <w:sz w:val="21"/>
              </w:rPr>
              <w:t>0.57%</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84"/>
              <w:ind w:left="351"/>
              <w:rPr>
                <w:rFonts w:ascii="Times New Roman"/>
                <w:sz w:val="21"/>
              </w:rPr>
            </w:pPr>
            <w:r>
              <w:rPr>
                <w:rFonts w:ascii="Times New Roman"/>
                <w:sz w:val="21"/>
              </w:rPr>
              <w:t>40.99%</w:t>
            </w:r>
          </w:p>
        </w:tc>
        <w:tc>
          <w:tcPr>
            <w:tcW w:w="1131" w:type="dxa"/>
            <w:tcBorders>
              <w:top w:val="single" w:sz="4" w:space="0" w:color="000000"/>
              <w:left w:val="single" w:sz="4" w:space="0" w:color="000000"/>
              <w:bottom w:val="single" w:sz="4" w:space="0" w:color="000000"/>
            </w:tcBorders>
          </w:tcPr>
          <w:p>
            <w:pPr>
              <w:pStyle w:val="TableParagraph"/>
              <w:spacing w:before="84"/>
              <w:ind w:right="66"/>
              <w:jc w:val="right"/>
              <w:rPr>
                <w:rFonts w:ascii="Times New Roman"/>
                <w:sz w:val="21"/>
              </w:rPr>
            </w:pPr>
            <w:r>
              <w:rPr>
                <w:rFonts w:ascii="Times New Roman"/>
                <w:sz w:val="21"/>
              </w:rPr>
              <w:t>0.48%</w:t>
            </w:r>
          </w:p>
        </w:tc>
      </w:tr>
      <w:tr>
        <w:trPr>
          <w:trHeight w:val="417" w:hRule="atLeast"/>
        </w:trPr>
        <w:tc>
          <w:tcPr>
            <w:tcW w:w="1980" w:type="dxa"/>
            <w:tcBorders>
              <w:top w:val="single" w:sz="4" w:space="0" w:color="000000"/>
              <w:bottom w:val="single" w:sz="4" w:space="0" w:color="000000"/>
              <w:right w:val="single" w:sz="4" w:space="0" w:color="000000"/>
            </w:tcBorders>
          </w:tcPr>
          <w:p>
            <w:pPr>
              <w:pStyle w:val="TableParagraph"/>
              <w:spacing w:before="75"/>
              <w:ind w:left="615" w:right="615"/>
              <w:jc w:val="center"/>
              <w:rPr>
                <w:sz w:val="21"/>
              </w:rPr>
            </w:pPr>
            <w:r>
              <w:rPr>
                <w:rFonts w:ascii="Times New Roman" w:eastAsia="Times New Roman"/>
                <w:sz w:val="21"/>
              </w:rPr>
              <w:t>2018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87"/>
              <w:ind w:right="92"/>
              <w:jc w:val="right"/>
              <w:rPr>
                <w:rFonts w:ascii="Times New Roman"/>
                <w:sz w:val="21"/>
              </w:rPr>
            </w:pPr>
            <w:r>
              <w:rPr>
                <w:rFonts w:ascii="Times New Roman"/>
                <w:sz w:val="21"/>
              </w:rPr>
              <w:t>-15.81%</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87"/>
              <w:ind w:right="88"/>
              <w:jc w:val="right"/>
              <w:rPr>
                <w:rFonts w:ascii="Times New Roman"/>
                <w:sz w:val="21"/>
              </w:rPr>
            </w:pPr>
            <w:r>
              <w:rPr>
                <w:rFonts w:ascii="Times New Roman"/>
                <w:sz w:val="21"/>
              </w:rPr>
              <w:t>1.67%</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87"/>
              <w:ind w:right="91"/>
              <w:jc w:val="right"/>
              <w:rPr>
                <w:rFonts w:ascii="Times New Roman"/>
                <w:sz w:val="21"/>
              </w:rPr>
            </w:pPr>
            <w:r>
              <w:rPr>
                <w:rFonts w:ascii="Times New Roman"/>
                <w:sz w:val="21"/>
              </w:rPr>
              <w:t>-25.64%</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87"/>
              <w:ind w:right="87"/>
              <w:jc w:val="right"/>
              <w:rPr>
                <w:rFonts w:ascii="Times New Roman"/>
                <w:sz w:val="21"/>
              </w:rPr>
            </w:pPr>
            <w:r>
              <w:rPr>
                <w:rFonts w:ascii="Times New Roman"/>
                <w:sz w:val="21"/>
              </w:rPr>
              <w:t>1.20%</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87"/>
              <w:ind w:left="457"/>
              <w:rPr>
                <w:rFonts w:ascii="Times New Roman"/>
                <w:sz w:val="21"/>
              </w:rPr>
            </w:pPr>
            <w:r>
              <w:rPr>
                <w:rFonts w:ascii="Times New Roman"/>
                <w:sz w:val="21"/>
              </w:rPr>
              <w:t>9.83%</w:t>
            </w:r>
          </w:p>
        </w:tc>
        <w:tc>
          <w:tcPr>
            <w:tcW w:w="1131" w:type="dxa"/>
            <w:tcBorders>
              <w:top w:val="single" w:sz="4" w:space="0" w:color="000000"/>
              <w:left w:val="single" w:sz="4" w:space="0" w:color="000000"/>
              <w:bottom w:val="single" w:sz="4" w:space="0" w:color="000000"/>
            </w:tcBorders>
          </w:tcPr>
          <w:p>
            <w:pPr>
              <w:pStyle w:val="TableParagraph"/>
              <w:spacing w:before="87"/>
              <w:ind w:right="66"/>
              <w:jc w:val="right"/>
              <w:rPr>
                <w:rFonts w:ascii="Times New Roman"/>
                <w:sz w:val="21"/>
              </w:rPr>
            </w:pPr>
            <w:r>
              <w:rPr>
                <w:rFonts w:ascii="Times New Roman"/>
                <w:sz w:val="21"/>
              </w:rPr>
              <w:t>0.47%</w:t>
            </w:r>
          </w:p>
        </w:tc>
      </w:tr>
      <w:tr>
        <w:trPr>
          <w:trHeight w:val="415" w:hRule="atLeast"/>
        </w:trPr>
        <w:tc>
          <w:tcPr>
            <w:tcW w:w="1980" w:type="dxa"/>
            <w:tcBorders>
              <w:top w:val="single" w:sz="4" w:space="0" w:color="000000"/>
              <w:bottom w:val="single" w:sz="4" w:space="0" w:color="000000"/>
              <w:right w:val="single" w:sz="4" w:space="0" w:color="000000"/>
            </w:tcBorders>
          </w:tcPr>
          <w:p>
            <w:pPr>
              <w:pStyle w:val="TableParagraph"/>
              <w:spacing w:before="73"/>
              <w:ind w:left="615" w:right="615"/>
              <w:jc w:val="center"/>
              <w:rPr>
                <w:sz w:val="21"/>
              </w:rPr>
            </w:pPr>
            <w:r>
              <w:rPr>
                <w:rFonts w:ascii="Times New Roman" w:eastAsia="Times New Roman"/>
                <w:sz w:val="21"/>
              </w:rPr>
              <w:t>2019 </w:t>
            </w:r>
            <w:r>
              <w:rPr>
                <w:sz w:val="21"/>
              </w:rPr>
              <w:t>年</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before="89"/>
              <w:ind w:right="91"/>
              <w:jc w:val="right"/>
              <w:rPr>
                <w:rFonts w:ascii="Times New Roman"/>
                <w:sz w:val="20"/>
              </w:rPr>
            </w:pPr>
            <w:r>
              <w:rPr>
                <w:rFonts w:ascii="Times New Roman"/>
                <w:sz w:val="20"/>
              </w:rPr>
              <w:t>72.18%</w:t>
            </w:r>
          </w:p>
        </w:tc>
        <w:tc>
          <w:tcPr>
            <w:tcW w:w="1439" w:type="dxa"/>
            <w:tcBorders>
              <w:top w:val="single" w:sz="4" w:space="0" w:color="000000"/>
              <w:left w:val="single" w:sz="4" w:space="0" w:color="000000"/>
              <w:bottom w:val="single" w:sz="4" w:space="0" w:color="000000"/>
              <w:right w:val="single" w:sz="4" w:space="0" w:color="000000"/>
            </w:tcBorders>
          </w:tcPr>
          <w:p>
            <w:pPr>
              <w:pStyle w:val="TableParagraph"/>
              <w:spacing w:before="89"/>
              <w:ind w:right="89"/>
              <w:jc w:val="right"/>
              <w:rPr>
                <w:rFonts w:ascii="Times New Roman"/>
                <w:sz w:val="20"/>
              </w:rPr>
            </w:pPr>
            <w:r>
              <w:rPr>
                <w:rFonts w:ascii="Times New Roman"/>
                <w:sz w:val="20"/>
              </w:rPr>
              <w:t>1.43%</w:t>
            </w:r>
          </w:p>
        </w:tc>
        <w:tc>
          <w:tcPr>
            <w:tcW w:w="1547" w:type="dxa"/>
            <w:tcBorders>
              <w:top w:val="single" w:sz="4" w:space="0" w:color="000000"/>
              <w:left w:val="single" w:sz="4" w:space="0" w:color="000000"/>
              <w:bottom w:val="single" w:sz="4" w:space="0" w:color="000000"/>
              <w:right w:val="single" w:sz="4" w:space="0" w:color="000000"/>
            </w:tcBorders>
          </w:tcPr>
          <w:p>
            <w:pPr>
              <w:pStyle w:val="TableParagraph"/>
              <w:spacing w:before="89"/>
              <w:ind w:right="90"/>
              <w:jc w:val="right"/>
              <w:rPr>
                <w:rFonts w:ascii="Times New Roman"/>
                <w:sz w:val="20"/>
              </w:rPr>
            </w:pPr>
            <w:r>
              <w:rPr>
                <w:rFonts w:ascii="Times New Roman"/>
                <w:sz w:val="20"/>
              </w:rPr>
              <w:t>37.45%</w:t>
            </w:r>
          </w:p>
        </w:tc>
        <w:tc>
          <w:tcPr>
            <w:tcW w:w="1299" w:type="dxa"/>
            <w:tcBorders>
              <w:top w:val="single" w:sz="4" w:space="0" w:color="000000"/>
              <w:left w:val="single" w:sz="4" w:space="0" w:color="000000"/>
              <w:bottom w:val="single" w:sz="4" w:space="0" w:color="000000"/>
              <w:right w:val="single" w:sz="4" w:space="0" w:color="000000"/>
            </w:tcBorders>
          </w:tcPr>
          <w:p>
            <w:pPr>
              <w:pStyle w:val="TableParagraph"/>
              <w:spacing w:before="89"/>
              <w:ind w:right="88"/>
              <w:jc w:val="right"/>
              <w:rPr>
                <w:rFonts w:ascii="Times New Roman"/>
                <w:sz w:val="20"/>
              </w:rPr>
            </w:pPr>
            <w:r>
              <w:rPr>
                <w:rFonts w:ascii="Times New Roman"/>
                <w:sz w:val="20"/>
              </w:rPr>
              <w:t>1.08%</w:t>
            </w:r>
          </w:p>
        </w:tc>
        <w:tc>
          <w:tcPr>
            <w:tcW w:w="1098" w:type="dxa"/>
            <w:tcBorders>
              <w:top w:val="single" w:sz="4" w:space="0" w:color="000000"/>
              <w:left w:val="single" w:sz="4" w:space="0" w:color="000000"/>
              <w:bottom w:val="single" w:sz="4" w:space="0" w:color="000000"/>
              <w:right w:val="single" w:sz="4" w:space="0" w:color="000000"/>
            </w:tcBorders>
          </w:tcPr>
          <w:p>
            <w:pPr>
              <w:pStyle w:val="TableParagraph"/>
              <w:spacing w:before="89"/>
              <w:ind w:left="382"/>
              <w:rPr>
                <w:rFonts w:ascii="Times New Roman"/>
                <w:sz w:val="20"/>
              </w:rPr>
            </w:pPr>
            <w:r>
              <w:rPr>
                <w:rFonts w:ascii="Times New Roman"/>
                <w:sz w:val="20"/>
              </w:rPr>
              <w:t>34.73%</w:t>
            </w:r>
          </w:p>
        </w:tc>
        <w:tc>
          <w:tcPr>
            <w:tcW w:w="1131" w:type="dxa"/>
            <w:tcBorders>
              <w:top w:val="single" w:sz="4" w:space="0" w:color="000000"/>
              <w:left w:val="single" w:sz="4" w:space="0" w:color="000000"/>
              <w:bottom w:val="single" w:sz="4" w:space="0" w:color="000000"/>
            </w:tcBorders>
          </w:tcPr>
          <w:p>
            <w:pPr>
              <w:pStyle w:val="TableParagraph"/>
              <w:spacing w:before="89"/>
              <w:ind w:right="67"/>
              <w:jc w:val="right"/>
              <w:rPr>
                <w:rFonts w:ascii="Times New Roman"/>
                <w:sz w:val="20"/>
              </w:rPr>
            </w:pPr>
            <w:r>
              <w:rPr>
                <w:rFonts w:ascii="Times New Roman"/>
                <w:sz w:val="20"/>
              </w:rPr>
              <w:t>0.35%</w:t>
            </w:r>
          </w:p>
        </w:tc>
      </w:tr>
      <w:tr>
        <w:trPr>
          <w:trHeight w:val="625" w:hRule="atLeast"/>
        </w:trPr>
        <w:tc>
          <w:tcPr>
            <w:tcW w:w="1980" w:type="dxa"/>
            <w:tcBorders>
              <w:top w:val="single" w:sz="4" w:space="0" w:color="000000"/>
              <w:right w:val="single" w:sz="4" w:space="0" w:color="000000"/>
            </w:tcBorders>
          </w:tcPr>
          <w:p>
            <w:pPr>
              <w:pStyle w:val="TableParagraph"/>
              <w:spacing w:before="22"/>
              <w:ind w:left="92"/>
              <w:rPr>
                <w:sz w:val="21"/>
              </w:rPr>
            </w:pPr>
            <w:r>
              <w:rPr>
                <w:rFonts w:ascii="Times New Roman" w:eastAsia="Times New Roman"/>
                <w:sz w:val="21"/>
              </w:rPr>
              <w:t>2006</w:t>
            </w:r>
            <w:r>
              <w:rPr>
                <w:rFonts w:ascii="Times New Roman" w:eastAsia="Times New Roman"/>
                <w:spacing w:val="-16"/>
                <w:sz w:val="21"/>
              </w:rPr>
              <w:t> </w:t>
            </w:r>
            <w:r>
              <w:rPr>
                <w:spacing w:val="-33"/>
                <w:sz w:val="21"/>
              </w:rPr>
              <w:t>年 </w:t>
            </w:r>
            <w:r>
              <w:rPr>
                <w:rFonts w:ascii="Times New Roman" w:eastAsia="Times New Roman"/>
                <w:sz w:val="21"/>
              </w:rPr>
              <w:t>6</w:t>
            </w:r>
            <w:r>
              <w:rPr>
                <w:rFonts w:ascii="Times New Roman" w:eastAsia="Times New Roman"/>
                <w:spacing w:val="-16"/>
                <w:sz w:val="21"/>
              </w:rPr>
              <w:t> </w:t>
            </w:r>
            <w:r>
              <w:rPr>
                <w:spacing w:val="-33"/>
                <w:sz w:val="21"/>
              </w:rPr>
              <w:t>月 </w:t>
            </w:r>
            <w:r>
              <w:rPr>
                <w:rFonts w:ascii="Times New Roman" w:eastAsia="Times New Roman"/>
                <w:sz w:val="21"/>
              </w:rPr>
              <w:t>28</w:t>
            </w:r>
            <w:r>
              <w:rPr>
                <w:rFonts w:ascii="Times New Roman" w:eastAsia="Times New Roman"/>
                <w:spacing w:val="-13"/>
                <w:sz w:val="21"/>
              </w:rPr>
              <w:t> </w:t>
            </w:r>
            <w:r>
              <w:rPr>
                <w:spacing w:val="-3"/>
                <w:sz w:val="21"/>
              </w:rPr>
              <w:t>日至</w:t>
            </w:r>
          </w:p>
          <w:p>
            <w:pPr>
              <w:pStyle w:val="TableParagraph"/>
              <w:spacing w:before="43"/>
              <w:ind w:left="107"/>
              <w:rPr>
                <w:sz w:val="21"/>
              </w:rPr>
            </w:pPr>
            <w:r>
              <w:rPr>
                <w:rFonts w:ascii="Times New Roman" w:eastAsia="Times New Roman"/>
                <w:sz w:val="21"/>
              </w:rPr>
              <w:t>2019</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291" w:type="dxa"/>
            <w:tcBorders>
              <w:top w:val="single" w:sz="4" w:space="0" w:color="000000"/>
              <w:left w:val="single" w:sz="4" w:space="0" w:color="000000"/>
              <w:right w:val="single" w:sz="4" w:space="0" w:color="000000"/>
            </w:tcBorders>
          </w:tcPr>
          <w:p>
            <w:pPr>
              <w:pStyle w:val="TableParagraph"/>
              <w:spacing w:before="194"/>
              <w:ind w:right="93"/>
              <w:jc w:val="right"/>
              <w:rPr>
                <w:rFonts w:ascii="Times New Roman"/>
                <w:sz w:val="20"/>
              </w:rPr>
            </w:pPr>
            <w:r>
              <w:rPr>
                <w:rFonts w:ascii="Times New Roman"/>
                <w:w w:val="95"/>
                <w:sz w:val="20"/>
              </w:rPr>
              <w:t>382.70%</w:t>
            </w:r>
          </w:p>
        </w:tc>
        <w:tc>
          <w:tcPr>
            <w:tcW w:w="1439" w:type="dxa"/>
            <w:tcBorders>
              <w:top w:val="single" w:sz="4" w:space="0" w:color="000000"/>
              <w:left w:val="single" w:sz="4" w:space="0" w:color="000000"/>
              <w:right w:val="single" w:sz="4" w:space="0" w:color="000000"/>
            </w:tcBorders>
          </w:tcPr>
          <w:p>
            <w:pPr>
              <w:pStyle w:val="TableParagraph"/>
              <w:spacing w:before="194"/>
              <w:ind w:right="89"/>
              <w:jc w:val="right"/>
              <w:rPr>
                <w:rFonts w:ascii="Times New Roman"/>
                <w:sz w:val="20"/>
              </w:rPr>
            </w:pPr>
            <w:r>
              <w:rPr>
                <w:rFonts w:ascii="Times New Roman"/>
                <w:sz w:val="20"/>
              </w:rPr>
              <w:t>1.66%</w:t>
            </w:r>
          </w:p>
        </w:tc>
        <w:tc>
          <w:tcPr>
            <w:tcW w:w="1547" w:type="dxa"/>
            <w:tcBorders>
              <w:top w:val="single" w:sz="4" w:space="0" w:color="000000"/>
              <w:left w:val="single" w:sz="4" w:space="0" w:color="000000"/>
              <w:right w:val="single" w:sz="4" w:space="0" w:color="000000"/>
            </w:tcBorders>
          </w:tcPr>
          <w:p>
            <w:pPr>
              <w:pStyle w:val="TableParagraph"/>
              <w:spacing w:before="194"/>
              <w:ind w:right="93"/>
              <w:jc w:val="right"/>
              <w:rPr>
                <w:rFonts w:ascii="Times New Roman"/>
                <w:sz w:val="20"/>
              </w:rPr>
            </w:pPr>
            <w:r>
              <w:rPr>
                <w:rFonts w:ascii="Times New Roman"/>
                <w:sz w:val="20"/>
              </w:rPr>
              <w:t>116.91%</w:t>
            </w:r>
          </w:p>
        </w:tc>
        <w:tc>
          <w:tcPr>
            <w:tcW w:w="1299" w:type="dxa"/>
            <w:tcBorders>
              <w:top w:val="single" w:sz="4" w:space="0" w:color="000000"/>
              <w:left w:val="single" w:sz="4" w:space="0" w:color="000000"/>
              <w:right w:val="single" w:sz="4" w:space="0" w:color="000000"/>
            </w:tcBorders>
          </w:tcPr>
          <w:p>
            <w:pPr>
              <w:pStyle w:val="TableParagraph"/>
              <w:spacing w:before="194"/>
              <w:ind w:right="88"/>
              <w:jc w:val="right"/>
              <w:rPr>
                <w:rFonts w:ascii="Times New Roman"/>
                <w:sz w:val="20"/>
              </w:rPr>
            </w:pPr>
            <w:r>
              <w:rPr>
                <w:rFonts w:ascii="Times New Roman"/>
                <w:sz w:val="20"/>
              </w:rPr>
              <w:t>1.44%</w:t>
            </w:r>
          </w:p>
        </w:tc>
        <w:tc>
          <w:tcPr>
            <w:tcW w:w="1098" w:type="dxa"/>
            <w:tcBorders>
              <w:top w:val="single" w:sz="4" w:space="0" w:color="000000"/>
              <w:left w:val="single" w:sz="4" w:space="0" w:color="000000"/>
              <w:right w:val="single" w:sz="4" w:space="0" w:color="000000"/>
            </w:tcBorders>
          </w:tcPr>
          <w:p>
            <w:pPr>
              <w:pStyle w:val="TableParagraph"/>
              <w:spacing w:before="194"/>
              <w:ind w:left="281"/>
              <w:rPr>
                <w:rFonts w:ascii="Times New Roman"/>
                <w:sz w:val="20"/>
              </w:rPr>
            </w:pPr>
            <w:r>
              <w:rPr>
                <w:rFonts w:ascii="Times New Roman"/>
                <w:sz w:val="20"/>
              </w:rPr>
              <w:t>265.79%</w:t>
            </w:r>
          </w:p>
        </w:tc>
        <w:tc>
          <w:tcPr>
            <w:tcW w:w="1131" w:type="dxa"/>
            <w:tcBorders>
              <w:top w:val="single" w:sz="4" w:space="0" w:color="000000"/>
              <w:left w:val="single" w:sz="4" w:space="0" w:color="000000"/>
            </w:tcBorders>
          </w:tcPr>
          <w:p>
            <w:pPr>
              <w:pStyle w:val="TableParagraph"/>
              <w:spacing w:before="194"/>
              <w:ind w:right="67"/>
              <w:jc w:val="right"/>
              <w:rPr>
                <w:rFonts w:ascii="Times New Roman"/>
                <w:sz w:val="20"/>
              </w:rPr>
            </w:pPr>
            <w:r>
              <w:rPr>
                <w:rFonts w:ascii="Times New Roman"/>
                <w:sz w:val="20"/>
              </w:rPr>
              <w:t>0.22%</w:t>
            </w:r>
          </w:p>
        </w:tc>
      </w:tr>
    </w:tbl>
    <w:p>
      <w:pPr>
        <w:pStyle w:val="BodyText"/>
        <w:rPr>
          <w:b/>
          <w:sz w:val="22"/>
        </w:rPr>
      </w:pPr>
    </w:p>
    <w:p>
      <w:pPr>
        <w:pStyle w:val="BodyText"/>
        <w:spacing w:before="5"/>
        <w:rPr>
          <w:b/>
          <w:sz w:val="23"/>
        </w:rPr>
      </w:pPr>
    </w:p>
    <w:p>
      <w:pPr>
        <w:pStyle w:val="Heading4"/>
        <w:spacing w:line="417" w:lineRule="auto"/>
        <w:ind w:right="897"/>
      </w:pPr>
      <w:r>
        <w:rPr>
          <w:rFonts w:ascii="Times New Roman" w:eastAsia="Times New Roman"/>
        </w:rPr>
        <w:t>2</w:t>
      </w:r>
      <w:r>
        <w:rPr>
          <w:spacing w:val="-6"/>
        </w:rPr>
        <w:t>、自基金合同生效以来基金累计份额净值增长率变动及其与同期业绩比较基准收益率变动</w:t>
      </w:r>
      <w:r>
        <w:rPr/>
        <w:t>的比较</w:t>
      </w:r>
    </w:p>
    <w:p>
      <w:pPr>
        <w:spacing w:after="0" w:line="417" w:lineRule="auto"/>
        <w:sectPr>
          <w:pgSz w:w="11910" w:h="16840"/>
          <w:pgMar w:header="877" w:footer="995" w:top="1100" w:bottom="1180" w:left="960" w:right="900"/>
        </w:sectPr>
      </w:pPr>
    </w:p>
    <w:p>
      <w:pPr>
        <w:pStyle w:val="BodyText"/>
        <w:rPr>
          <w:b/>
          <w:sz w:val="20"/>
        </w:rPr>
      </w:pPr>
    </w:p>
    <w:p>
      <w:pPr>
        <w:pStyle w:val="BodyText"/>
        <w:rPr>
          <w:b/>
          <w:sz w:val="15"/>
        </w:rPr>
      </w:pPr>
    </w:p>
    <w:p>
      <w:pPr>
        <w:pStyle w:val="BodyText"/>
        <w:ind w:left="925"/>
        <w:rPr>
          <w:sz w:val="20"/>
        </w:rPr>
      </w:pPr>
      <w:r>
        <w:rPr>
          <w:sz w:val="20"/>
        </w:rPr>
        <w:drawing>
          <wp:inline distT="0" distB="0" distL="0" distR="0">
            <wp:extent cx="5151662" cy="299942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167" cstate="print"/>
                    <a:stretch>
                      <a:fillRect/>
                    </a:stretch>
                  </pic:blipFill>
                  <pic:spPr>
                    <a:xfrm>
                      <a:off x="0" y="0"/>
                      <a:ext cx="5151662" cy="2999422"/>
                    </a:xfrm>
                    <a:prstGeom prst="rect">
                      <a:avLst/>
                    </a:prstGeom>
                  </pic:spPr>
                </pic:pic>
              </a:graphicData>
            </a:graphic>
          </wp:inline>
        </w:drawing>
      </w:r>
      <w:r>
        <w:rPr>
          <w:sz w:val="20"/>
        </w:rPr>
      </w:r>
    </w:p>
    <w:p>
      <w:pPr>
        <w:pStyle w:val="BodyText"/>
        <w:spacing w:before="3"/>
        <w:rPr>
          <w:b/>
          <w:sz w:val="13"/>
        </w:rPr>
      </w:pPr>
    </w:p>
    <w:p>
      <w:pPr>
        <w:pStyle w:val="BodyText"/>
        <w:spacing w:line="417" w:lineRule="auto" w:before="72"/>
        <w:ind w:left="840" w:right="891"/>
        <w:jc w:val="both"/>
      </w:pPr>
      <w:r>
        <w:rPr>
          <w:spacing w:val="-8"/>
        </w:rPr>
        <w:t>注：本基金的资产配置比例为：对于股票的投资不少于基金资产净值的 </w:t>
      </w:r>
      <w:r>
        <w:rPr>
          <w:spacing w:val="-10"/>
        </w:rPr>
        <w:t>65</w:t>
      </w:r>
      <w:r>
        <w:rPr>
          <w:spacing w:val="-5"/>
        </w:rPr>
        <w:t>%，持有现金或者</w:t>
      </w:r>
      <w:r>
        <w:rPr>
          <w:spacing w:val="-6"/>
        </w:rPr>
        <w:t>到期日在一年以内的政府债券的比例不低于基金资产净值的 </w:t>
      </w:r>
      <w:r>
        <w:rPr/>
        <w:t>5</w:t>
      </w:r>
      <w:r>
        <w:rPr>
          <w:spacing w:val="-3"/>
        </w:rPr>
        <w:t>%。本基金投资于成长型上市</w:t>
      </w:r>
      <w:r>
        <w:rPr>
          <w:spacing w:val="-2"/>
        </w:rPr>
        <w:t>公司的股票比例高于非现金基金资产的</w:t>
      </w:r>
      <w:r>
        <w:rPr>
          <w:spacing w:val="-18"/>
        </w:rPr>
        <w:t>80</w:t>
      </w:r>
      <w:r>
        <w:rPr>
          <w:spacing w:val="-10"/>
        </w:rPr>
        <w:t>%。本基金自</w:t>
      </w:r>
      <w:r>
        <w:rPr/>
        <w:t>2006</w:t>
      </w:r>
      <w:r>
        <w:rPr>
          <w:spacing w:val="-20"/>
        </w:rPr>
        <w:t> 年</w:t>
      </w:r>
      <w:r>
        <w:rPr/>
        <w:t>6</w:t>
      </w:r>
      <w:r>
        <w:rPr>
          <w:spacing w:val="-19"/>
        </w:rPr>
        <w:t> 月</w:t>
      </w:r>
      <w:r>
        <w:rPr/>
        <w:t>28</w:t>
      </w:r>
      <w:r>
        <w:rPr>
          <w:spacing w:val="-7"/>
        </w:rPr>
        <w:t> 日合同生效日起至</w:t>
      </w:r>
      <w:r>
        <w:rPr/>
        <w:t>2006</w:t>
      </w:r>
    </w:p>
    <w:p>
      <w:pPr>
        <w:pStyle w:val="BodyText"/>
        <w:ind w:left="840"/>
        <w:jc w:val="both"/>
      </w:pPr>
      <w:r>
        <w:rPr>
          <w:spacing w:val="-21"/>
        </w:rPr>
        <w:t>年 </w:t>
      </w:r>
      <w:r>
        <w:rPr/>
        <w:t>12</w:t>
      </w:r>
      <w:r>
        <w:rPr>
          <w:spacing w:val="-29"/>
        </w:rPr>
        <w:t> 月 </w:t>
      </w:r>
      <w:r>
        <w:rPr/>
        <w:t>27</w:t>
      </w:r>
      <w:r>
        <w:rPr>
          <w:spacing w:val="-14"/>
        </w:rPr>
        <w:t> 日为建仓期。建仓期结束时，本基金投资组合达到上述投资组合比例的要求。自</w:t>
      </w:r>
    </w:p>
    <w:p>
      <w:pPr>
        <w:pStyle w:val="BodyText"/>
        <w:spacing w:before="6"/>
        <w:rPr>
          <w:sz w:val="15"/>
        </w:rPr>
      </w:pPr>
    </w:p>
    <w:p>
      <w:pPr>
        <w:pStyle w:val="BodyText"/>
        <w:ind w:left="840"/>
        <w:jc w:val="both"/>
      </w:pPr>
      <w:r>
        <w:rPr/>
        <w:t>2017</w:t>
      </w:r>
      <w:r>
        <w:rPr>
          <w:spacing w:val="-33"/>
        </w:rPr>
        <w:t> 年 </w:t>
      </w:r>
      <w:r>
        <w:rPr/>
        <w:t>9</w:t>
      </w:r>
      <w:r>
        <w:rPr>
          <w:spacing w:val="-33"/>
        </w:rPr>
        <w:t> 月 </w:t>
      </w:r>
      <w:r>
        <w:rPr/>
        <w:t>6</w:t>
      </w:r>
      <w:r>
        <w:rPr>
          <w:spacing w:val="-13"/>
        </w:rPr>
        <w:t> 日起，本基金业绩比较基准由“富时中国 </w:t>
      </w:r>
      <w:r>
        <w:rPr/>
        <w:t>A600</w:t>
      </w:r>
      <w:r>
        <w:rPr>
          <w:spacing w:val="-10"/>
        </w:rPr>
        <w:t> 成长指数×</w:t>
      </w:r>
      <w:r>
        <w:rPr/>
        <w:t>80</w:t>
      </w:r>
      <w:r>
        <w:rPr>
          <w:spacing w:val="-2"/>
        </w:rPr>
        <w:t>%+同业存款利率</w:t>
      </w:r>
    </w:p>
    <w:p>
      <w:pPr>
        <w:pStyle w:val="BodyText"/>
        <w:spacing w:before="7"/>
        <w:rPr>
          <w:sz w:val="15"/>
        </w:rPr>
      </w:pPr>
    </w:p>
    <w:p>
      <w:pPr>
        <w:pStyle w:val="BodyText"/>
        <w:ind w:left="840"/>
        <w:jc w:val="both"/>
      </w:pPr>
      <w:r>
        <w:rPr/>
        <w:t>×20%”调整为“中证 800 成长指数×80%＋银行同业存款利率×20%”。</w:t>
      </w:r>
    </w:p>
    <w:p>
      <w:pPr>
        <w:spacing w:after="0"/>
        <w:jc w:val="both"/>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pPr>
      <w:bookmarkStart w:name="_TOC_250013" w:id="11"/>
      <w:bookmarkEnd w:id="11"/>
      <w:r>
        <w:rPr/>
        <w:t>十一、基金的财产</w:t>
      </w:r>
    </w:p>
    <w:p>
      <w:pPr>
        <w:pStyle w:val="BodyText"/>
        <w:rPr>
          <w:rFonts w:ascii="黑体"/>
          <w:b/>
          <w:sz w:val="20"/>
        </w:rPr>
      </w:pPr>
    </w:p>
    <w:p>
      <w:pPr>
        <w:pStyle w:val="BodyText"/>
        <w:spacing w:before="4"/>
        <w:rPr>
          <w:rFonts w:ascii="黑体"/>
          <w:b/>
          <w:sz w:val="16"/>
        </w:rPr>
      </w:pPr>
    </w:p>
    <w:p>
      <w:pPr>
        <w:pStyle w:val="Heading4"/>
        <w:spacing w:before="72"/>
      </w:pPr>
      <w:r>
        <w:rPr/>
        <w:t>一、基金财产的构成</w:t>
      </w:r>
    </w:p>
    <w:p>
      <w:pPr>
        <w:pStyle w:val="BodyText"/>
        <w:spacing w:before="7"/>
        <w:rPr>
          <w:b/>
          <w:sz w:val="15"/>
        </w:rPr>
      </w:pPr>
    </w:p>
    <w:p>
      <w:pPr>
        <w:pStyle w:val="BodyText"/>
        <w:spacing w:line="417" w:lineRule="auto"/>
        <w:ind w:left="840" w:right="800" w:firstLine="419"/>
        <w:rPr>
          <w:b/>
        </w:rPr>
      </w:pPr>
      <w:r>
        <w:rPr/>
        <w:t>基金财产是由基金所拥有的各类有价证券、银行存款本息、应收款项和其它投资构成。</w:t>
      </w:r>
      <w:r>
        <w:rPr>
          <w:b/>
        </w:rPr>
        <w:t>二、基金资产总值</w:t>
      </w:r>
    </w:p>
    <w:p>
      <w:pPr>
        <w:pStyle w:val="BodyText"/>
        <w:spacing w:line="417" w:lineRule="auto"/>
        <w:ind w:left="840" w:right="891" w:firstLine="419"/>
      </w:pPr>
      <w:r>
        <w:rPr>
          <w:spacing w:val="-8"/>
        </w:rPr>
        <w:t>基金资产总值是指购买的各类证券及票据价值、银行存款本息和基金应收的申购基金款</w:t>
      </w:r>
      <w:r>
        <w:rPr>
          <w:spacing w:val="-5"/>
        </w:rPr>
        <w:t>以及其他投资所形成的价值总和。</w:t>
      </w:r>
    </w:p>
    <w:p>
      <w:pPr>
        <w:pStyle w:val="BodyText"/>
        <w:ind w:left="1260"/>
      </w:pPr>
      <w:r>
        <w:rPr/>
        <w:t>其构成主要有：</w:t>
      </w:r>
    </w:p>
    <w:p>
      <w:pPr>
        <w:pStyle w:val="BodyText"/>
        <w:spacing w:before="6"/>
        <w:rPr>
          <w:sz w:val="15"/>
        </w:rPr>
      </w:pPr>
    </w:p>
    <w:p>
      <w:pPr>
        <w:pStyle w:val="BodyText"/>
        <w:ind w:left="1260"/>
      </w:pPr>
      <w:r>
        <w:rPr>
          <w:rFonts w:ascii="Times New Roman" w:eastAsia="Times New Roman"/>
        </w:rPr>
        <w:t>1</w:t>
      </w:r>
      <w:r>
        <w:rPr/>
        <w:t>、银行存款及其应计利息；</w:t>
      </w:r>
    </w:p>
    <w:p>
      <w:pPr>
        <w:pStyle w:val="BodyText"/>
        <w:spacing w:before="7"/>
        <w:rPr>
          <w:sz w:val="15"/>
        </w:rPr>
      </w:pPr>
    </w:p>
    <w:p>
      <w:pPr>
        <w:pStyle w:val="BodyText"/>
        <w:ind w:left="1260"/>
      </w:pPr>
      <w:r>
        <w:rPr>
          <w:rFonts w:ascii="Times New Roman" w:eastAsia="Times New Roman"/>
        </w:rPr>
        <w:t>2</w:t>
      </w:r>
      <w:r>
        <w:rPr/>
        <w:t>、清算备付金及其应计利息；</w:t>
      </w:r>
    </w:p>
    <w:p>
      <w:pPr>
        <w:pStyle w:val="BodyText"/>
        <w:spacing w:before="7"/>
        <w:rPr>
          <w:sz w:val="15"/>
        </w:rPr>
      </w:pPr>
    </w:p>
    <w:p>
      <w:pPr>
        <w:pStyle w:val="BodyText"/>
        <w:ind w:left="1260"/>
      </w:pPr>
      <w:r>
        <w:rPr>
          <w:rFonts w:ascii="Times New Roman" w:eastAsia="Times New Roman"/>
        </w:rPr>
        <w:t>3</w:t>
      </w:r>
      <w:r>
        <w:rPr/>
        <w:t>、根据有关规定缴纳的保证金；</w:t>
      </w:r>
    </w:p>
    <w:p>
      <w:pPr>
        <w:pStyle w:val="BodyText"/>
        <w:spacing w:before="6"/>
        <w:rPr>
          <w:sz w:val="15"/>
        </w:rPr>
      </w:pPr>
    </w:p>
    <w:p>
      <w:pPr>
        <w:pStyle w:val="BodyText"/>
        <w:spacing w:before="1"/>
        <w:ind w:left="1260"/>
      </w:pPr>
      <w:r>
        <w:rPr>
          <w:rFonts w:ascii="Times New Roman" w:eastAsia="Times New Roman"/>
        </w:rPr>
        <w:t>4</w:t>
      </w:r>
      <w:r>
        <w:rPr/>
        <w:t>、应收证券交易清算款；</w:t>
      </w:r>
    </w:p>
    <w:p>
      <w:pPr>
        <w:pStyle w:val="BodyText"/>
        <w:spacing w:before="6"/>
        <w:rPr>
          <w:sz w:val="15"/>
        </w:rPr>
      </w:pPr>
    </w:p>
    <w:p>
      <w:pPr>
        <w:pStyle w:val="BodyText"/>
        <w:ind w:left="1260"/>
      </w:pPr>
      <w:r>
        <w:rPr>
          <w:rFonts w:ascii="Times New Roman" w:eastAsia="Times New Roman"/>
        </w:rPr>
        <w:t>5</w:t>
      </w:r>
      <w:r>
        <w:rPr/>
        <w:t>、应收申购款；</w:t>
      </w:r>
    </w:p>
    <w:p>
      <w:pPr>
        <w:pStyle w:val="BodyText"/>
        <w:spacing w:before="7"/>
        <w:rPr>
          <w:sz w:val="15"/>
        </w:rPr>
      </w:pPr>
    </w:p>
    <w:p>
      <w:pPr>
        <w:pStyle w:val="BodyText"/>
        <w:spacing w:before="1"/>
        <w:ind w:left="1260"/>
      </w:pPr>
      <w:r>
        <w:rPr>
          <w:rFonts w:ascii="Times New Roman" w:eastAsia="Times New Roman"/>
        </w:rPr>
        <w:t>6</w:t>
      </w:r>
      <w:r>
        <w:rPr/>
        <w:t>、股票投资及其估值调整；</w:t>
      </w:r>
    </w:p>
    <w:p>
      <w:pPr>
        <w:pStyle w:val="BodyText"/>
        <w:spacing w:before="6"/>
        <w:rPr>
          <w:sz w:val="15"/>
        </w:rPr>
      </w:pPr>
    </w:p>
    <w:p>
      <w:pPr>
        <w:pStyle w:val="BodyText"/>
        <w:ind w:left="1260"/>
      </w:pPr>
      <w:r>
        <w:rPr>
          <w:rFonts w:ascii="Times New Roman" w:eastAsia="Times New Roman"/>
        </w:rPr>
        <w:t>7</w:t>
      </w:r>
      <w:r>
        <w:rPr/>
        <w:t>、债券投资及其估值调整和应计利息；</w:t>
      </w:r>
    </w:p>
    <w:p>
      <w:pPr>
        <w:pStyle w:val="BodyText"/>
        <w:spacing w:before="7"/>
        <w:rPr>
          <w:sz w:val="15"/>
        </w:rPr>
      </w:pPr>
    </w:p>
    <w:p>
      <w:pPr>
        <w:pStyle w:val="BodyText"/>
        <w:ind w:left="1260"/>
      </w:pPr>
      <w:r>
        <w:rPr>
          <w:rFonts w:ascii="Times New Roman" w:eastAsia="Times New Roman"/>
        </w:rPr>
        <w:t>8</w:t>
      </w:r>
      <w:r>
        <w:rPr>
          <w:spacing w:val="-3"/>
        </w:rPr>
        <w:t>、权证投资及其估值调整；</w:t>
      </w:r>
    </w:p>
    <w:p>
      <w:pPr>
        <w:pStyle w:val="BodyText"/>
        <w:spacing w:before="7"/>
        <w:rPr>
          <w:sz w:val="15"/>
        </w:rPr>
      </w:pPr>
    </w:p>
    <w:p>
      <w:pPr>
        <w:pStyle w:val="BodyText"/>
        <w:ind w:left="1260"/>
      </w:pPr>
      <w:r>
        <w:rPr>
          <w:rFonts w:ascii="Times New Roman" w:eastAsia="Times New Roman"/>
        </w:rPr>
        <w:t>9</w:t>
      </w:r>
      <w:r>
        <w:rPr>
          <w:spacing w:val="-3"/>
        </w:rPr>
        <w:t>、其他投资及其估值调整；</w:t>
      </w:r>
    </w:p>
    <w:p>
      <w:pPr>
        <w:pStyle w:val="BodyText"/>
        <w:spacing w:before="6"/>
        <w:rPr>
          <w:sz w:val="15"/>
        </w:rPr>
      </w:pPr>
    </w:p>
    <w:p>
      <w:pPr>
        <w:pStyle w:val="BodyText"/>
        <w:spacing w:before="1"/>
        <w:ind w:left="1260"/>
      </w:pPr>
      <w:r>
        <w:rPr>
          <w:rFonts w:ascii="Times New Roman" w:eastAsia="Times New Roman"/>
        </w:rPr>
        <w:t>10</w:t>
      </w:r>
      <w:r>
        <w:rPr/>
        <w:t>、其他资产等。</w:t>
      </w:r>
    </w:p>
    <w:p>
      <w:pPr>
        <w:pStyle w:val="BodyText"/>
        <w:rPr>
          <w:sz w:val="22"/>
        </w:rPr>
      </w:pPr>
    </w:p>
    <w:p>
      <w:pPr>
        <w:pStyle w:val="BodyText"/>
        <w:rPr>
          <w:sz w:val="30"/>
        </w:rPr>
      </w:pPr>
    </w:p>
    <w:p>
      <w:pPr>
        <w:pStyle w:val="Heading4"/>
      </w:pPr>
      <w:r>
        <w:rPr/>
        <w:t>三、基金资产净值</w:t>
      </w:r>
    </w:p>
    <w:p>
      <w:pPr>
        <w:pStyle w:val="BodyText"/>
        <w:spacing w:before="7"/>
        <w:rPr>
          <w:b/>
          <w:sz w:val="15"/>
        </w:rPr>
      </w:pPr>
    </w:p>
    <w:p>
      <w:pPr>
        <w:pStyle w:val="BodyText"/>
        <w:spacing w:before="1"/>
        <w:ind w:left="1260"/>
      </w:pPr>
      <w:r>
        <w:rPr/>
        <w:t>基金资产净值是指基金资产总值减去基金负债后的价值。</w:t>
      </w:r>
    </w:p>
    <w:p>
      <w:pPr>
        <w:pStyle w:val="BodyText"/>
        <w:rPr>
          <w:sz w:val="20"/>
        </w:rPr>
      </w:pPr>
    </w:p>
    <w:p>
      <w:pPr>
        <w:pStyle w:val="BodyText"/>
        <w:rPr>
          <w:sz w:val="20"/>
        </w:rPr>
      </w:pPr>
    </w:p>
    <w:p>
      <w:pPr>
        <w:pStyle w:val="Heading4"/>
        <w:spacing w:before="154"/>
      </w:pPr>
      <w:r>
        <w:rPr/>
        <w:t>四、基金财产的账户</w:t>
      </w:r>
    </w:p>
    <w:p>
      <w:pPr>
        <w:pStyle w:val="BodyText"/>
        <w:spacing w:before="7"/>
        <w:rPr>
          <w:b/>
          <w:sz w:val="15"/>
        </w:rPr>
      </w:pPr>
    </w:p>
    <w:p>
      <w:pPr>
        <w:pStyle w:val="BodyText"/>
        <w:spacing w:line="417" w:lineRule="auto"/>
        <w:ind w:left="840" w:right="891" w:firstLine="419"/>
        <w:jc w:val="both"/>
      </w:pPr>
      <w:r>
        <w:rPr>
          <w:spacing w:val="-6"/>
        </w:rPr>
        <w:t>本基金以基金托管人的名义开立资金结算账户和托管专户用于基金的资金结算业务，并</w:t>
      </w:r>
      <w:r>
        <w:rPr>
          <w:spacing w:val="-8"/>
        </w:rPr>
        <w:t>以基金托管人和本基金联名的方式开立基金证券账户、以本基金的名义开立银行间债券托管</w:t>
      </w:r>
      <w:r>
        <w:rPr>
          <w:spacing w:val="-10"/>
        </w:rPr>
        <w:t>账户并报中国人民银行备案。开立的基金专用账户与基金管理人、基金托管人、基金代销机</w:t>
      </w:r>
      <w:r>
        <w:rPr>
          <w:spacing w:val="-5"/>
        </w:rPr>
        <w:t>构和基金注册登记人自有的财产账户以及其他基金财产账户相独立。</w:t>
      </w:r>
    </w:p>
    <w:p>
      <w:pPr>
        <w:pStyle w:val="BodyText"/>
        <w:rPr>
          <w:sz w:val="20"/>
        </w:rPr>
      </w:pPr>
    </w:p>
    <w:p>
      <w:pPr>
        <w:pStyle w:val="BodyText"/>
        <w:spacing w:before="6"/>
        <w:rPr>
          <w:sz w:val="16"/>
        </w:rPr>
      </w:pPr>
    </w:p>
    <w:p>
      <w:pPr>
        <w:pStyle w:val="Heading4"/>
      </w:pPr>
      <w:r>
        <w:rPr/>
        <w:t>五、基金财产的保管和处分</w:t>
      </w:r>
    </w:p>
    <w:p>
      <w:pPr>
        <w:spacing w:after="0"/>
        <w:sectPr>
          <w:pgSz w:w="11910" w:h="16840"/>
          <w:pgMar w:header="877" w:footer="995" w:top="1100" w:bottom="1180" w:left="960" w:right="900"/>
        </w:sectPr>
      </w:pPr>
    </w:p>
    <w:p>
      <w:pPr>
        <w:pStyle w:val="BodyText"/>
        <w:spacing w:before="4"/>
        <w:rPr>
          <w:b/>
          <w:sz w:val="27"/>
        </w:rPr>
      </w:pPr>
    </w:p>
    <w:p>
      <w:pPr>
        <w:pStyle w:val="BodyText"/>
        <w:spacing w:line="417" w:lineRule="auto" w:before="71"/>
        <w:ind w:left="840" w:right="891" w:firstLine="419"/>
        <w:jc w:val="both"/>
      </w:pPr>
      <w:r>
        <w:rPr>
          <w:spacing w:val="-9"/>
        </w:rPr>
        <w:t>本基金财产独立于基金管理人、基金托管人和基金代销机构的财产，并由基金托管人保</w:t>
      </w:r>
      <w:r>
        <w:rPr>
          <w:spacing w:val="-12"/>
        </w:rPr>
        <w:t>管。基金管理人、基金托管人不得将基金财产归入其固有财产；基金管理人、基金托管人因基金财产的管理、运用或其他情形而取得的财产和收益，归入基金财产。基金管理人、基金托管人、基金注册登记人和基金代销机构以其自有的财产承担其自身的法律责任，其债权人</w:t>
      </w:r>
      <w:r>
        <w:rPr>
          <w:spacing w:val="-11"/>
        </w:rPr>
        <w:t>不得对本基金财产行使请求冻结、扣押或其他权利。除依法律法规和《基金合同》的规定处</w:t>
      </w:r>
      <w:r>
        <w:rPr>
          <w:spacing w:val="-6"/>
        </w:rPr>
        <w:t>分外，基金财产不得被处分。</w:t>
      </w:r>
    </w:p>
    <w:p>
      <w:pPr>
        <w:pStyle w:val="BodyText"/>
        <w:spacing w:line="417" w:lineRule="auto"/>
        <w:ind w:left="840" w:right="797" w:firstLine="419"/>
      </w:pPr>
      <w:r>
        <w:rPr/>
        <w:t>基金管理人管理运作基金财产所产生的债权，不得与其固有资产产生的债务相互抵消； 基金管理人管理运作不同基金的基金财产所产生的债权债务不得相互抵消。</w:t>
      </w:r>
    </w:p>
    <w:p>
      <w:pPr>
        <w:spacing w:after="0" w:line="417" w:lineRule="auto"/>
        <w:sectPr>
          <w:pgSz w:w="11910" w:h="16840"/>
          <w:pgMar w:header="877" w:footer="995" w:top="1100" w:bottom="1180" w:left="960" w:right="9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p>
    <w:p>
      <w:pPr>
        <w:pStyle w:val="Heading1"/>
      </w:pPr>
      <w:bookmarkStart w:name="_TOC_250012" w:id="12"/>
      <w:bookmarkEnd w:id="12"/>
      <w:r>
        <w:rPr/>
        <w:t>十二、基金资产估值</w:t>
      </w:r>
    </w:p>
    <w:p>
      <w:pPr>
        <w:pStyle w:val="BodyText"/>
        <w:rPr>
          <w:rFonts w:ascii="黑体"/>
          <w:b/>
          <w:sz w:val="20"/>
        </w:rPr>
      </w:pPr>
    </w:p>
    <w:p>
      <w:pPr>
        <w:pStyle w:val="BodyText"/>
        <w:spacing w:before="4"/>
        <w:rPr>
          <w:rFonts w:ascii="黑体"/>
          <w:b/>
          <w:sz w:val="16"/>
        </w:rPr>
      </w:pPr>
    </w:p>
    <w:p>
      <w:pPr>
        <w:pStyle w:val="Heading4"/>
        <w:spacing w:before="72"/>
      </w:pPr>
      <w:r>
        <w:rPr/>
        <w:t>一、估值目的</w:t>
      </w:r>
    </w:p>
    <w:p>
      <w:pPr>
        <w:pStyle w:val="BodyText"/>
        <w:spacing w:before="7"/>
        <w:rPr>
          <w:b/>
          <w:sz w:val="15"/>
        </w:rPr>
      </w:pPr>
    </w:p>
    <w:p>
      <w:pPr>
        <w:pStyle w:val="BodyText"/>
        <w:spacing w:line="417" w:lineRule="auto"/>
        <w:ind w:left="840" w:right="891" w:firstLine="419"/>
      </w:pPr>
      <w:r>
        <w:rPr>
          <w:spacing w:val="-8"/>
        </w:rPr>
        <w:t>基金资产估值的目的是客观、准确地反映基金资产是否保值、增值，依据经基金资产估</w:t>
      </w:r>
      <w:r>
        <w:rPr>
          <w:spacing w:val="-5"/>
        </w:rPr>
        <w:t>值后确定的基金资产净值而计算出的基金份额净值，是计算基金申购与赎回价格的基础。</w:t>
      </w:r>
    </w:p>
    <w:p>
      <w:pPr>
        <w:pStyle w:val="BodyText"/>
        <w:rPr>
          <w:sz w:val="20"/>
        </w:rPr>
      </w:pPr>
    </w:p>
    <w:p>
      <w:pPr>
        <w:pStyle w:val="BodyText"/>
        <w:spacing w:before="7"/>
        <w:rPr>
          <w:sz w:val="16"/>
        </w:rPr>
      </w:pPr>
    </w:p>
    <w:p>
      <w:pPr>
        <w:pStyle w:val="Heading4"/>
      </w:pPr>
      <w:r>
        <w:rPr/>
        <w:t>二、估值日</w:t>
      </w:r>
    </w:p>
    <w:p>
      <w:pPr>
        <w:pStyle w:val="BodyText"/>
        <w:spacing w:before="6"/>
        <w:rPr>
          <w:b/>
          <w:sz w:val="15"/>
        </w:rPr>
      </w:pPr>
    </w:p>
    <w:p>
      <w:pPr>
        <w:pStyle w:val="BodyText"/>
        <w:spacing w:line="417" w:lineRule="auto" w:before="1"/>
        <w:ind w:left="840" w:right="894" w:firstLine="419"/>
      </w:pPr>
      <w:r>
        <w:rPr/>
        <w:t>本基金的估值日为相关的证券交易场所的正常营业日以及国家法律法规规定需要对外披露基金净值的非营业日。</w:t>
      </w:r>
    </w:p>
    <w:p>
      <w:pPr>
        <w:pStyle w:val="BodyText"/>
        <w:rPr>
          <w:sz w:val="20"/>
        </w:rPr>
      </w:pPr>
    </w:p>
    <w:p>
      <w:pPr>
        <w:pStyle w:val="BodyText"/>
        <w:spacing w:before="6"/>
        <w:rPr>
          <w:sz w:val="16"/>
        </w:rPr>
      </w:pPr>
    </w:p>
    <w:p>
      <w:pPr>
        <w:pStyle w:val="Heading4"/>
      </w:pPr>
      <w:r>
        <w:rPr/>
        <w:t>三、估值对象</w:t>
      </w:r>
    </w:p>
    <w:p>
      <w:pPr>
        <w:pStyle w:val="BodyText"/>
        <w:spacing w:before="7"/>
        <w:rPr>
          <w:b/>
          <w:sz w:val="15"/>
        </w:rPr>
      </w:pPr>
    </w:p>
    <w:p>
      <w:pPr>
        <w:pStyle w:val="BodyText"/>
        <w:ind w:left="1260"/>
      </w:pPr>
      <w:r>
        <w:rPr/>
        <w:t>基金所拥有的股票、债券、权证和银行存款本息等资产和负债。</w:t>
      </w:r>
    </w:p>
    <w:p>
      <w:pPr>
        <w:pStyle w:val="BodyText"/>
        <w:rPr>
          <w:sz w:val="20"/>
        </w:rPr>
      </w:pPr>
    </w:p>
    <w:p>
      <w:pPr>
        <w:pStyle w:val="BodyText"/>
        <w:rPr>
          <w:sz w:val="20"/>
        </w:rPr>
      </w:pPr>
    </w:p>
    <w:p>
      <w:pPr>
        <w:pStyle w:val="Heading4"/>
        <w:spacing w:before="155"/>
      </w:pPr>
      <w:r>
        <w:rPr/>
        <w:t>四、估值程序</w:t>
      </w:r>
    </w:p>
    <w:p>
      <w:pPr>
        <w:pStyle w:val="BodyText"/>
        <w:spacing w:before="6"/>
        <w:rPr>
          <w:b/>
          <w:sz w:val="15"/>
        </w:rPr>
      </w:pPr>
    </w:p>
    <w:p>
      <w:pPr>
        <w:pStyle w:val="BodyText"/>
        <w:spacing w:line="417" w:lineRule="auto"/>
        <w:ind w:left="840" w:right="891" w:firstLine="419"/>
        <w:jc w:val="both"/>
      </w:pPr>
      <w:r>
        <w:rPr>
          <w:spacing w:val="-8"/>
        </w:rPr>
        <w:t>基金日常估值由基金管理人进行。基金管理人完成估值后，将估值结果加盖业务公章以</w:t>
      </w:r>
      <w:r>
        <w:rPr>
          <w:spacing w:val="-9"/>
        </w:rPr>
        <w:t>书面形式加密传真至基金托管人，基金托管人按法律法规、《基金合同》规定的估值方法、</w:t>
      </w:r>
      <w:r>
        <w:rPr>
          <w:spacing w:val="-13"/>
        </w:rPr>
        <w:t>时间、程序进行复核，复核无误后在基金管理人传真的书面估值结果上加盖业务公章返回给</w:t>
      </w:r>
      <w:r>
        <w:rPr>
          <w:spacing w:val="-6"/>
        </w:rPr>
        <w:t>基金管理人；月末、年中和年末估值复核与基金会计账目的核对同时进行。</w:t>
      </w:r>
    </w:p>
    <w:p>
      <w:pPr>
        <w:pStyle w:val="BodyText"/>
        <w:rPr>
          <w:sz w:val="20"/>
        </w:rPr>
      </w:pPr>
    </w:p>
    <w:p>
      <w:pPr>
        <w:pStyle w:val="BodyText"/>
        <w:spacing w:before="7"/>
        <w:rPr>
          <w:sz w:val="16"/>
        </w:rPr>
      </w:pPr>
    </w:p>
    <w:p>
      <w:pPr>
        <w:pStyle w:val="Heading4"/>
      </w:pPr>
      <w:r>
        <w:rPr/>
        <w:t>五、估值方法</w:t>
      </w:r>
    </w:p>
    <w:p>
      <w:pPr>
        <w:pStyle w:val="BodyText"/>
        <w:spacing w:before="7"/>
        <w:rPr>
          <w:b/>
          <w:sz w:val="15"/>
        </w:rPr>
      </w:pPr>
    </w:p>
    <w:p>
      <w:pPr>
        <w:pStyle w:val="BodyText"/>
        <w:ind w:left="1260"/>
      </w:pPr>
      <w:r>
        <w:rPr/>
        <w:t>本基金按以下方式进行估值：</w:t>
      </w:r>
    </w:p>
    <w:p>
      <w:pPr>
        <w:pStyle w:val="BodyText"/>
        <w:spacing w:before="6"/>
        <w:rPr>
          <w:sz w:val="15"/>
        </w:rPr>
      </w:pPr>
    </w:p>
    <w:p>
      <w:pPr>
        <w:pStyle w:val="BodyText"/>
        <w:spacing w:before="1"/>
        <w:ind w:left="1260"/>
      </w:pPr>
      <w:r>
        <w:rPr>
          <w:rFonts w:ascii="Times New Roman" w:eastAsia="Times New Roman"/>
        </w:rPr>
        <w:t>1</w:t>
      </w:r>
      <w:r>
        <w:rPr/>
        <w:t>、已上市流通的有价证券的估值</w:t>
      </w:r>
    </w:p>
    <w:p>
      <w:pPr>
        <w:pStyle w:val="BodyText"/>
        <w:spacing w:before="6"/>
        <w:rPr>
          <w:sz w:val="15"/>
        </w:rPr>
      </w:pPr>
    </w:p>
    <w:p>
      <w:pPr>
        <w:pStyle w:val="ListParagraph"/>
        <w:numPr>
          <w:ilvl w:val="2"/>
          <w:numId w:val="27"/>
        </w:numPr>
        <w:tabs>
          <w:tab w:pos="1790" w:val="left" w:leader="none"/>
        </w:tabs>
        <w:spacing w:line="417" w:lineRule="auto" w:before="0" w:after="0"/>
        <w:ind w:left="840" w:right="891" w:firstLine="419"/>
        <w:jc w:val="both"/>
        <w:rPr>
          <w:sz w:val="21"/>
        </w:rPr>
      </w:pPr>
      <w:r>
        <w:rPr>
          <w:spacing w:val="-6"/>
          <w:sz w:val="21"/>
        </w:rPr>
        <w:t>交易所上市的有价证券</w:t>
      </w:r>
      <w:r>
        <w:rPr>
          <w:sz w:val="21"/>
        </w:rPr>
        <w:t>（</w:t>
      </w:r>
      <w:r>
        <w:rPr>
          <w:spacing w:val="-7"/>
          <w:sz w:val="21"/>
        </w:rPr>
        <w:t>包括股票、权证等</w:t>
      </w:r>
      <w:r>
        <w:rPr>
          <w:spacing w:val="-67"/>
          <w:sz w:val="21"/>
        </w:rPr>
        <w:t>）</w:t>
      </w:r>
      <w:r>
        <w:rPr>
          <w:spacing w:val="-10"/>
          <w:sz w:val="21"/>
        </w:rPr>
        <w:t>，以其估值日在证券交易所挂牌的 市价</w:t>
      </w:r>
      <w:r>
        <w:rPr>
          <w:sz w:val="21"/>
        </w:rPr>
        <w:t>（</w:t>
      </w:r>
      <w:r>
        <w:rPr>
          <w:spacing w:val="-3"/>
          <w:sz w:val="21"/>
        </w:rPr>
        <w:t>收盘价</w:t>
      </w:r>
      <w:r>
        <w:rPr>
          <w:spacing w:val="-20"/>
          <w:sz w:val="21"/>
        </w:rPr>
        <w:t>）</w:t>
      </w:r>
      <w:r>
        <w:rPr>
          <w:spacing w:val="-9"/>
          <w:sz w:val="21"/>
        </w:rPr>
        <w:t>估值；估值日无交易的，且最近交易日后经济环境未发生重大变化，以最近</w:t>
      </w:r>
      <w:r>
        <w:rPr>
          <w:spacing w:val="-11"/>
          <w:sz w:val="21"/>
        </w:rPr>
        <w:t>交易日的市价</w:t>
      </w:r>
      <w:r>
        <w:rPr>
          <w:sz w:val="21"/>
        </w:rPr>
        <w:t>（</w:t>
      </w:r>
      <w:r>
        <w:rPr>
          <w:spacing w:val="-3"/>
          <w:sz w:val="21"/>
        </w:rPr>
        <w:t>收盘价</w:t>
      </w:r>
      <w:r>
        <w:rPr>
          <w:spacing w:val="-25"/>
          <w:sz w:val="21"/>
        </w:rPr>
        <w:t>）</w:t>
      </w:r>
      <w:r>
        <w:rPr>
          <w:spacing w:val="-8"/>
          <w:sz w:val="21"/>
        </w:rPr>
        <w:t>估值；如最近交易日后经济环境发生了重大变化的，可参考类似投</w:t>
      </w:r>
      <w:r>
        <w:rPr>
          <w:spacing w:val="-6"/>
          <w:sz w:val="21"/>
        </w:rPr>
        <w:t>资品种的现行市价及重大变化因素，调整最近交易市价，确定公允价格。</w:t>
      </w:r>
    </w:p>
    <w:p>
      <w:pPr>
        <w:pStyle w:val="ListParagraph"/>
        <w:numPr>
          <w:ilvl w:val="2"/>
          <w:numId w:val="27"/>
        </w:numPr>
        <w:tabs>
          <w:tab w:pos="1790" w:val="left" w:leader="none"/>
        </w:tabs>
        <w:spacing w:line="269" w:lineRule="exact" w:before="0" w:after="0"/>
        <w:ind w:left="1789" w:right="0" w:hanging="530"/>
        <w:jc w:val="left"/>
        <w:rPr>
          <w:sz w:val="21"/>
        </w:rPr>
      </w:pPr>
      <w:r>
        <w:rPr>
          <w:spacing w:val="-3"/>
          <w:sz w:val="21"/>
        </w:rPr>
        <w:t>交易所上市实行净价交易的债券按估值日收盘价估值，估值日没有交易的，且最</w:t>
      </w:r>
    </w:p>
    <w:p>
      <w:pPr>
        <w:spacing w:after="0" w:line="269" w:lineRule="exact"/>
        <w:jc w:val="left"/>
        <w:rPr>
          <w:sz w:val="21"/>
        </w:rPr>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785"/>
      </w:pPr>
      <w:r>
        <w:rPr>
          <w:spacing w:val="-8"/>
        </w:rPr>
        <w:t>近交易日后经济环境未发生重大变化，按最近交易日的收盘价估值。如最近交易日后经济环</w:t>
      </w:r>
      <w:r>
        <w:rPr>
          <w:spacing w:val="-16"/>
        </w:rPr>
        <w:t>境发生了重大变化的，可参考类似投资品种的现行市价及重大变化因素，调整最近交易市价， </w:t>
      </w:r>
      <w:r>
        <w:rPr>
          <w:spacing w:val="-6"/>
        </w:rPr>
        <w:t>确定公允价格；</w:t>
      </w:r>
    </w:p>
    <w:p>
      <w:pPr>
        <w:pStyle w:val="ListParagraph"/>
        <w:numPr>
          <w:ilvl w:val="2"/>
          <w:numId w:val="27"/>
        </w:numPr>
        <w:tabs>
          <w:tab w:pos="1790" w:val="left" w:leader="none"/>
        </w:tabs>
        <w:spacing w:line="417" w:lineRule="auto" w:before="0" w:after="0"/>
        <w:ind w:left="840" w:right="800" w:firstLine="419"/>
        <w:jc w:val="left"/>
        <w:rPr>
          <w:sz w:val="21"/>
        </w:rPr>
      </w:pPr>
      <w:r>
        <w:rPr>
          <w:spacing w:val="-3"/>
          <w:sz w:val="21"/>
        </w:rPr>
        <w:t>交易所上市未实行净价交易的债券按估值日收盘价减去债券收盘价中所含的债券</w:t>
      </w:r>
      <w:r>
        <w:rPr>
          <w:spacing w:val="-9"/>
          <w:sz w:val="21"/>
        </w:rPr>
        <w:t>应收利息得到的净价进行估值；估值日没有交易的，且最近交易日后经济环境未发生重大变</w:t>
      </w:r>
      <w:r>
        <w:rPr>
          <w:spacing w:val="-5"/>
          <w:sz w:val="21"/>
        </w:rPr>
        <w:t>化，按最近交易日债券收盘价减去债券收盘价中所含的债券应收利息得到的净价进行估值。</w:t>
      </w:r>
      <w:r>
        <w:rPr>
          <w:spacing w:val="-8"/>
          <w:sz w:val="21"/>
        </w:rPr>
        <w:t>如最近交易日后经济环境发生了重大变化的，可参考类似投资品种的现行市价及重大变化因</w:t>
      </w:r>
      <w:r>
        <w:rPr>
          <w:spacing w:val="-5"/>
          <w:sz w:val="21"/>
        </w:rPr>
        <w:t>素，调整最近交易市价，确定公允价格；</w:t>
      </w:r>
    </w:p>
    <w:p>
      <w:pPr>
        <w:pStyle w:val="ListParagraph"/>
        <w:numPr>
          <w:ilvl w:val="2"/>
          <w:numId w:val="27"/>
        </w:numPr>
        <w:tabs>
          <w:tab w:pos="1790" w:val="left" w:leader="none"/>
        </w:tabs>
        <w:spacing w:line="417" w:lineRule="auto" w:before="0" w:after="0"/>
        <w:ind w:left="840" w:right="89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pPr>
        <w:pStyle w:val="BodyText"/>
        <w:spacing w:line="269" w:lineRule="exact"/>
        <w:ind w:left="1260"/>
      </w:pPr>
      <w:r>
        <w:rPr>
          <w:rFonts w:ascii="Times New Roman" w:eastAsia="Times New Roman"/>
        </w:rPr>
        <w:t>2</w:t>
      </w:r>
      <w:r>
        <w:rPr/>
        <w:t>、处于未上市期间的有价证券应区分如下情况处理：</w:t>
      </w:r>
    </w:p>
    <w:p>
      <w:pPr>
        <w:pStyle w:val="BodyText"/>
        <w:spacing w:before="6"/>
        <w:rPr>
          <w:sz w:val="15"/>
        </w:rPr>
      </w:pPr>
    </w:p>
    <w:p>
      <w:pPr>
        <w:pStyle w:val="ListParagraph"/>
        <w:numPr>
          <w:ilvl w:val="0"/>
          <w:numId w:val="28"/>
        </w:numPr>
        <w:tabs>
          <w:tab w:pos="1790" w:val="left" w:leader="none"/>
        </w:tabs>
        <w:spacing w:line="417" w:lineRule="auto" w:before="0" w:after="0"/>
        <w:ind w:left="840" w:right="894" w:firstLine="419"/>
        <w:jc w:val="left"/>
        <w:rPr>
          <w:sz w:val="21"/>
        </w:rPr>
      </w:pPr>
      <w:r>
        <w:rPr>
          <w:spacing w:val="-3"/>
          <w:sz w:val="21"/>
        </w:rPr>
        <w:t>送股、转增股、配股和公开增发的新股，按估值日在证券交易所挂牌的同一股票的市价</w:t>
      </w:r>
      <w:r>
        <w:rPr>
          <w:sz w:val="21"/>
        </w:rPr>
        <w:t>（</w:t>
      </w:r>
      <w:r>
        <w:rPr>
          <w:spacing w:val="-3"/>
          <w:sz w:val="21"/>
        </w:rPr>
        <w:t>收盘价</w:t>
      </w:r>
      <w:r>
        <w:rPr>
          <w:sz w:val="21"/>
        </w:rPr>
        <w:t>）</w:t>
      </w:r>
      <w:r>
        <w:rPr>
          <w:spacing w:val="-3"/>
          <w:sz w:val="21"/>
        </w:rPr>
        <w:t>估值；该日无交易的，以最近一日的市价（</w:t>
      </w:r>
      <w:r>
        <w:rPr>
          <w:spacing w:val="-2"/>
          <w:sz w:val="21"/>
        </w:rPr>
        <w:t>收盘价</w:t>
      </w:r>
      <w:r>
        <w:rPr>
          <w:spacing w:val="-3"/>
          <w:sz w:val="21"/>
        </w:rPr>
        <w:t>）</w:t>
      </w:r>
      <w:r>
        <w:rPr>
          <w:spacing w:val="-2"/>
          <w:sz w:val="21"/>
        </w:rPr>
        <w:t>估值；</w:t>
      </w:r>
    </w:p>
    <w:p>
      <w:pPr>
        <w:pStyle w:val="ListParagraph"/>
        <w:numPr>
          <w:ilvl w:val="0"/>
          <w:numId w:val="28"/>
        </w:numPr>
        <w:tabs>
          <w:tab w:pos="1790" w:val="left" w:leader="none"/>
        </w:tabs>
        <w:spacing w:line="417" w:lineRule="auto" w:before="0" w:after="0"/>
        <w:ind w:left="840" w:right="893"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28"/>
        </w:numPr>
        <w:tabs>
          <w:tab w:pos="1790" w:val="left" w:leader="none"/>
        </w:tabs>
        <w:spacing w:line="417" w:lineRule="auto" w:before="0" w:after="0"/>
        <w:ind w:left="840" w:right="891" w:firstLine="419"/>
        <w:jc w:val="both"/>
        <w:rPr>
          <w:sz w:val="21"/>
        </w:rPr>
      </w:pPr>
      <w:r>
        <w:rPr>
          <w:spacing w:val="-3"/>
          <w:sz w:val="21"/>
        </w:rPr>
        <w:t>流通受限的股票，包括非公开发行股票、首次公开发行股票时公司股东公开发售</w:t>
      </w:r>
      <w:r>
        <w:rPr>
          <w:spacing w:val="-8"/>
          <w:sz w:val="21"/>
        </w:rPr>
        <w:t>股份、通过大宗交易取得的带限售期的股票等</w:t>
      </w:r>
      <w:r>
        <w:rPr>
          <w:sz w:val="21"/>
        </w:rPr>
        <w:t>（</w:t>
      </w:r>
      <w:r>
        <w:rPr>
          <w:spacing w:val="-8"/>
          <w:sz w:val="21"/>
        </w:rPr>
        <w:t>不包括停牌、新发行未上市、回购交易中的</w:t>
      </w:r>
      <w:r>
        <w:rPr>
          <w:spacing w:val="-5"/>
          <w:w w:val="100"/>
          <w:sz w:val="21"/>
        </w:rPr>
        <w:t>质押券等流通受限股票</w:t>
      </w:r>
      <w:r>
        <w:rPr>
          <w:spacing w:val="-108"/>
          <w:w w:val="100"/>
          <w:sz w:val="21"/>
        </w:rPr>
        <w:t>）</w:t>
      </w:r>
      <w:r>
        <w:rPr>
          <w:spacing w:val="-3"/>
          <w:w w:val="100"/>
          <w:sz w:val="21"/>
        </w:rPr>
        <w:t>，按监管机构或行业协会有关规定确定公允价值。</w:t>
      </w:r>
    </w:p>
    <w:p>
      <w:pPr>
        <w:pStyle w:val="ListParagraph"/>
        <w:numPr>
          <w:ilvl w:val="0"/>
          <w:numId w:val="28"/>
        </w:numPr>
        <w:tabs>
          <w:tab w:pos="1790" w:val="left" w:leader="none"/>
        </w:tabs>
        <w:spacing w:line="417" w:lineRule="auto" w:before="0" w:after="0"/>
        <w:ind w:left="840" w:right="894" w:firstLine="419"/>
        <w:jc w:val="left"/>
        <w:rPr>
          <w:sz w:val="21"/>
        </w:rPr>
      </w:pPr>
      <w:r>
        <w:rPr>
          <w:spacing w:val="-3"/>
          <w:sz w:val="21"/>
        </w:rPr>
        <w:t>因持有股票而享有的配股权，从配股除权日起到配股确认日止，如果收盘价高于配股价，按收盘价高于配股价的差额估值。收盘价等于或低于配股价，则估值为零。</w:t>
      </w:r>
    </w:p>
    <w:p>
      <w:pPr>
        <w:pStyle w:val="BodyText"/>
        <w:spacing w:line="417" w:lineRule="auto"/>
        <w:ind w:left="840" w:right="893" w:firstLine="419"/>
      </w:pPr>
      <w:r>
        <w:rPr>
          <w:rFonts w:ascii="Times New Roman" w:eastAsia="Times New Roman"/>
        </w:rPr>
        <w:t>3</w:t>
      </w:r>
      <w:r>
        <w:rPr/>
        <w:t>、全国银行间债券市场交易的债券、资产支持证券等固定收益品种，采用估值技术确定公允价值。</w:t>
      </w:r>
    </w:p>
    <w:p>
      <w:pPr>
        <w:pStyle w:val="BodyText"/>
        <w:spacing w:line="269" w:lineRule="exact"/>
        <w:ind w:left="1260"/>
      </w:pPr>
      <w:r>
        <w:rPr>
          <w:rFonts w:ascii="Times New Roman" w:eastAsia="Times New Roman"/>
        </w:rPr>
        <w:t>4</w:t>
      </w:r>
      <w:r>
        <w:rPr/>
        <w:t>、同一债券同时在两个或两个以上市场交易的，按债券所处的市场分别估值。</w:t>
      </w:r>
    </w:p>
    <w:p>
      <w:pPr>
        <w:pStyle w:val="BodyText"/>
        <w:spacing w:before="6"/>
        <w:rPr>
          <w:sz w:val="15"/>
        </w:rPr>
      </w:pPr>
    </w:p>
    <w:p>
      <w:pPr>
        <w:pStyle w:val="BodyText"/>
        <w:spacing w:line="417" w:lineRule="auto" w:before="1"/>
        <w:ind w:left="840" w:right="894" w:firstLine="419"/>
      </w:pPr>
      <w:r>
        <w:rPr>
          <w:rFonts w:ascii="Times New Roman" w:eastAsia="Times New Roman"/>
        </w:rPr>
        <w:t>5</w:t>
      </w:r>
      <w:r>
        <w:rPr/>
        <w:t>、当发生大额申购或赎回情形时，在履行适当程序后，基金管理人可以采用摆动定价机制以确保基金估值的公平性。</w:t>
      </w:r>
    </w:p>
    <w:p>
      <w:pPr>
        <w:pStyle w:val="BodyText"/>
        <w:spacing w:line="417" w:lineRule="auto"/>
        <w:ind w:left="840" w:right="894" w:firstLine="419"/>
      </w:pPr>
      <w:r>
        <w:rPr>
          <w:rFonts w:ascii="Times New Roman" w:eastAsia="Times New Roman"/>
        </w:rPr>
        <w:t>6</w:t>
      </w:r>
      <w:r>
        <w:rPr/>
        <w:t>、如有确凿证据表明按上述方法进行估值不能客观反映其公允价值的，基金管理人可根据具体情况与基金托管人商定后，按最能反映公允价值的价格估值。</w:t>
      </w:r>
    </w:p>
    <w:p>
      <w:pPr>
        <w:pStyle w:val="BodyText"/>
        <w:ind w:left="1260"/>
      </w:pPr>
      <w:r>
        <w:rPr>
          <w:rFonts w:ascii="Times New Roman" w:eastAsia="Times New Roman"/>
        </w:rPr>
        <w:t>7</w:t>
      </w:r>
      <w:r>
        <w:rPr/>
        <w:t>、本基金投资存托凭证的估值核算，依照境内上市交易的股票进行。</w:t>
      </w:r>
    </w:p>
    <w:p>
      <w:pPr>
        <w:pStyle w:val="BodyText"/>
        <w:spacing w:before="6"/>
        <w:rPr>
          <w:sz w:val="15"/>
        </w:rPr>
      </w:pPr>
    </w:p>
    <w:p>
      <w:pPr>
        <w:pStyle w:val="BodyText"/>
        <w:ind w:left="1260"/>
      </w:pPr>
      <w:r>
        <w:rPr>
          <w:rFonts w:ascii="Times New Roman" w:eastAsia="Times New Roman"/>
        </w:rPr>
        <w:t>8</w:t>
      </w:r>
      <w:r>
        <w:rPr/>
        <w:t>、相关法律法规以及监管部门有强制规定的，从其规定。如有新增事项，按国家最新</w:t>
      </w:r>
    </w:p>
    <w:p>
      <w:pPr>
        <w:spacing w:after="0"/>
        <w:sectPr>
          <w:pgSz w:w="11910" w:h="16840"/>
          <w:pgMar w:header="877" w:footer="995" w:top="1100" w:bottom="1180" w:left="960" w:right="900"/>
        </w:sectPr>
      </w:pPr>
    </w:p>
    <w:p>
      <w:pPr>
        <w:pStyle w:val="BodyText"/>
        <w:spacing w:before="4"/>
        <w:rPr>
          <w:sz w:val="27"/>
        </w:rPr>
      </w:pPr>
    </w:p>
    <w:p>
      <w:pPr>
        <w:pStyle w:val="BodyText"/>
        <w:spacing w:before="71"/>
        <w:ind w:left="840"/>
      </w:pPr>
      <w:r>
        <w:rPr/>
        <w:t>规定估值。</w:t>
      </w:r>
    </w:p>
    <w:p>
      <w:pPr>
        <w:pStyle w:val="BodyText"/>
        <w:spacing w:before="7"/>
        <w:rPr>
          <w:sz w:val="15"/>
        </w:rPr>
      </w:pPr>
    </w:p>
    <w:p>
      <w:pPr>
        <w:pStyle w:val="BodyText"/>
        <w:spacing w:line="417" w:lineRule="auto"/>
        <w:ind w:left="840" w:right="891" w:firstLine="419"/>
        <w:jc w:val="both"/>
      </w:pPr>
      <w:r>
        <w:rPr>
          <w:spacing w:val="-12"/>
        </w:rPr>
        <w:t>根据《基金法》，基金管理人计算并公告基金资产净值，基金托管人复核、审查基金管理人计算的基金资产净值。因此，就与本基金有关的会计问题，如经相关各方在平等基础上</w:t>
      </w:r>
      <w:r>
        <w:rPr>
          <w:spacing w:val="-13"/>
        </w:rPr>
        <w:t>充分讨论后，仍无法达成一致的意见，按照基金管理人对基金资产净值的计算结果对外予以公布。</w:t>
      </w:r>
    </w:p>
    <w:p>
      <w:pPr>
        <w:pStyle w:val="BodyText"/>
        <w:rPr>
          <w:sz w:val="20"/>
        </w:rPr>
      </w:pPr>
    </w:p>
    <w:p>
      <w:pPr>
        <w:pStyle w:val="BodyText"/>
        <w:spacing w:before="6"/>
        <w:rPr>
          <w:sz w:val="16"/>
        </w:rPr>
      </w:pPr>
    </w:p>
    <w:p>
      <w:pPr>
        <w:pStyle w:val="Heading4"/>
      </w:pPr>
      <w:r>
        <w:rPr/>
        <w:t>六、基金份额净值的确认和估值错误的处理</w:t>
      </w:r>
    </w:p>
    <w:p>
      <w:pPr>
        <w:pStyle w:val="BodyText"/>
        <w:spacing w:before="7"/>
        <w:rPr>
          <w:b/>
          <w:sz w:val="15"/>
        </w:rPr>
      </w:pPr>
    </w:p>
    <w:p>
      <w:pPr>
        <w:pStyle w:val="BodyText"/>
        <w:spacing w:line="417" w:lineRule="auto" w:before="1"/>
        <w:ind w:left="840" w:right="785" w:firstLine="419"/>
      </w:pPr>
      <w:r>
        <w:rPr>
          <w:spacing w:val="-6"/>
        </w:rPr>
        <w:t>基金份额净值的计算保留到小数点后 </w:t>
      </w:r>
      <w:r>
        <w:rPr>
          <w:rFonts w:ascii="Times New Roman" w:eastAsia="Times New Roman"/>
        </w:rPr>
        <w:t>3 </w:t>
      </w:r>
      <w:r>
        <w:rPr>
          <w:spacing w:val="-15"/>
        </w:rPr>
        <w:t>位，小数点后第 </w:t>
      </w:r>
      <w:r>
        <w:rPr>
          <w:rFonts w:ascii="Times New Roman" w:eastAsia="Times New Roman"/>
        </w:rPr>
        <w:t>4 </w:t>
      </w:r>
      <w:r>
        <w:rPr>
          <w:spacing w:val="-9"/>
        </w:rPr>
        <w:t>位四舍五入。当估值或份额净</w:t>
      </w:r>
      <w:r>
        <w:rPr>
          <w:spacing w:val="-17"/>
        </w:rPr>
        <w:t>值计价错误实际发生时，基金管理人应当立即纠正，并采取合理的措施防止损失进一步扩大。</w:t>
      </w:r>
      <w:r>
        <w:rPr>
          <w:spacing w:val="-10"/>
        </w:rPr>
        <w:t>当错误达到或超过基金资产净值的 </w:t>
      </w:r>
      <w:r>
        <w:rPr>
          <w:rFonts w:ascii="Times New Roman" w:eastAsia="Times New Roman"/>
        </w:rPr>
        <w:t>0.25%</w:t>
      </w:r>
      <w:r>
        <w:rPr>
          <w:spacing w:val="-8"/>
        </w:rPr>
        <w:t>时，基金管理人应报中国证监会备案；当估值错误</w:t>
      </w:r>
      <w:r>
        <w:rPr>
          <w:spacing w:val="-4"/>
        </w:rPr>
        <w:t>偏差达到基金份额净值的 </w:t>
      </w:r>
      <w:r>
        <w:rPr>
          <w:rFonts w:ascii="Times New Roman" w:eastAsia="Times New Roman"/>
        </w:rPr>
        <w:t>0.5%</w:t>
      </w:r>
      <w:r>
        <w:rPr>
          <w:spacing w:val="-3"/>
        </w:rPr>
        <w:t>时，基金管理人应当公告，并报中国证监会备案。因基金估值错误给投资者造成损失的，应先由基金管理人承担，基金管理人对不应由其承担的责任， 有权向过错人追偿。</w:t>
      </w:r>
    </w:p>
    <w:p>
      <w:pPr>
        <w:pStyle w:val="BodyText"/>
        <w:spacing w:line="268" w:lineRule="exact"/>
        <w:ind w:left="1260"/>
      </w:pPr>
      <w:r>
        <w:rPr/>
        <w:t>关于差错处理，本合同的当事人按照以下约定处理：</w:t>
      </w:r>
    </w:p>
    <w:p>
      <w:pPr>
        <w:pStyle w:val="BodyText"/>
        <w:spacing w:before="6"/>
        <w:rPr>
          <w:sz w:val="15"/>
        </w:rPr>
      </w:pPr>
    </w:p>
    <w:p>
      <w:pPr>
        <w:pStyle w:val="BodyText"/>
        <w:spacing w:before="1"/>
        <w:ind w:left="840"/>
      </w:pPr>
      <w:r>
        <w:rPr>
          <w:rFonts w:ascii="Times New Roman" w:eastAsia="Times New Roman"/>
        </w:rPr>
        <w:t>1</w:t>
      </w:r>
      <w:r>
        <w:rPr/>
        <w:t>、差错类型</w:t>
      </w:r>
    </w:p>
    <w:p>
      <w:pPr>
        <w:pStyle w:val="BodyText"/>
        <w:spacing w:before="6"/>
        <w:rPr>
          <w:sz w:val="15"/>
        </w:rPr>
      </w:pPr>
    </w:p>
    <w:p>
      <w:pPr>
        <w:pStyle w:val="BodyText"/>
        <w:spacing w:line="417" w:lineRule="auto"/>
        <w:ind w:left="840" w:right="800" w:firstLine="419"/>
        <w:jc w:val="both"/>
      </w:pPr>
      <w:r>
        <w:rPr>
          <w:spacing w:val="-9"/>
        </w:rPr>
        <w:t>本基金运作过程中，如果由于基金管理人或基金托管人、或注册登记机构、或代理销售</w:t>
      </w:r>
      <w:r>
        <w:rPr>
          <w:spacing w:val="-10"/>
        </w:rPr>
        <w:t>机构、或投资者自身的过错造成差错，导致其他当事人遭受损失的，过错的责任人应当对由</w:t>
      </w:r>
      <w:r>
        <w:rPr>
          <w:spacing w:val="-5"/>
          <w:w w:val="100"/>
        </w:rPr>
        <w:t>于该差错遭受损失的当事人</w:t>
      </w:r>
      <w:r>
        <w:rPr>
          <w:spacing w:val="-106"/>
          <w:w w:val="100"/>
        </w:rPr>
        <w:t>（</w:t>
      </w:r>
      <w:r>
        <w:rPr>
          <w:spacing w:val="-24"/>
          <w:w w:val="100"/>
        </w:rPr>
        <w:t>“受损方”</w:t>
      </w:r>
      <w:r>
        <w:rPr>
          <w:spacing w:val="-3"/>
          <w:w w:val="100"/>
        </w:rPr>
        <w:t>）按下述“差错处理原则”给予赔偿承担赔偿责任。</w:t>
      </w:r>
    </w:p>
    <w:p>
      <w:pPr>
        <w:pStyle w:val="BodyText"/>
        <w:spacing w:line="417" w:lineRule="auto"/>
        <w:ind w:left="840" w:right="891" w:firstLine="419"/>
        <w:jc w:val="both"/>
      </w:pPr>
      <w:r>
        <w:rPr>
          <w:spacing w:val="-8"/>
        </w:rPr>
        <w:t>上述差错的主要类型包括但不限于：资料申报差错、数据传输差错、数据计算差错、系</w:t>
      </w:r>
      <w:r>
        <w:rPr>
          <w:spacing w:val="-12"/>
        </w:rPr>
        <w:t>统故障差错、下达指令差错等；对于因技术原因引起的差错，若系同行业现有技术水平无法</w:t>
      </w:r>
      <w:r>
        <w:rPr>
          <w:spacing w:val="-6"/>
        </w:rPr>
        <w:t>预见、无法避免、无法抗拒，则属不可抗力，按照下述规定执行。</w:t>
      </w:r>
    </w:p>
    <w:p>
      <w:pPr>
        <w:pStyle w:val="BodyText"/>
        <w:spacing w:line="417" w:lineRule="auto"/>
        <w:ind w:left="840" w:right="891" w:firstLine="419"/>
        <w:jc w:val="both"/>
      </w:pPr>
      <w:r>
        <w:rPr>
          <w:spacing w:val="-6"/>
        </w:rPr>
        <w:t>由于不可抗力原因造成投资者的交易资料灭失或被错误处理或造成其他差错，因不可抗</w:t>
      </w:r>
      <w:r>
        <w:rPr>
          <w:spacing w:val="-8"/>
        </w:rPr>
        <w:t>力原因出现差错的当事人不对其他当事人承担赔偿责任，但因该差错取得不当得利的当事人</w:t>
      </w:r>
      <w:r>
        <w:rPr>
          <w:spacing w:val="-5"/>
        </w:rPr>
        <w:t>仍应负有返还不当得利的义务。</w:t>
      </w:r>
    </w:p>
    <w:p>
      <w:pPr>
        <w:pStyle w:val="BodyText"/>
        <w:spacing w:line="269" w:lineRule="exact"/>
        <w:ind w:left="840"/>
      </w:pPr>
      <w:r>
        <w:rPr>
          <w:rFonts w:ascii="Times New Roman" w:eastAsia="Times New Roman"/>
        </w:rPr>
        <w:t>2</w:t>
      </w:r>
      <w:r>
        <w:rPr/>
        <w:t>、差错处理原则</w:t>
      </w:r>
    </w:p>
    <w:p>
      <w:pPr>
        <w:pStyle w:val="BodyText"/>
        <w:spacing w:before="7"/>
        <w:rPr>
          <w:sz w:val="15"/>
        </w:rPr>
      </w:pPr>
    </w:p>
    <w:p>
      <w:pPr>
        <w:pStyle w:val="ListParagraph"/>
        <w:numPr>
          <w:ilvl w:val="0"/>
          <w:numId w:val="29"/>
        </w:numPr>
        <w:tabs>
          <w:tab w:pos="1790" w:val="left" w:leader="none"/>
        </w:tabs>
        <w:spacing w:line="417" w:lineRule="auto" w:before="0" w:after="0"/>
        <w:ind w:left="840" w:right="891" w:firstLine="419"/>
        <w:jc w:val="both"/>
        <w:rPr>
          <w:sz w:val="21"/>
        </w:rPr>
      </w:pPr>
      <w:r>
        <w:rPr>
          <w:spacing w:val="-3"/>
          <w:sz w:val="21"/>
        </w:rPr>
        <w:t>差错已发生，但尚未给当事人造成损失时，差错责任方应及时协调各方，及时进</w:t>
      </w:r>
      <w:r>
        <w:rPr>
          <w:spacing w:val="-11"/>
          <w:sz w:val="21"/>
        </w:rPr>
        <w:t>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w:t>
      </w:r>
      <w:r>
        <w:rPr>
          <w:spacing w:val="-6"/>
          <w:sz w:val="21"/>
        </w:rPr>
        <w:t>正的情况向有关当事人进行确认，确保差错已得到更正。</w:t>
      </w:r>
    </w:p>
    <w:p>
      <w:pPr>
        <w:spacing w:after="0" w:line="417" w:lineRule="auto"/>
        <w:jc w:val="both"/>
        <w:rPr>
          <w:sz w:val="21"/>
        </w:rPr>
        <w:sectPr>
          <w:pgSz w:w="11910" w:h="16840"/>
          <w:pgMar w:header="877" w:footer="995" w:top="1100" w:bottom="1180" w:left="960" w:right="900"/>
        </w:sectPr>
      </w:pPr>
    </w:p>
    <w:p>
      <w:pPr>
        <w:pStyle w:val="BodyText"/>
        <w:spacing w:before="10"/>
        <w:rPr>
          <w:sz w:val="26"/>
        </w:rPr>
      </w:pPr>
    </w:p>
    <w:p>
      <w:pPr>
        <w:pStyle w:val="ListParagraph"/>
        <w:numPr>
          <w:ilvl w:val="0"/>
          <w:numId w:val="29"/>
        </w:numPr>
        <w:tabs>
          <w:tab w:pos="1790" w:val="left" w:leader="none"/>
        </w:tabs>
        <w:spacing w:line="417" w:lineRule="auto" w:before="78" w:after="0"/>
        <w:ind w:left="840" w:right="894" w:firstLine="419"/>
        <w:jc w:val="left"/>
        <w:rPr>
          <w:sz w:val="21"/>
        </w:rPr>
      </w:pPr>
      <w:r>
        <w:rPr>
          <w:spacing w:val="-3"/>
          <w:sz w:val="21"/>
        </w:rPr>
        <w:t>差错的责任方对可能导致有关当事人的直接损失负责，不对间接损失负责，并且仅对差错的有关直接当事人负责，不对第三方负责。</w:t>
      </w:r>
    </w:p>
    <w:p>
      <w:pPr>
        <w:pStyle w:val="ListParagraph"/>
        <w:numPr>
          <w:ilvl w:val="0"/>
          <w:numId w:val="29"/>
        </w:numPr>
        <w:tabs>
          <w:tab w:pos="1790" w:val="left" w:leader="none"/>
        </w:tabs>
        <w:spacing w:line="417" w:lineRule="auto" w:before="0" w:after="0"/>
        <w:ind w:left="840" w:right="891" w:firstLine="419"/>
        <w:jc w:val="both"/>
        <w:rPr>
          <w:sz w:val="21"/>
        </w:rPr>
      </w:pPr>
      <w:r>
        <w:rPr>
          <w:spacing w:val="-3"/>
          <w:sz w:val="21"/>
        </w:rPr>
        <w:t>因差错而获得不当得利的当事人负有及时返还不当得利的义务。但差错责任方仍</w:t>
      </w:r>
      <w:r>
        <w:rPr>
          <w:spacing w:val="-12"/>
          <w:sz w:val="21"/>
        </w:rPr>
        <w:t>应对差错负责，如果由于获得不当得利的当事人不返还或不全部返还不当得利造成其他当事</w:t>
      </w:r>
      <w:r>
        <w:rPr>
          <w:spacing w:val="-6"/>
          <w:w w:val="100"/>
          <w:sz w:val="21"/>
        </w:rPr>
        <w:t>人的利益损失</w:t>
      </w:r>
      <w:r>
        <w:rPr>
          <w:spacing w:val="-106"/>
          <w:w w:val="100"/>
          <w:sz w:val="21"/>
        </w:rPr>
        <w:t>（</w:t>
      </w:r>
      <w:r>
        <w:rPr>
          <w:spacing w:val="-23"/>
          <w:w w:val="100"/>
          <w:sz w:val="21"/>
        </w:rPr>
        <w:t>“受损方”</w:t>
      </w:r>
      <w:r>
        <w:rPr>
          <w:spacing w:val="-108"/>
          <w:w w:val="100"/>
          <w:sz w:val="21"/>
        </w:rPr>
        <w:t>）</w:t>
      </w:r>
      <w:r>
        <w:rPr>
          <w:spacing w:val="-3"/>
          <w:w w:val="100"/>
          <w:sz w:val="21"/>
        </w:rPr>
        <w:t>，则差错责任方应赔偿受损方的损失，并在其支付的赔偿金额的</w:t>
      </w:r>
      <w:r>
        <w:rPr>
          <w:spacing w:val="-7"/>
          <w:sz w:val="21"/>
        </w:rPr>
        <w:t>范围内对获得不当得利的当事人享有要求交付不当得利的权利；如果获得不当得利的当事人</w:t>
      </w:r>
      <w:r>
        <w:rPr>
          <w:spacing w:val="-11"/>
          <w:sz w:val="21"/>
        </w:rPr>
        <w:t>已经将此部分不当得利返还给受损方，则受损方应当将其已经获得的赔偿额加上已经获得的</w:t>
      </w:r>
      <w:r>
        <w:rPr>
          <w:spacing w:val="-6"/>
          <w:sz w:val="21"/>
        </w:rPr>
        <w:t>不当得利返还的总和超过其实际损失的差额部分支付给差错责任方。</w:t>
      </w:r>
    </w:p>
    <w:p>
      <w:pPr>
        <w:pStyle w:val="ListParagraph"/>
        <w:numPr>
          <w:ilvl w:val="0"/>
          <w:numId w:val="29"/>
        </w:numPr>
        <w:tabs>
          <w:tab w:pos="1790" w:val="left" w:leader="none"/>
        </w:tabs>
        <w:spacing w:line="269" w:lineRule="exact" w:before="0" w:after="0"/>
        <w:ind w:left="1789" w:right="0" w:hanging="530"/>
        <w:jc w:val="left"/>
        <w:rPr>
          <w:sz w:val="21"/>
        </w:rPr>
      </w:pPr>
      <w:r>
        <w:rPr>
          <w:spacing w:val="-3"/>
          <w:sz w:val="21"/>
        </w:rPr>
        <w:t>差错调整采用尽量恢复至假设未发生差错的正确情形的方式。</w:t>
      </w:r>
    </w:p>
    <w:p>
      <w:pPr>
        <w:pStyle w:val="BodyText"/>
        <w:spacing w:before="6"/>
        <w:rPr>
          <w:sz w:val="15"/>
        </w:rPr>
      </w:pPr>
    </w:p>
    <w:p>
      <w:pPr>
        <w:pStyle w:val="ListParagraph"/>
        <w:numPr>
          <w:ilvl w:val="0"/>
          <w:numId w:val="29"/>
        </w:numPr>
        <w:tabs>
          <w:tab w:pos="1790" w:val="left" w:leader="none"/>
        </w:tabs>
        <w:spacing w:line="417" w:lineRule="auto" w:before="1" w:after="0"/>
        <w:ind w:left="840" w:right="891" w:firstLine="419"/>
        <w:jc w:val="both"/>
        <w:rPr>
          <w:sz w:val="21"/>
        </w:rPr>
      </w:pPr>
      <w:r>
        <w:rPr>
          <w:spacing w:val="-3"/>
          <w:sz w:val="21"/>
        </w:rPr>
        <w:t>差错责任方拒绝进行赔偿时，如果因基金管理人过错造成基金资产损失时，基金</w:t>
      </w:r>
      <w:r>
        <w:rPr>
          <w:spacing w:val="-8"/>
          <w:sz w:val="21"/>
        </w:rPr>
        <w:t>托管人应为基金的利益向基金管理人追偿，如果因基金托管人过错造成基金资产损失时，基</w:t>
      </w:r>
      <w:r>
        <w:rPr>
          <w:spacing w:val="-10"/>
          <w:sz w:val="21"/>
        </w:rPr>
        <w:t>金管理人应为基金的利益向基金托管人追偿。除基金管理人和托管人之外的第三方造成基金</w:t>
      </w:r>
      <w:r>
        <w:rPr>
          <w:spacing w:val="-5"/>
          <w:sz w:val="21"/>
        </w:rPr>
        <w:t>资产的损失，并拒绝进行赔偿时，由基金管理人负责向差错方追偿。</w:t>
      </w:r>
    </w:p>
    <w:p>
      <w:pPr>
        <w:pStyle w:val="ListParagraph"/>
        <w:numPr>
          <w:ilvl w:val="0"/>
          <w:numId w:val="29"/>
        </w:numPr>
        <w:tabs>
          <w:tab w:pos="1796" w:val="left" w:leader="none"/>
        </w:tabs>
        <w:spacing w:line="268" w:lineRule="exact" w:before="0" w:after="0"/>
        <w:ind w:left="1795" w:right="0" w:hanging="536"/>
        <w:jc w:val="left"/>
        <w:rPr>
          <w:sz w:val="21"/>
        </w:rPr>
      </w:pPr>
      <w:r>
        <w:rPr>
          <w:sz w:val="21"/>
        </w:rPr>
        <w:t>如果出现差错的当事人未按规定对受损方进行赔偿，并且依据法律、行政法规、</w:t>
      </w:r>
    </w:p>
    <w:p>
      <w:pPr>
        <w:pStyle w:val="BodyText"/>
        <w:spacing w:before="7"/>
        <w:rPr>
          <w:sz w:val="15"/>
        </w:rPr>
      </w:pPr>
    </w:p>
    <w:p>
      <w:pPr>
        <w:pStyle w:val="BodyText"/>
        <w:spacing w:line="417" w:lineRule="auto"/>
        <w:ind w:left="840" w:right="891"/>
        <w:jc w:val="both"/>
      </w:pPr>
      <w:r>
        <w:rPr>
          <w:spacing w:val="-11"/>
        </w:rPr>
        <w:t>《基金合同》或其他规定，基金管理人自行或依据法院判决、仲裁裁决对受损方承担了赔偿</w:t>
      </w:r>
      <w:r>
        <w:rPr>
          <w:spacing w:val="-12"/>
        </w:rPr>
        <w:t>责任，则基金管理人有权向出现过错的当事人进行追索，并有权要求其赔偿或补偿由此发生</w:t>
      </w:r>
      <w:r>
        <w:rPr>
          <w:spacing w:val="-6"/>
        </w:rPr>
        <w:t>的费用和遭受的损失。</w:t>
      </w:r>
    </w:p>
    <w:p>
      <w:pPr>
        <w:pStyle w:val="ListParagraph"/>
        <w:numPr>
          <w:ilvl w:val="0"/>
          <w:numId w:val="29"/>
        </w:numPr>
        <w:tabs>
          <w:tab w:pos="1790" w:val="left" w:leader="none"/>
        </w:tabs>
        <w:spacing w:line="269" w:lineRule="exact" w:before="0" w:after="0"/>
        <w:ind w:left="1789" w:right="0" w:hanging="530"/>
        <w:jc w:val="left"/>
        <w:rPr>
          <w:sz w:val="21"/>
        </w:rPr>
      </w:pPr>
      <w:r>
        <w:rPr>
          <w:spacing w:val="-3"/>
          <w:sz w:val="21"/>
        </w:rPr>
        <w:t>按法律法规规定的其他原则处理差错。</w:t>
      </w:r>
    </w:p>
    <w:p>
      <w:pPr>
        <w:pStyle w:val="BodyText"/>
        <w:spacing w:before="6"/>
        <w:rPr>
          <w:sz w:val="15"/>
        </w:rPr>
      </w:pPr>
    </w:p>
    <w:p>
      <w:pPr>
        <w:pStyle w:val="BodyText"/>
        <w:ind w:left="840"/>
      </w:pPr>
      <w:r>
        <w:rPr>
          <w:rFonts w:ascii="Times New Roman" w:eastAsia="Times New Roman"/>
        </w:rPr>
        <w:t>3</w:t>
      </w:r>
      <w:r>
        <w:rPr/>
        <w:t>、差错处理程序</w:t>
      </w:r>
    </w:p>
    <w:p>
      <w:pPr>
        <w:pStyle w:val="BodyText"/>
        <w:spacing w:before="7"/>
        <w:rPr>
          <w:sz w:val="15"/>
        </w:rPr>
      </w:pPr>
    </w:p>
    <w:p>
      <w:pPr>
        <w:pStyle w:val="BodyText"/>
        <w:ind w:left="1260"/>
      </w:pPr>
      <w:r>
        <w:rPr/>
        <w:t>差错被发现后，有关的当事人应当及时进行处理，处理的程序如下：</w:t>
      </w:r>
    </w:p>
    <w:p>
      <w:pPr>
        <w:pStyle w:val="BodyText"/>
        <w:spacing w:before="7"/>
        <w:rPr>
          <w:sz w:val="15"/>
        </w:rPr>
      </w:pPr>
    </w:p>
    <w:p>
      <w:pPr>
        <w:pStyle w:val="ListParagraph"/>
        <w:numPr>
          <w:ilvl w:val="0"/>
          <w:numId w:val="30"/>
        </w:numPr>
        <w:tabs>
          <w:tab w:pos="1790" w:val="left" w:leader="none"/>
        </w:tabs>
        <w:spacing w:line="417" w:lineRule="auto" w:before="0" w:after="0"/>
        <w:ind w:left="840" w:right="894" w:firstLine="419"/>
        <w:jc w:val="left"/>
        <w:rPr>
          <w:sz w:val="21"/>
        </w:rPr>
      </w:pPr>
      <w:r>
        <w:rPr>
          <w:spacing w:val="-3"/>
          <w:sz w:val="21"/>
        </w:rPr>
        <w:t>查明差错发生的原因，列明所有的当事人，并根据差错发生的原因确定差错的责任方；</w:t>
      </w:r>
    </w:p>
    <w:p>
      <w:pPr>
        <w:pStyle w:val="ListParagraph"/>
        <w:numPr>
          <w:ilvl w:val="0"/>
          <w:numId w:val="30"/>
        </w:numPr>
        <w:tabs>
          <w:tab w:pos="1790" w:val="left" w:leader="none"/>
        </w:tabs>
        <w:spacing w:line="240" w:lineRule="auto" w:before="0" w:after="0"/>
        <w:ind w:left="1789" w:right="0" w:hanging="530"/>
        <w:jc w:val="left"/>
        <w:rPr>
          <w:sz w:val="21"/>
        </w:rPr>
      </w:pPr>
      <w:r>
        <w:rPr>
          <w:spacing w:val="-3"/>
          <w:sz w:val="21"/>
        </w:rPr>
        <w:t>根据差错处理原则或当事人协商的方法对因差错造成的损失进行评估；</w:t>
      </w:r>
    </w:p>
    <w:p>
      <w:pPr>
        <w:pStyle w:val="BodyText"/>
        <w:spacing w:before="7"/>
        <w:rPr>
          <w:sz w:val="15"/>
        </w:rPr>
      </w:pPr>
    </w:p>
    <w:p>
      <w:pPr>
        <w:pStyle w:val="ListParagraph"/>
        <w:numPr>
          <w:ilvl w:val="0"/>
          <w:numId w:val="30"/>
        </w:numPr>
        <w:tabs>
          <w:tab w:pos="1790" w:val="left" w:leader="none"/>
        </w:tabs>
        <w:spacing w:line="240" w:lineRule="auto" w:before="0" w:after="0"/>
        <w:ind w:left="1789" w:right="0" w:hanging="530"/>
        <w:jc w:val="left"/>
        <w:rPr>
          <w:sz w:val="21"/>
        </w:rPr>
      </w:pPr>
      <w:r>
        <w:rPr>
          <w:spacing w:val="-3"/>
          <w:sz w:val="21"/>
        </w:rPr>
        <w:t>根据差错处理原则或当事人协商的方法由差错的责任方进行更正和赔偿损失；</w:t>
      </w:r>
    </w:p>
    <w:p>
      <w:pPr>
        <w:pStyle w:val="BodyText"/>
        <w:spacing w:before="7"/>
        <w:rPr>
          <w:sz w:val="15"/>
        </w:rPr>
      </w:pPr>
    </w:p>
    <w:p>
      <w:pPr>
        <w:pStyle w:val="ListParagraph"/>
        <w:numPr>
          <w:ilvl w:val="0"/>
          <w:numId w:val="30"/>
        </w:numPr>
        <w:tabs>
          <w:tab w:pos="1790" w:val="left" w:leader="none"/>
        </w:tabs>
        <w:spacing w:line="417" w:lineRule="auto" w:before="0" w:after="0"/>
        <w:ind w:left="840" w:right="894" w:firstLine="419"/>
        <w:jc w:val="left"/>
        <w:rPr>
          <w:sz w:val="21"/>
        </w:rPr>
      </w:pPr>
      <w:r>
        <w:rPr>
          <w:spacing w:val="-3"/>
          <w:sz w:val="21"/>
        </w:rPr>
        <w:t>根据差错处理的方法，需要修改基金注册登记人的交易数据的，由基金注册登记机构进行更正，并就差错的更正向有关当事人进行确认；</w:t>
      </w:r>
    </w:p>
    <w:p>
      <w:pPr>
        <w:pStyle w:val="ListParagraph"/>
        <w:numPr>
          <w:ilvl w:val="0"/>
          <w:numId w:val="30"/>
        </w:numPr>
        <w:tabs>
          <w:tab w:pos="1790" w:val="left" w:leader="none"/>
        </w:tabs>
        <w:spacing w:line="417" w:lineRule="auto" w:before="0" w:after="0"/>
        <w:ind w:left="840" w:right="890" w:firstLine="419"/>
        <w:jc w:val="both"/>
        <w:rPr>
          <w:sz w:val="21"/>
        </w:rPr>
      </w:pPr>
      <w:r>
        <w:rPr>
          <w:spacing w:val="-3"/>
          <w:sz w:val="21"/>
        </w:rPr>
        <w:t>基金管理人及基金托管人基金份额净值计算错误偏差达到基金资产净值的 </w:t>
      </w:r>
      <w:r>
        <w:rPr>
          <w:rFonts w:ascii="Times New Roman" w:eastAsia="Times New Roman"/>
          <w:sz w:val="21"/>
        </w:rPr>
        <w:t>0.25% </w:t>
      </w:r>
      <w:r>
        <w:rPr>
          <w:spacing w:val="-11"/>
          <w:sz w:val="21"/>
        </w:rPr>
        <w:t>时，基金管理人应当报告中国证监会；基金管理人及基金托管人基金份额净值计算错误偏差达到基金份额净值的 </w:t>
      </w:r>
      <w:r>
        <w:rPr>
          <w:rFonts w:ascii="Times New Roman" w:eastAsia="Times New Roman"/>
          <w:sz w:val="21"/>
        </w:rPr>
        <w:t>0.5%</w:t>
      </w:r>
      <w:r>
        <w:rPr>
          <w:spacing w:val="-3"/>
          <w:sz w:val="21"/>
        </w:rPr>
        <w:t>时，基金管理人应当公告并报中国证监会备案。</w:t>
      </w:r>
    </w:p>
    <w:p>
      <w:pPr>
        <w:spacing w:after="0" w:line="417" w:lineRule="auto"/>
        <w:jc w:val="both"/>
        <w:rPr>
          <w:sz w:val="21"/>
        </w:rPr>
        <w:sectPr>
          <w:pgSz w:w="11910" w:h="16840"/>
          <w:pgMar w:header="877" w:footer="995" w:top="1100" w:bottom="1180" w:left="960" w:right="900"/>
        </w:sectPr>
      </w:pPr>
    </w:p>
    <w:p>
      <w:pPr>
        <w:pStyle w:val="BodyText"/>
        <w:spacing w:before="4"/>
        <w:rPr>
          <w:sz w:val="27"/>
        </w:rPr>
      </w:pPr>
    </w:p>
    <w:p>
      <w:pPr>
        <w:pStyle w:val="Heading4"/>
        <w:spacing w:before="71"/>
      </w:pPr>
      <w:r>
        <w:rPr/>
        <w:t>七、暂停估值的情形</w:t>
      </w:r>
    </w:p>
    <w:p>
      <w:pPr>
        <w:pStyle w:val="BodyText"/>
        <w:spacing w:before="7"/>
        <w:rPr>
          <w:b/>
          <w:sz w:val="15"/>
        </w:rPr>
      </w:pPr>
    </w:p>
    <w:p>
      <w:pPr>
        <w:pStyle w:val="BodyText"/>
        <w:ind w:left="1260"/>
      </w:pPr>
      <w:r>
        <w:rPr>
          <w:rFonts w:ascii="Times New Roman" w:eastAsia="Times New Roman"/>
        </w:rPr>
        <w:t>1</w:t>
      </w:r>
      <w:r>
        <w:rPr/>
        <w:t>、与本基金投资有关的证券交易场所遇法定节假日或因其他原因暂停营业时；</w:t>
      </w:r>
    </w:p>
    <w:p>
      <w:pPr>
        <w:pStyle w:val="BodyText"/>
        <w:spacing w:before="7"/>
        <w:rPr>
          <w:sz w:val="15"/>
        </w:rPr>
      </w:pPr>
    </w:p>
    <w:p>
      <w:pPr>
        <w:pStyle w:val="BodyText"/>
        <w:ind w:left="1260"/>
      </w:pPr>
      <w:r>
        <w:rPr>
          <w:rFonts w:ascii="Times New Roman" w:eastAsia="Times New Roman"/>
        </w:rPr>
        <w:t>2</w:t>
      </w:r>
      <w:r>
        <w:rPr/>
        <w:t>、因不可抗力或其他情形致使基金管理人无法准确评估基金资产价值时；</w:t>
      </w:r>
    </w:p>
    <w:p>
      <w:pPr>
        <w:pStyle w:val="BodyText"/>
        <w:spacing w:line="364" w:lineRule="auto" w:before="100"/>
        <w:ind w:left="840" w:right="893" w:firstLine="419"/>
      </w:pPr>
      <w:r>
        <w:rPr>
          <w:rFonts w:ascii="Times New Roman" w:eastAsia="Times New Roman"/>
        </w:rPr>
        <w:t>3</w:t>
      </w:r>
      <w:r>
        <w:rPr/>
        <w:t>、前一估值日基金资产净值 50%以上的资产出现无可参考的活跃市场价格且采用估值技术仍导致公允价值存在重大不确定时，经与基金托管人协商确认后，应当暂停估值；</w:t>
      </w:r>
    </w:p>
    <w:p>
      <w:pPr>
        <w:pStyle w:val="BodyText"/>
        <w:spacing w:before="97"/>
        <w:ind w:left="1260"/>
      </w:pPr>
      <w:r>
        <w:rPr/>
        <w:t>4、中国证监会认定的其他情形。</w:t>
      </w:r>
    </w:p>
    <w:p>
      <w:pPr>
        <w:pStyle w:val="BodyText"/>
        <w:rPr>
          <w:sz w:val="20"/>
        </w:rPr>
      </w:pPr>
    </w:p>
    <w:p>
      <w:pPr>
        <w:pStyle w:val="BodyText"/>
        <w:rPr>
          <w:sz w:val="20"/>
        </w:rPr>
      </w:pPr>
    </w:p>
    <w:p>
      <w:pPr>
        <w:pStyle w:val="Heading4"/>
        <w:spacing w:before="155"/>
      </w:pPr>
      <w:r>
        <w:rPr/>
        <w:t>八、特殊情形的处理</w:t>
      </w:r>
    </w:p>
    <w:p>
      <w:pPr>
        <w:pStyle w:val="BodyText"/>
        <w:spacing w:before="6"/>
        <w:rPr>
          <w:b/>
          <w:sz w:val="15"/>
        </w:rPr>
      </w:pPr>
    </w:p>
    <w:p>
      <w:pPr>
        <w:pStyle w:val="BodyText"/>
        <w:spacing w:line="417" w:lineRule="auto" w:before="1"/>
        <w:ind w:left="840" w:right="893" w:firstLine="419"/>
        <w:jc w:val="both"/>
      </w:pPr>
      <w:r>
        <w:rPr>
          <w:rFonts w:ascii="Times New Roman" w:eastAsia="Times New Roman"/>
        </w:rPr>
        <w:t>1</w:t>
      </w:r>
      <w:r>
        <w:rPr>
          <w:spacing w:val="-5"/>
        </w:rPr>
        <w:t>、基金管理人按估值方法的第 </w:t>
      </w:r>
      <w:r>
        <w:rPr>
          <w:rFonts w:ascii="Times New Roman" w:eastAsia="Times New Roman"/>
        </w:rPr>
        <w:t>6 </w:t>
      </w:r>
      <w:r>
        <w:rPr>
          <w:spacing w:val="-3"/>
        </w:rPr>
        <w:t>项进行估值时，所造成的误差不作为基金资产估值错误处理；</w:t>
      </w:r>
    </w:p>
    <w:p>
      <w:pPr>
        <w:pStyle w:val="BodyText"/>
        <w:spacing w:line="417" w:lineRule="auto"/>
        <w:ind w:left="840" w:right="891" w:firstLine="419"/>
        <w:jc w:val="both"/>
      </w:pPr>
      <w:r>
        <w:rPr>
          <w:rFonts w:ascii="Times New Roman" w:eastAsia="Times New Roman"/>
        </w:rPr>
        <w:t>2</w:t>
      </w:r>
      <w:r>
        <w:rPr>
          <w:spacing w:val="-3"/>
        </w:rPr>
        <w:t>、由于证券交易所及其登记结算公司发送的数据错误，或由于其他不可抗力原因，基</w:t>
      </w:r>
      <w:r>
        <w:rPr>
          <w:spacing w:val="-8"/>
        </w:rPr>
        <w:t>金管理人和基金托管人虽然已经采取必要、适当、合理的措施进行检查，但是未能发现该错</w:t>
      </w:r>
      <w:r>
        <w:rPr>
          <w:spacing w:val="-10"/>
        </w:rPr>
        <w:t>误的，由此造成的基金资产估值错误，基金管理人和基金托管人可以免除赔偿责任。但基金</w:t>
      </w:r>
      <w:r>
        <w:rPr>
          <w:spacing w:val="-5"/>
        </w:rPr>
        <w:t>管理人、基金托管人应当积极采取必要的措施消除由此造成的影响。</w:t>
      </w:r>
    </w:p>
    <w:p>
      <w:pPr>
        <w:pStyle w:val="BodyText"/>
        <w:spacing w:line="417" w:lineRule="auto"/>
        <w:ind w:left="840" w:right="894" w:firstLine="419"/>
        <w:jc w:val="both"/>
      </w:pPr>
      <w:r>
        <w:rPr>
          <w:spacing w:val="-7"/>
        </w:rPr>
        <w:t>注：根据中国证监会《关于进一步规范证券投资基金估值业务的指导意见》</w:t>
      </w:r>
      <w:r>
        <w:rPr>
          <w:spacing w:val="-3"/>
        </w:rPr>
        <w:t>（</w:t>
      </w:r>
      <w:r>
        <w:rPr>
          <w:spacing w:val="-1"/>
        </w:rPr>
        <w:t>中国证券</w:t>
      </w:r>
      <w:r>
        <w:rPr>
          <w:spacing w:val="-3"/>
        </w:rPr>
        <w:t>监督管理委员会公告</w:t>
      </w:r>
      <w:r>
        <w:rPr/>
        <w:t>[2008]38</w:t>
      </w:r>
      <w:r>
        <w:rPr>
          <w:spacing w:val="-21"/>
        </w:rPr>
        <w:t> 号</w:t>
      </w:r>
      <w:r>
        <w:rPr>
          <w:spacing w:val="-3"/>
        </w:rPr>
        <w:t>）</w:t>
      </w:r>
      <w:r>
        <w:rPr>
          <w:spacing w:val="-7"/>
        </w:rPr>
        <w:t>的规定，本公司于 </w:t>
      </w:r>
      <w:r>
        <w:rPr/>
        <w:t>2008</w:t>
      </w:r>
      <w:r>
        <w:rPr>
          <w:spacing w:val="-28"/>
        </w:rPr>
        <w:t> 年 </w:t>
      </w:r>
      <w:r>
        <w:rPr/>
        <w:t>9</w:t>
      </w:r>
      <w:r>
        <w:rPr>
          <w:spacing w:val="-26"/>
        </w:rPr>
        <w:t> 月 </w:t>
      </w:r>
      <w:r>
        <w:rPr/>
        <w:t>16</w:t>
      </w:r>
      <w:r>
        <w:rPr>
          <w:spacing w:val="-8"/>
        </w:rPr>
        <w:t> 日发布《关于景顺长</w:t>
      </w:r>
    </w:p>
    <w:p>
      <w:pPr>
        <w:pStyle w:val="BodyText"/>
        <w:spacing w:line="417" w:lineRule="auto"/>
        <w:ind w:left="840" w:right="891"/>
        <w:jc w:val="both"/>
      </w:pPr>
      <w:r>
        <w:rPr>
          <w:spacing w:val="-9"/>
        </w:rPr>
        <w:t>城基金管理有限公司旗下基金持有的长期停牌股票估值方法的公告》，自 </w:t>
      </w:r>
      <w:r>
        <w:rPr/>
        <w:t>2008</w:t>
      </w:r>
      <w:r>
        <w:rPr>
          <w:spacing w:val="-31"/>
        </w:rPr>
        <w:t> 年 </w:t>
      </w:r>
      <w:r>
        <w:rPr/>
        <w:t>9</w:t>
      </w:r>
      <w:r>
        <w:rPr>
          <w:spacing w:val="-31"/>
        </w:rPr>
        <w:t> 月 </w:t>
      </w:r>
      <w:r>
        <w:rPr/>
        <w:t>16</w:t>
      </w:r>
      <w:r>
        <w:rPr>
          <w:spacing w:val="-23"/>
        </w:rPr>
        <w:t> 日</w:t>
      </w:r>
      <w:r>
        <w:rPr>
          <w:spacing w:val="-8"/>
        </w:rPr>
        <w:t>起，对本基金持有的长期停牌证券采用指数收益法估值。</w:t>
      </w:r>
    </w:p>
    <w:p>
      <w:pPr>
        <w:spacing w:after="0" w:line="417" w:lineRule="auto"/>
        <w:jc w:val="both"/>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pPr>
      <w:bookmarkStart w:name="_TOC_250011" w:id="13"/>
      <w:bookmarkEnd w:id="13"/>
      <w:r>
        <w:rPr/>
        <w:t>十三、基金的收益与分配</w:t>
      </w:r>
    </w:p>
    <w:p>
      <w:pPr>
        <w:pStyle w:val="BodyText"/>
        <w:rPr>
          <w:rFonts w:ascii="黑体"/>
          <w:b/>
          <w:sz w:val="20"/>
        </w:rPr>
      </w:pPr>
    </w:p>
    <w:p>
      <w:pPr>
        <w:pStyle w:val="BodyText"/>
        <w:spacing w:before="4"/>
        <w:rPr>
          <w:rFonts w:ascii="黑体"/>
          <w:b/>
          <w:sz w:val="16"/>
        </w:rPr>
      </w:pPr>
    </w:p>
    <w:p>
      <w:pPr>
        <w:pStyle w:val="Heading4"/>
        <w:spacing w:before="72"/>
      </w:pPr>
      <w:r>
        <w:rPr/>
        <w:t>一、基金收益的构成</w:t>
      </w:r>
    </w:p>
    <w:p>
      <w:pPr>
        <w:pStyle w:val="BodyText"/>
        <w:spacing w:before="7"/>
        <w:rPr>
          <w:b/>
          <w:sz w:val="15"/>
        </w:rPr>
      </w:pPr>
    </w:p>
    <w:p>
      <w:pPr>
        <w:pStyle w:val="BodyText"/>
        <w:spacing w:line="417" w:lineRule="auto"/>
        <w:ind w:left="840" w:right="797" w:firstLine="419"/>
      </w:pPr>
      <w:r>
        <w:rPr/>
        <w:t>基金收益包括：基金投资所得红利、股息、债券利息、票据投资收益、买卖证券差价、银行存款利息以及其他收入。因运用基金财产带来的成本或费用的节约计入收益。</w:t>
      </w:r>
    </w:p>
    <w:p>
      <w:pPr>
        <w:pStyle w:val="BodyText"/>
        <w:rPr>
          <w:sz w:val="20"/>
        </w:rPr>
      </w:pPr>
    </w:p>
    <w:p>
      <w:pPr>
        <w:pStyle w:val="BodyText"/>
        <w:spacing w:before="7"/>
        <w:rPr>
          <w:sz w:val="16"/>
        </w:rPr>
      </w:pPr>
    </w:p>
    <w:p>
      <w:pPr>
        <w:pStyle w:val="Heading4"/>
      </w:pPr>
      <w:r>
        <w:rPr/>
        <w:t>二、基金净收益</w:t>
      </w:r>
    </w:p>
    <w:p>
      <w:pPr>
        <w:pStyle w:val="BodyText"/>
        <w:spacing w:before="6"/>
        <w:rPr>
          <w:b/>
          <w:sz w:val="15"/>
        </w:rPr>
      </w:pPr>
    </w:p>
    <w:p>
      <w:pPr>
        <w:pStyle w:val="BodyText"/>
        <w:ind w:left="1260"/>
      </w:pPr>
      <w:r>
        <w:rPr/>
        <w:t>基金净收益为基金收益扣除按照有关规定可以在基金收益中扣除的费用后的余额。</w:t>
      </w:r>
    </w:p>
    <w:p>
      <w:pPr>
        <w:pStyle w:val="BodyText"/>
        <w:rPr>
          <w:sz w:val="20"/>
        </w:rPr>
      </w:pPr>
    </w:p>
    <w:p>
      <w:pPr>
        <w:pStyle w:val="BodyText"/>
        <w:rPr>
          <w:sz w:val="20"/>
        </w:rPr>
      </w:pPr>
    </w:p>
    <w:p>
      <w:pPr>
        <w:pStyle w:val="Heading4"/>
        <w:spacing w:before="155"/>
      </w:pPr>
      <w:r>
        <w:rPr/>
        <w:t>三、基金收益分配原则</w:t>
      </w:r>
    </w:p>
    <w:p>
      <w:pPr>
        <w:pStyle w:val="BodyText"/>
        <w:spacing w:before="6"/>
        <w:rPr>
          <w:b/>
          <w:sz w:val="15"/>
        </w:rPr>
      </w:pPr>
    </w:p>
    <w:p>
      <w:pPr>
        <w:pStyle w:val="BodyText"/>
        <w:spacing w:line="417" w:lineRule="auto" w:before="1"/>
        <w:ind w:left="840" w:right="788" w:firstLine="419"/>
        <w:jc w:val="both"/>
      </w:pPr>
      <w:r>
        <w:rPr>
          <w:rFonts w:ascii="Times New Roman" w:eastAsia="Times New Roman"/>
        </w:rPr>
        <w:t>1</w:t>
      </w:r>
      <w:r>
        <w:rPr>
          <w:spacing w:val="-5"/>
        </w:rPr>
        <w:t>、在符合有关基金分红条件的前提下，本基金每年收益分配次数最多为 </w:t>
      </w:r>
      <w:r>
        <w:rPr>
          <w:rFonts w:ascii="Times New Roman" w:eastAsia="Times New Roman"/>
        </w:rPr>
        <w:t>6 </w:t>
      </w:r>
      <w:r>
        <w:rPr>
          <w:spacing w:val="-3"/>
        </w:rPr>
        <w:t>次，全年分</w:t>
      </w:r>
      <w:r>
        <w:rPr>
          <w:spacing w:val="-6"/>
        </w:rPr>
        <w:t>配比例不得低于年度可供分配收益的 </w:t>
      </w:r>
      <w:r>
        <w:rPr>
          <w:rFonts w:ascii="Times New Roman" w:eastAsia="Times New Roman"/>
          <w:spacing w:val="-3"/>
        </w:rPr>
        <w:t>50%</w:t>
      </w:r>
      <w:r>
        <w:rPr>
          <w:spacing w:val="-7"/>
        </w:rPr>
        <w:t>，若基金合同生效不满 </w:t>
      </w:r>
      <w:r>
        <w:rPr>
          <w:rFonts w:ascii="Times New Roman" w:eastAsia="Times New Roman"/>
        </w:rPr>
        <w:t>3 </w:t>
      </w:r>
      <w:r>
        <w:rPr>
          <w:spacing w:val="-3"/>
        </w:rPr>
        <w:t>个月可不进行收益分配；</w:t>
      </w:r>
    </w:p>
    <w:p>
      <w:pPr>
        <w:pStyle w:val="BodyText"/>
        <w:spacing w:line="417" w:lineRule="auto"/>
        <w:ind w:left="840" w:right="891" w:firstLine="419"/>
        <w:jc w:val="both"/>
      </w:pPr>
      <w:r>
        <w:rPr>
          <w:rFonts w:ascii="Times New Roman" w:eastAsia="Times New Roman"/>
        </w:rPr>
        <w:t>2</w:t>
      </w:r>
      <w:r>
        <w:rPr>
          <w:spacing w:val="-3"/>
        </w:rPr>
        <w:t>、本基金收益分配方式分两种：现金分红与红利再投资，投资人可选择现金红利或将</w:t>
      </w:r>
      <w:r>
        <w:rPr>
          <w:spacing w:val="-7"/>
        </w:rPr>
        <w:t>现金红利按除权日的基金份额净值自动转为基金份额进行再投资；若投资者不选择，本基金</w:t>
      </w:r>
      <w:r>
        <w:rPr>
          <w:spacing w:val="-5"/>
        </w:rPr>
        <w:t>默认的收益分配方式是现金分红；</w:t>
      </w:r>
    </w:p>
    <w:p>
      <w:pPr>
        <w:pStyle w:val="BodyText"/>
        <w:ind w:left="1260"/>
      </w:pPr>
      <w:r>
        <w:rPr>
          <w:rFonts w:ascii="Times New Roman" w:eastAsia="Times New Roman"/>
        </w:rPr>
        <w:t>3</w:t>
      </w:r>
      <w:r>
        <w:rPr/>
        <w:t>、基金投资当期出现净亏损，则不进行收益分配；</w:t>
      </w:r>
    </w:p>
    <w:p>
      <w:pPr>
        <w:pStyle w:val="BodyText"/>
        <w:spacing w:before="6"/>
        <w:rPr>
          <w:sz w:val="15"/>
        </w:rPr>
      </w:pPr>
    </w:p>
    <w:p>
      <w:pPr>
        <w:pStyle w:val="BodyText"/>
        <w:ind w:left="1260"/>
      </w:pPr>
      <w:r>
        <w:rPr>
          <w:rFonts w:ascii="Times New Roman" w:eastAsia="Times New Roman"/>
        </w:rPr>
        <w:t>4</w:t>
      </w:r>
      <w:r>
        <w:rPr/>
        <w:t>、基金当年收益应先弥补上一年度亏损后，才可进行当年收益分配；</w:t>
      </w:r>
    </w:p>
    <w:p>
      <w:pPr>
        <w:pStyle w:val="BodyText"/>
        <w:spacing w:before="7"/>
        <w:rPr>
          <w:sz w:val="15"/>
        </w:rPr>
      </w:pPr>
    </w:p>
    <w:p>
      <w:pPr>
        <w:pStyle w:val="BodyText"/>
        <w:ind w:left="1260"/>
      </w:pPr>
      <w:r>
        <w:rPr>
          <w:rFonts w:ascii="Times New Roman" w:eastAsia="Times New Roman"/>
        </w:rPr>
        <w:t>5</w:t>
      </w:r>
      <w:r>
        <w:rPr/>
        <w:t>、基金收益分配后基金份额净值不能低于面值；</w:t>
      </w:r>
    </w:p>
    <w:p>
      <w:pPr>
        <w:pStyle w:val="BodyText"/>
        <w:spacing w:before="6"/>
        <w:rPr>
          <w:sz w:val="15"/>
        </w:rPr>
      </w:pPr>
    </w:p>
    <w:p>
      <w:pPr>
        <w:pStyle w:val="BodyText"/>
        <w:ind w:left="1260"/>
      </w:pPr>
      <w:r>
        <w:rPr>
          <w:rFonts w:ascii="Times New Roman" w:eastAsia="Times New Roman"/>
        </w:rPr>
        <w:t>6</w:t>
      </w:r>
      <w:r>
        <w:rPr/>
        <w:t>、每一基金份额享有同等分配权；</w:t>
      </w:r>
    </w:p>
    <w:p>
      <w:pPr>
        <w:pStyle w:val="BodyText"/>
        <w:spacing w:before="7"/>
        <w:rPr>
          <w:sz w:val="15"/>
        </w:rPr>
      </w:pPr>
    </w:p>
    <w:p>
      <w:pPr>
        <w:pStyle w:val="BodyText"/>
        <w:ind w:left="1260"/>
      </w:pPr>
      <w:r>
        <w:rPr>
          <w:rFonts w:ascii="Times New Roman" w:eastAsia="Times New Roman"/>
        </w:rPr>
        <w:t>7</w:t>
      </w:r>
      <w:r>
        <w:rPr/>
        <w:t>、法律法规或监管机关另有规定的，从其规定。</w:t>
      </w:r>
    </w:p>
    <w:p>
      <w:pPr>
        <w:pStyle w:val="BodyText"/>
        <w:rPr>
          <w:sz w:val="22"/>
        </w:rPr>
      </w:pPr>
    </w:p>
    <w:p>
      <w:pPr>
        <w:pStyle w:val="BodyText"/>
        <w:spacing w:before="1"/>
        <w:rPr>
          <w:sz w:val="30"/>
        </w:rPr>
      </w:pPr>
    </w:p>
    <w:p>
      <w:pPr>
        <w:pStyle w:val="Heading4"/>
        <w:spacing w:before="1"/>
      </w:pPr>
      <w:r>
        <w:rPr/>
        <w:t>四、收益分配方案</w:t>
      </w:r>
    </w:p>
    <w:p>
      <w:pPr>
        <w:pStyle w:val="BodyText"/>
        <w:spacing w:before="6"/>
        <w:rPr>
          <w:b/>
          <w:sz w:val="15"/>
        </w:rPr>
      </w:pPr>
    </w:p>
    <w:p>
      <w:pPr>
        <w:pStyle w:val="BodyText"/>
        <w:spacing w:line="417" w:lineRule="auto"/>
        <w:ind w:left="840" w:right="891" w:firstLine="419"/>
      </w:pPr>
      <w:r>
        <w:rPr>
          <w:spacing w:val="-7"/>
        </w:rPr>
        <w:t>基金收益分配方案中应载明基金净收益、基金收益分配对象、分配时间、分配数额及比</w:t>
      </w:r>
      <w:r>
        <w:rPr>
          <w:spacing w:val="-5"/>
        </w:rPr>
        <w:t>例、分配方式等内容。</w:t>
      </w:r>
    </w:p>
    <w:p>
      <w:pPr>
        <w:pStyle w:val="BodyText"/>
        <w:rPr>
          <w:sz w:val="20"/>
        </w:rPr>
      </w:pPr>
    </w:p>
    <w:p>
      <w:pPr>
        <w:pStyle w:val="BodyText"/>
        <w:spacing w:before="6"/>
        <w:rPr>
          <w:sz w:val="16"/>
        </w:rPr>
      </w:pPr>
    </w:p>
    <w:p>
      <w:pPr>
        <w:pStyle w:val="Heading4"/>
        <w:spacing w:before="1"/>
      </w:pPr>
      <w:r>
        <w:rPr/>
        <w:t>五、收益分配方案的确定、公告与实施</w:t>
      </w:r>
    </w:p>
    <w:p>
      <w:pPr>
        <w:pStyle w:val="BodyText"/>
        <w:spacing w:before="6"/>
        <w:rPr>
          <w:b/>
          <w:sz w:val="15"/>
        </w:rPr>
      </w:pPr>
    </w:p>
    <w:p>
      <w:pPr>
        <w:pStyle w:val="BodyText"/>
        <w:spacing w:line="417" w:lineRule="auto"/>
        <w:ind w:left="840" w:right="797" w:firstLine="419"/>
      </w:pPr>
      <w:r>
        <w:rPr/>
        <w:t>本基金收益分配方案由基金管理人拟定，并由基金托管人复核，依照《信息披露办法》规定在指定媒介公告。</w:t>
      </w:r>
    </w:p>
    <w:p>
      <w:pPr>
        <w:spacing w:after="0" w:line="417" w:lineRule="auto"/>
        <w:sectPr>
          <w:footerReference w:type="default" r:id="rId168"/>
          <w:pgSz w:w="11910" w:h="16840"/>
          <w:pgMar w:footer="995" w:header="877" w:top="1100" w:bottom="1180" w:left="960" w:right="900"/>
          <w:pgNumType w:start="110"/>
        </w:sectPr>
      </w:pPr>
    </w:p>
    <w:p>
      <w:pPr>
        <w:pStyle w:val="BodyText"/>
        <w:spacing w:before="4"/>
        <w:rPr>
          <w:sz w:val="27"/>
        </w:rPr>
      </w:pPr>
    </w:p>
    <w:p>
      <w:pPr>
        <w:pStyle w:val="Heading4"/>
        <w:spacing w:before="71"/>
      </w:pPr>
      <w:r>
        <w:rPr/>
        <w:t>六、基金收益分配中发生的费用</w:t>
      </w:r>
    </w:p>
    <w:p>
      <w:pPr>
        <w:pStyle w:val="BodyText"/>
        <w:spacing w:before="7"/>
        <w:rPr>
          <w:b/>
          <w:sz w:val="15"/>
        </w:rPr>
      </w:pPr>
    </w:p>
    <w:p>
      <w:pPr>
        <w:pStyle w:val="BodyText"/>
        <w:spacing w:line="417" w:lineRule="auto"/>
        <w:ind w:left="840" w:right="891" w:firstLine="419"/>
        <w:jc w:val="both"/>
      </w:pPr>
      <w:r>
        <w:rPr>
          <w:spacing w:val="-7"/>
        </w:rPr>
        <w:t>红利分配时所发生的银行转账或其他手续费用由投资者自行承担。当投资者的现金红利</w:t>
      </w:r>
      <w:r>
        <w:rPr>
          <w:spacing w:val="-12"/>
        </w:rPr>
        <w:t>小于一定金额，不足于支付银行转账或其他手续费用时，基金注册登记人可将投资者的现金</w:t>
      </w:r>
      <w:r>
        <w:rPr>
          <w:spacing w:val="-10"/>
        </w:rPr>
        <w:t>红利按权益登记日除权后的基金份额净值自动转为基金份额。红利再投资的计算方法，依照</w:t>
      </w:r>
      <w:r>
        <w:rPr>
          <w:spacing w:val="-5"/>
        </w:rPr>
        <w:t>景顺长城基金管理有限公司开放式基金有关业务规定执行。</w:t>
      </w:r>
    </w:p>
    <w:p>
      <w:pPr>
        <w:spacing w:after="0" w:line="417" w:lineRule="auto"/>
        <w:jc w:val="both"/>
        <w:sectPr>
          <w:pgSz w:w="11910" w:h="16840"/>
          <w:pgMar w:header="877" w:footer="995" w:top="1100" w:bottom="1180" w:left="960" w:right="9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p>
    <w:p>
      <w:pPr>
        <w:pStyle w:val="Heading1"/>
      </w:pPr>
      <w:bookmarkStart w:name="_TOC_250010" w:id="14"/>
      <w:bookmarkEnd w:id="14"/>
      <w:r>
        <w:rPr/>
        <w:t>十四、基金费用与税收</w:t>
      </w:r>
    </w:p>
    <w:p>
      <w:pPr>
        <w:pStyle w:val="BodyText"/>
        <w:rPr>
          <w:rFonts w:ascii="黑体"/>
          <w:b/>
          <w:sz w:val="20"/>
        </w:rPr>
      </w:pPr>
    </w:p>
    <w:p>
      <w:pPr>
        <w:pStyle w:val="BodyText"/>
        <w:rPr>
          <w:rFonts w:ascii="黑体"/>
          <w:b/>
          <w:sz w:val="20"/>
        </w:rPr>
      </w:pPr>
    </w:p>
    <w:p>
      <w:pPr>
        <w:pStyle w:val="BodyText"/>
        <w:rPr>
          <w:rFonts w:ascii="黑体"/>
          <w:b/>
          <w:sz w:val="20"/>
        </w:rPr>
      </w:pPr>
    </w:p>
    <w:p>
      <w:pPr>
        <w:pStyle w:val="BodyText"/>
        <w:spacing w:before="6"/>
        <w:rPr>
          <w:rFonts w:ascii="黑体"/>
          <w:b/>
          <w:sz w:val="18"/>
        </w:rPr>
      </w:pPr>
    </w:p>
    <w:p>
      <w:pPr>
        <w:spacing w:line="417" w:lineRule="auto" w:before="0"/>
        <w:ind w:left="840" w:right="6674" w:firstLine="0"/>
        <w:jc w:val="left"/>
        <w:rPr>
          <w:sz w:val="21"/>
        </w:rPr>
      </w:pPr>
      <w:r>
        <w:rPr>
          <w:b/>
          <w:sz w:val="21"/>
        </w:rPr>
        <w:t>一、与基金运作有关的费用</w:t>
      </w:r>
      <w:r>
        <w:rPr>
          <w:sz w:val="21"/>
        </w:rPr>
        <w:t>1、基金费用的种类</w:t>
      </w:r>
    </w:p>
    <w:p>
      <w:pPr>
        <w:pStyle w:val="ListParagraph"/>
        <w:numPr>
          <w:ilvl w:val="0"/>
          <w:numId w:val="31"/>
        </w:numPr>
        <w:tabs>
          <w:tab w:pos="1790" w:val="left" w:leader="none"/>
        </w:tabs>
        <w:spacing w:line="240" w:lineRule="auto" w:before="0" w:after="0"/>
        <w:ind w:left="1789" w:right="0" w:hanging="530"/>
        <w:jc w:val="left"/>
        <w:rPr>
          <w:sz w:val="21"/>
        </w:rPr>
      </w:pPr>
      <w:r>
        <w:rPr>
          <w:spacing w:val="-3"/>
          <w:sz w:val="21"/>
        </w:rPr>
        <w:t>基金管理人的管理费；</w:t>
      </w:r>
    </w:p>
    <w:p>
      <w:pPr>
        <w:pStyle w:val="BodyText"/>
        <w:spacing w:before="7"/>
        <w:rPr>
          <w:sz w:val="15"/>
        </w:rPr>
      </w:pPr>
    </w:p>
    <w:p>
      <w:pPr>
        <w:pStyle w:val="ListParagraph"/>
        <w:numPr>
          <w:ilvl w:val="0"/>
          <w:numId w:val="31"/>
        </w:numPr>
        <w:tabs>
          <w:tab w:pos="1790" w:val="left" w:leader="none"/>
        </w:tabs>
        <w:spacing w:line="240" w:lineRule="auto" w:before="0" w:after="0"/>
        <w:ind w:left="1789" w:right="0" w:hanging="530"/>
        <w:jc w:val="left"/>
        <w:rPr>
          <w:sz w:val="21"/>
        </w:rPr>
      </w:pPr>
      <w:r>
        <w:rPr>
          <w:spacing w:val="-3"/>
          <w:sz w:val="21"/>
        </w:rPr>
        <w:t>基金托管人的托管费；</w:t>
      </w:r>
    </w:p>
    <w:p>
      <w:pPr>
        <w:pStyle w:val="BodyText"/>
        <w:spacing w:before="7"/>
        <w:rPr>
          <w:sz w:val="15"/>
        </w:rPr>
      </w:pPr>
    </w:p>
    <w:p>
      <w:pPr>
        <w:pStyle w:val="ListParagraph"/>
        <w:numPr>
          <w:ilvl w:val="0"/>
          <w:numId w:val="31"/>
        </w:numPr>
        <w:tabs>
          <w:tab w:pos="1790" w:val="left" w:leader="none"/>
        </w:tabs>
        <w:spacing w:line="240" w:lineRule="auto" w:before="0" w:after="0"/>
        <w:ind w:left="1789" w:right="0" w:hanging="530"/>
        <w:jc w:val="left"/>
        <w:rPr>
          <w:sz w:val="21"/>
        </w:rPr>
      </w:pPr>
      <w:r>
        <w:rPr>
          <w:spacing w:val="-3"/>
          <w:sz w:val="21"/>
        </w:rPr>
        <w:t>基金证券交易费用；</w:t>
      </w:r>
    </w:p>
    <w:p>
      <w:pPr>
        <w:pStyle w:val="BodyText"/>
        <w:spacing w:before="6"/>
        <w:rPr>
          <w:sz w:val="15"/>
        </w:rPr>
      </w:pPr>
    </w:p>
    <w:p>
      <w:pPr>
        <w:pStyle w:val="ListParagraph"/>
        <w:numPr>
          <w:ilvl w:val="0"/>
          <w:numId w:val="31"/>
        </w:numPr>
        <w:tabs>
          <w:tab w:pos="1790" w:val="left" w:leader="none"/>
        </w:tabs>
        <w:spacing w:line="240" w:lineRule="auto" w:before="1" w:after="0"/>
        <w:ind w:left="1789" w:right="0" w:hanging="530"/>
        <w:jc w:val="left"/>
        <w:rPr>
          <w:sz w:val="21"/>
        </w:rPr>
      </w:pPr>
      <w:r>
        <w:rPr>
          <w:spacing w:val="-3"/>
          <w:sz w:val="21"/>
        </w:rPr>
        <w:t>基金的信息披露费用；</w:t>
      </w:r>
    </w:p>
    <w:p>
      <w:pPr>
        <w:pStyle w:val="BodyText"/>
        <w:spacing w:before="6"/>
        <w:rPr>
          <w:sz w:val="15"/>
        </w:rPr>
      </w:pPr>
    </w:p>
    <w:p>
      <w:pPr>
        <w:pStyle w:val="ListParagraph"/>
        <w:numPr>
          <w:ilvl w:val="0"/>
          <w:numId w:val="31"/>
        </w:numPr>
        <w:tabs>
          <w:tab w:pos="1790" w:val="left" w:leader="none"/>
        </w:tabs>
        <w:spacing w:line="240" w:lineRule="auto" w:before="0" w:after="0"/>
        <w:ind w:left="1789" w:right="0" w:hanging="530"/>
        <w:jc w:val="left"/>
        <w:rPr>
          <w:sz w:val="21"/>
        </w:rPr>
      </w:pPr>
      <w:r>
        <w:rPr>
          <w:spacing w:val="-3"/>
          <w:sz w:val="21"/>
        </w:rPr>
        <w:t>基金份额持有人大会费用；</w:t>
      </w:r>
    </w:p>
    <w:p>
      <w:pPr>
        <w:pStyle w:val="BodyText"/>
        <w:spacing w:before="7"/>
        <w:rPr>
          <w:sz w:val="15"/>
        </w:rPr>
      </w:pPr>
    </w:p>
    <w:p>
      <w:pPr>
        <w:pStyle w:val="ListParagraph"/>
        <w:numPr>
          <w:ilvl w:val="0"/>
          <w:numId w:val="31"/>
        </w:numPr>
        <w:tabs>
          <w:tab w:pos="1790" w:val="left" w:leader="none"/>
        </w:tabs>
        <w:spacing w:line="240" w:lineRule="auto" w:before="0" w:after="0"/>
        <w:ind w:left="1789" w:right="0" w:hanging="530"/>
        <w:jc w:val="left"/>
        <w:rPr>
          <w:sz w:val="21"/>
        </w:rPr>
      </w:pPr>
      <w:r>
        <w:rPr>
          <w:spacing w:val="-3"/>
          <w:sz w:val="21"/>
        </w:rPr>
        <w:t>基金合同生效后与基金相关的会计师费和律师费；</w:t>
      </w:r>
    </w:p>
    <w:p>
      <w:pPr>
        <w:pStyle w:val="BodyText"/>
        <w:spacing w:before="7"/>
        <w:rPr>
          <w:sz w:val="15"/>
        </w:rPr>
      </w:pPr>
    </w:p>
    <w:p>
      <w:pPr>
        <w:pStyle w:val="ListParagraph"/>
        <w:numPr>
          <w:ilvl w:val="0"/>
          <w:numId w:val="31"/>
        </w:numPr>
        <w:tabs>
          <w:tab w:pos="1790" w:val="left" w:leader="none"/>
        </w:tabs>
        <w:spacing w:line="240" w:lineRule="auto" w:before="0" w:after="0"/>
        <w:ind w:left="1789" w:right="0" w:hanging="530"/>
        <w:jc w:val="left"/>
        <w:rPr>
          <w:sz w:val="21"/>
        </w:rPr>
      </w:pPr>
      <w:r>
        <w:rPr>
          <w:spacing w:val="-3"/>
          <w:sz w:val="21"/>
        </w:rPr>
        <w:t>销售服务费，具体计提办法按中国证监会的规定执行；</w:t>
      </w:r>
    </w:p>
    <w:p>
      <w:pPr>
        <w:pStyle w:val="BodyText"/>
        <w:spacing w:before="7"/>
        <w:rPr>
          <w:sz w:val="15"/>
        </w:rPr>
      </w:pPr>
    </w:p>
    <w:p>
      <w:pPr>
        <w:pStyle w:val="ListParagraph"/>
        <w:numPr>
          <w:ilvl w:val="0"/>
          <w:numId w:val="31"/>
        </w:numPr>
        <w:tabs>
          <w:tab w:pos="1790" w:val="left" w:leader="none"/>
        </w:tabs>
        <w:spacing w:line="240" w:lineRule="auto" w:before="0" w:after="0"/>
        <w:ind w:left="1789" w:right="0" w:hanging="530"/>
        <w:jc w:val="left"/>
        <w:rPr>
          <w:sz w:val="21"/>
        </w:rPr>
      </w:pPr>
      <w:r>
        <w:rPr>
          <w:spacing w:val="-3"/>
          <w:sz w:val="21"/>
        </w:rPr>
        <w:t>按照国家有关规定可以列入的其他费用。</w:t>
      </w:r>
    </w:p>
    <w:p>
      <w:pPr>
        <w:pStyle w:val="BodyText"/>
        <w:spacing w:before="6"/>
        <w:rPr>
          <w:sz w:val="15"/>
        </w:rPr>
      </w:pPr>
    </w:p>
    <w:p>
      <w:pPr>
        <w:pStyle w:val="BodyText"/>
        <w:spacing w:before="1"/>
        <w:ind w:left="840"/>
      </w:pPr>
      <w:r>
        <w:rPr/>
        <w:t>2、与基金运作有关的费用的费率、计提方法、计提标准、收取方式和使用方式</w:t>
      </w:r>
    </w:p>
    <w:p>
      <w:pPr>
        <w:pStyle w:val="BodyText"/>
        <w:spacing w:before="6"/>
        <w:rPr>
          <w:sz w:val="15"/>
        </w:rPr>
      </w:pPr>
    </w:p>
    <w:p>
      <w:pPr>
        <w:pStyle w:val="ListParagraph"/>
        <w:numPr>
          <w:ilvl w:val="0"/>
          <w:numId w:val="32"/>
        </w:numPr>
        <w:tabs>
          <w:tab w:pos="1790" w:val="left" w:leader="none"/>
        </w:tabs>
        <w:spacing w:line="240" w:lineRule="auto" w:before="0" w:after="0"/>
        <w:ind w:left="1789" w:right="0" w:hanging="530"/>
        <w:jc w:val="left"/>
        <w:rPr>
          <w:sz w:val="21"/>
        </w:rPr>
      </w:pPr>
      <w:r>
        <w:rPr>
          <w:spacing w:val="-3"/>
          <w:sz w:val="21"/>
        </w:rPr>
        <w:t>基金管理人的管理费</w:t>
      </w:r>
    </w:p>
    <w:p>
      <w:pPr>
        <w:pStyle w:val="BodyText"/>
        <w:spacing w:before="7"/>
        <w:rPr>
          <w:sz w:val="15"/>
        </w:rPr>
      </w:pPr>
    </w:p>
    <w:p>
      <w:pPr>
        <w:pStyle w:val="BodyText"/>
        <w:spacing w:line="417" w:lineRule="auto"/>
        <w:ind w:left="840" w:right="893" w:firstLine="419"/>
      </w:pPr>
      <w:r>
        <w:rPr/>
        <w:t>本基金管理费年费率不超过 1.5%，在通常情况下，按前一日的基金资产净值乘以相应的管理年费率，计算方法如下：</w:t>
      </w:r>
    </w:p>
    <w:p>
      <w:pPr>
        <w:pStyle w:val="BodyText"/>
        <w:spacing w:line="417" w:lineRule="auto"/>
        <w:ind w:left="1260" w:right="5735"/>
      </w:pPr>
      <w:r>
        <w:rPr/>
        <w:t>H=E</w:t>
      </w:r>
      <w:r>
        <w:rPr>
          <w:spacing w:val="-3"/>
        </w:rPr>
        <w:t>×年管理费率÷当年天数  H：</w:t>
      </w:r>
      <w:r>
        <w:rPr>
          <w:spacing w:val="-4"/>
        </w:rPr>
        <w:t>为每日应计提的基金管理费； </w:t>
      </w:r>
      <w:r>
        <w:rPr/>
        <w:t>E：</w:t>
      </w:r>
      <w:r>
        <w:rPr>
          <w:spacing w:val="-3"/>
        </w:rPr>
        <w:t>为前一日基金资产净值。</w:t>
      </w:r>
    </w:p>
    <w:p>
      <w:pPr>
        <w:pStyle w:val="BodyText"/>
        <w:spacing w:line="417" w:lineRule="auto"/>
        <w:ind w:left="840" w:right="891" w:firstLine="419"/>
      </w:pPr>
      <w:r>
        <w:rPr>
          <w:spacing w:val="-9"/>
        </w:rPr>
        <w:t>基金管理人的管理费每日计算，逐日累计至每月月底，按月支付，由基金托管人于次月</w:t>
      </w:r>
      <w:r>
        <w:rPr>
          <w:spacing w:val="-5"/>
        </w:rPr>
        <w:t>前两个工作日内从本基金资产中一次性支付给基金管理人。</w:t>
      </w:r>
    </w:p>
    <w:p>
      <w:pPr>
        <w:pStyle w:val="ListParagraph"/>
        <w:numPr>
          <w:ilvl w:val="0"/>
          <w:numId w:val="32"/>
        </w:numPr>
        <w:tabs>
          <w:tab w:pos="1790" w:val="left" w:leader="none"/>
        </w:tabs>
        <w:spacing w:line="269" w:lineRule="exact" w:before="0" w:after="0"/>
        <w:ind w:left="1789" w:right="0" w:hanging="530"/>
        <w:jc w:val="left"/>
        <w:rPr>
          <w:sz w:val="21"/>
        </w:rPr>
      </w:pPr>
      <w:r>
        <w:rPr>
          <w:spacing w:val="-3"/>
          <w:sz w:val="21"/>
        </w:rPr>
        <w:t>基金托管人的托管费</w:t>
      </w:r>
    </w:p>
    <w:p>
      <w:pPr>
        <w:pStyle w:val="BodyText"/>
        <w:spacing w:before="7"/>
        <w:rPr>
          <w:sz w:val="15"/>
        </w:rPr>
      </w:pPr>
    </w:p>
    <w:p>
      <w:pPr>
        <w:pStyle w:val="BodyText"/>
        <w:spacing w:line="417" w:lineRule="auto"/>
        <w:ind w:left="840" w:right="891" w:firstLine="419"/>
      </w:pPr>
      <w:r>
        <w:rPr>
          <w:spacing w:val="-5"/>
        </w:rPr>
        <w:t>本基金托管费年费率不超过 0.25</w:t>
      </w:r>
      <w:r>
        <w:rPr>
          <w:spacing w:val="-7"/>
        </w:rPr>
        <w:t>%，在通常情况下，按前一日的基金资产净值乘以相应</w:t>
      </w:r>
      <w:r>
        <w:rPr>
          <w:spacing w:val="-5"/>
        </w:rPr>
        <w:t>的托管年费率，计算方法如下：</w:t>
      </w:r>
    </w:p>
    <w:p>
      <w:pPr>
        <w:pStyle w:val="BodyText"/>
        <w:spacing w:line="417" w:lineRule="auto"/>
        <w:ind w:left="1260" w:right="5735"/>
      </w:pPr>
      <w:r>
        <w:rPr/>
        <w:t>H＝E</w:t>
      </w:r>
      <w:r>
        <w:rPr>
          <w:spacing w:val="-3"/>
        </w:rPr>
        <w:t>×年托管费率÷当年天数 H：</w:t>
      </w:r>
      <w:r>
        <w:rPr>
          <w:spacing w:val="-4"/>
        </w:rPr>
        <w:t>为每日应支付的基金托管费；</w:t>
      </w:r>
    </w:p>
    <w:p>
      <w:pPr>
        <w:spacing w:after="0" w:line="417" w:lineRule="auto"/>
        <w:sectPr>
          <w:pgSz w:w="11910" w:h="16840"/>
          <w:pgMar w:header="877" w:footer="995" w:top="1100" w:bottom="1180" w:left="960" w:right="900"/>
        </w:sectPr>
      </w:pPr>
    </w:p>
    <w:p>
      <w:pPr>
        <w:pStyle w:val="BodyText"/>
        <w:spacing w:before="4"/>
        <w:rPr>
          <w:sz w:val="27"/>
        </w:rPr>
      </w:pPr>
    </w:p>
    <w:p>
      <w:pPr>
        <w:pStyle w:val="BodyText"/>
        <w:spacing w:before="71"/>
        <w:ind w:left="1260"/>
      </w:pPr>
      <w:r>
        <w:rPr/>
        <w:t>E：为前一日的基金资产净值。</w:t>
      </w:r>
    </w:p>
    <w:p>
      <w:pPr>
        <w:pStyle w:val="BodyText"/>
        <w:spacing w:before="7"/>
        <w:rPr>
          <w:sz w:val="15"/>
        </w:rPr>
      </w:pPr>
    </w:p>
    <w:p>
      <w:pPr>
        <w:pStyle w:val="BodyText"/>
        <w:spacing w:line="417" w:lineRule="auto"/>
        <w:ind w:left="840" w:right="891" w:firstLine="419"/>
      </w:pPr>
      <w:r>
        <w:rPr>
          <w:spacing w:val="-9"/>
        </w:rPr>
        <w:t>基金托管费每日计算，逐日累计至每月月底，按月支付，由基金托管人于次月前两个工</w:t>
      </w:r>
      <w:r>
        <w:rPr>
          <w:spacing w:val="-5"/>
        </w:rPr>
        <w:t>作日内从基金财产中一次性支取。</w:t>
      </w:r>
    </w:p>
    <w:p>
      <w:pPr>
        <w:pStyle w:val="ListParagraph"/>
        <w:numPr>
          <w:ilvl w:val="0"/>
          <w:numId w:val="32"/>
        </w:numPr>
        <w:tabs>
          <w:tab w:pos="1790" w:val="left" w:leader="none"/>
        </w:tabs>
        <w:spacing w:line="417" w:lineRule="auto" w:before="0" w:after="0"/>
        <w:ind w:left="840" w:right="891" w:firstLine="419"/>
        <w:jc w:val="both"/>
        <w:rPr>
          <w:sz w:val="21"/>
        </w:rPr>
      </w:pPr>
      <w:r>
        <w:rPr>
          <w:spacing w:val="-3"/>
          <w:sz w:val="21"/>
        </w:rPr>
        <w:t>基金首次发行中所发生的律师费和会计师费等费用自基金发行费用中列支，不另</w:t>
      </w:r>
      <w:r>
        <w:rPr>
          <w:spacing w:val="-9"/>
          <w:sz w:val="21"/>
        </w:rPr>
        <w:t>从基金财产中支付，与基金有关的法定信息披露费按有关规定列支；若本基金发行失败，发</w:t>
      </w:r>
      <w:r>
        <w:rPr>
          <w:spacing w:val="-5"/>
          <w:sz w:val="21"/>
        </w:rPr>
        <w:t>行费用由基金管理人承担。基金合同生效后的各项费用按有关规定列支。</w:t>
      </w:r>
    </w:p>
    <w:p>
      <w:pPr>
        <w:pStyle w:val="ListParagraph"/>
        <w:numPr>
          <w:ilvl w:val="0"/>
          <w:numId w:val="32"/>
        </w:numPr>
        <w:tabs>
          <w:tab w:pos="1790" w:val="left" w:leader="none"/>
        </w:tabs>
        <w:spacing w:line="417" w:lineRule="auto" w:before="0" w:after="0"/>
        <w:ind w:left="840" w:right="894" w:firstLine="419"/>
        <w:jc w:val="both"/>
        <w:rPr>
          <w:sz w:val="21"/>
        </w:rPr>
      </w:pPr>
      <w:r>
        <w:rPr>
          <w:spacing w:val="-15"/>
          <w:sz w:val="21"/>
        </w:rPr>
        <w:t>上述 </w:t>
      </w:r>
      <w:r>
        <w:rPr>
          <w:spacing w:val="-3"/>
          <w:sz w:val="21"/>
        </w:rPr>
        <w:t>1</w:t>
      </w:r>
      <w:r>
        <w:rPr>
          <w:spacing w:val="-11"/>
          <w:sz w:val="21"/>
        </w:rPr>
        <w:t>、基金费用第 </w:t>
      </w:r>
      <w:r>
        <w:rPr>
          <w:sz w:val="21"/>
        </w:rPr>
        <w:t>3－8</w:t>
      </w:r>
      <w:r>
        <w:rPr>
          <w:spacing w:val="-9"/>
          <w:sz w:val="21"/>
        </w:rPr>
        <w:t> 项费用由基金托管人根据有关法规及相应协议规定，按</w:t>
      </w:r>
      <w:r>
        <w:rPr>
          <w:spacing w:val="-5"/>
          <w:sz w:val="21"/>
        </w:rPr>
        <w:t>费用实际支出金额，由基金托管人从基金财产中支付。</w:t>
      </w:r>
    </w:p>
    <w:p>
      <w:pPr>
        <w:pStyle w:val="BodyText"/>
        <w:ind w:left="1260"/>
      </w:pPr>
      <w:r>
        <w:rPr/>
        <w:t>3、不列入基金费用的项目</w:t>
      </w:r>
    </w:p>
    <w:p>
      <w:pPr>
        <w:pStyle w:val="BodyText"/>
        <w:spacing w:before="6"/>
        <w:rPr>
          <w:sz w:val="15"/>
        </w:rPr>
      </w:pPr>
    </w:p>
    <w:p>
      <w:pPr>
        <w:pStyle w:val="BodyText"/>
        <w:spacing w:line="417" w:lineRule="auto"/>
        <w:ind w:left="840" w:right="894" w:firstLine="419"/>
      </w:pPr>
      <w:r>
        <w:rPr/>
        <w:t>基金管理人和基金托管人因未履行或未完全履行义务导致的费用支出或基金财产的损失，以及处理与基金运作无关的事项发生的费用等不列入基金费用。</w:t>
      </w:r>
    </w:p>
    <w:p>
      <w:pPr>
        <w:pStyle w:val="BodyText"/>
        <w:spacing w:line="269" w:lineRule="exact"/>
        <w:ind w:left="1260"/>
      </w:pPr>
      <w:r>
        <w:rPr/>
        <w:t>4、基金管理费和基金托管费的调整</w:t>
      </w:r>
    </w:p>
    <w:p>
      <w:pPr>
        <w:pStyle w:val="BodyText"/>
        <w:spacing w:before="7"/>
        <w:rPr>
          <w:sz w:val="15"/>
        </w:rPr>
      </w:pPr>
    </w:p>
    <w:p>
      <w:pPr>
        <w:pStyle w:val="BodyText"/>
        <w:spacing w:line="417" w:lineRule="auto"/>
        <w:ind w:left="840" w:right="891" w:firstLine="419"/>
      </w:pPr>
      <w:r>
        <w:rPr>
          <w:spacing w:val="-7"/>
        </w:rPr>
        <w:t>基金管理人和基金托管人可磋商酌情降低基金管理费和托管费，此项调整不需要基金份</w:t>
      </w:r>
      <w:r>
        <w:rPr>
          <w:spacing w:val="-5"/>
        </w:rPr>
        <w:t>额持有人大会通过。</w:t>
      </w:r>
    </w:p>
    <w:p>
      <w:pPr>
        <w:pStyle w:val="BodyText"/>
        <w:rPr>
          <w:sz w:val="20"/>
        </w:rPr>
      </w:pPr>
    </w:p>
    <w:p>
      <w:pPr>
        <w:pStyle w:val="BodyText"/>
        <w:spacing w:before="7"/>
        <w:rPr>
          <w:sz w:val="16"/>
        </w:rPr>
      </w:pPr>
    </w:p>
    <w:p>
      <w:pPr>
        <w:pStyle w:val="Heading4"/>
      </w:pPr>
      <w:r>
        <w:rPr/>
        <w:t>二、与基金销售有关的费用</w:t>
      </w:r>
    </w:p>
    <w:p>
      <w:pPr>
        <w:pStyle w:val="BodyText"/>
        <w:spacing w:before="6"/>
        <w:rPr>
          <w:b/>
          <w:sz w:val="15"/>
        </w:rPr>
      </w:pPr>
    </w:p>
    <w:p>
      <w:pPr>
        <w:pStyle w:val="BodyText"/>
        <w:spacing w:before="1"/>
        <w:ind w:left="840"/>
      </w:pPr>
      <w:r>
        <w:rPr>
          <w:rFonts w:ascii="Times New Roman" w:eastAsia="Times New Roman"/>
        </w:rPr>
        <w:t>1</w:t>
      </w:r>
      <w:r>
        <w:rPr/>
        <w:t>、基金认购费用</w:t>
      </w:r>
    </w:p>
    <w:p>
      <w:pPr>
        <w:pStyle w:val="BodyText"/>
        <w:spacing w:before="6"/>
        <w:rPr>
          <w:sz w:val="15"/>
        </w:rPr>
      </w:pPr>
    </w:p>
    <w:p>
      <w:pPr>
        <w:pStyle w:val="ListParagraph"/>
        <w:numPr>
          <w:ilvl w:val="0"/>
          <w:numId w:val="33"/>
        </w:numPr>
        <w:tabs>
          <w:tab w:pos="1790" w:val="left" w:leader="none"/>
        </w:tabs>
        <w:spacing w:line="240" w:lineRule="auto" w:before="0" w:after="0"/>
        <w:ind w:left="1789" w:right="0" w:hanging="530"/>
        <w:jc w:val="left"/>
        <w:rPr>
          <w:sz w:val="21"/>
        </w:rPr>
      </w:pPr>
      <w:r>
        <w:rPr>
          <w:spacing w:val="-3"/>
          <w:sz w:val="21"/>
        </w:rPr>
        <w:t>本基金认购费率按照有效认购申请确认金额所对应的费率计算。费率表如下：</w:t>
      </w:r>
    </w:p>
    <w:p>
      <w:pPr>
        <w:pStyle w:val="BodyText"/>
        <w:spacing w:before="10"/>
        <w:rPr>
          <w:sz w:val="7"/>
        </w:rPr>
      </w:pPr>
    </w:p>
    <w:tbl>
      <w:tblPr>
        <w:tblW w:w="0" w:type="auto"/>
        <w:jc w:val="left"/>
        <w:tblInd w:w="2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7"/>
        <w:gridCol w:w="2497"/>
      </w:tblGrid>
      <w:tr>
        <w:trPr>
          <w:trHeight w:val="467" w:hRule="atLeast"/>
        </w:trPr>
        <w:tc>
          <w:tcPr>
            <w:tcW w:w="2317" w:type="dxa"/>
          </w:tcPr>
          <w:p>
            <w:pPr>
              <w:pStyle w:val="TableParagraph"/>
              <w:spacing w:before="99"/>
              <w:ind w:left="107"/>
              <w:rPr>
                <w:sz w:val="21"/>
              </w:rPr>
            </w:pPr>
            <w:r>
              <w:rPr>
                <w:sz w:val="21"/>
              </w:rPr>
              <w:t>认购金额（</w:t>
            </w:r>
            <w:r>
              <w:rPr>
                <w:rFonts w:ascii="Times New Roman" w:eastAsia="Times New Roman"/>
                <w:sz w:val="21"/>
              </w:rPr>
              <w:t>M</w:t>
            </w:r>
            <w:r>
              <w:rPr>
                <w:sz w:val="21"/>
              </w:rPr>
              <w:t>）</w:t>
            </w:r>
          </w:p>
        </w:tc>
        <w:tc>
          <w:tcPr>
            <w:tcW w:w="2497" w:type="dxa"/>
          </w:tcPr>
          <w:p>
            <w:pPr>
              <w:pStyle w:val="TableParagraph"/>
              <w:spacing w:before="99"/>
              <w:ind w:left="107"/>
              <w:rPr>
                <w:sz w:val="21"/>
              </w:rPr>
            </w:pPr>
            <w:r>
              <w:rPr>
                <w:sz w:val="21"/>
              </w:rPr>
              <w:t>认购费率</w:t>
            </w:r>
          </w:p>
        </w:tc>
      </w:tr>
      <w:tr>
        <w:trPr>
          <w:trHeight w:val="467" w:hRule="atLeast"/>
        </w:trPr>
        <w:tc>
          <w:tcPr>
            <w:tcW w:w="2317" w:type="dxa"/>
          </w:tcPr>
          <w:p>
            <w:pPr>
              <w:pStyle w:val="TableParagraph"/>
              <w:spacing w:before="99"/>
              <w:ind w:left="107"/>
              <w:rPr>
                <w:sz w:val="21"/>
              </w:rPr>
            </w:pPr>
            <w:r>
              <w:rPr>
                <w:rFonts w:ascii="Times New Roman" w:eastAsia="Times New Roman"/>
                <w:sz w:val="21"/>
              </w:rPr>
              <w:t>M</w:t>
            </w:r>
            <w:r>
              <w:rPr>
                <w:sz w:val="21"/>
              </w:rPr>
              <w:t>＜</w:t>
            </w:r>
            <w:r>
              <w:rPr>
                <w:rFonts w:ascii="Times New Roman" w:eastAsia="Times New Roman"/>
                <w:sz w:val="21"/>
              </w:rPr>
              <w:t>100 </w:t>
            </w:r>
            <w:r>
              <w:rPr>
                <w:sz w:val="21"/>
              </w:rPr>
              <w:t>万</w:t>
            </w:r>
          </w:p>
        </w:tc>
        <w:tc>
          <w:tcPr>
            <w:tcW w:w="2497" w:type="dxa"/>
          </w:tcPr>
          <w:p>
            <w:pPr>
              <w:pStyle w:val="TableParagraph"/>
              <w:spacing w:before="99"/>
              <w:ind w:left="107"/>
              <w:rPr>
                <w:sz w:val="21"/>
              </w:rPr>
            </w:pPr>
            <w:r>
              <w:rPr>
                <w:rFonts w:ascii="Times New Roman"/>
                <w:sz w:val="21"/>
              </w:rPr>
              <w:t>1.2</w:t>
            </w:r>
            <w:r>
              <w:rPr>
                <w:sz w:val="21"/>
              </w:rPr>
              <w:t>%</w:t>
            </w:r>
          </w:p>
        </w:tc>
      </w:tr>
      <w:tr>
        <w:trPr>
          <w:trHeight w:val="467" w:hRule="atLeast"/>
        </w:trPr>
        <w:tc>
          <w:tcPr>
            <w:tcW w:w="2317" w:type="dxa"/>
          </w:tcPr>
          <w:p>
            <w:pPr>
              <w:pStyle w:val="TableParagraph"/>
              <w:spacing w:before="99"/>
              <w:ind w:left="107"/>
              <w:rPr>
                <w:sz w:val="21"/>
              </w:rPr>
            </w:pPr>
            <w:r>
              <w:rPr>
                <w:rFonts w:ascii="Times New Roman" w:hAnsi="Times New Roman" w:eastAsia="Times New Roman"/>
                <w:sz w:val="21"/>
              </w:rPr>
              <w:t>100 </w:t>
            </w:r>
            <w:r>
              <w:rPr>
                <w:sz w:val="21"/>
              </w:rPr>
              <w:t>万≤</w:t>
            </w:r>
            <w:r>
              <w:rPr>
                <w:rFonts w:ascii="Times New Roman" w:hAnsi="Times New Roman" w:eastAsia="Times New Roman"/>
                <w:sz w:val="21"/>
              </w:rPr>
              <w:t>M</w:t>
            </w:r>
            <w:r>
              <w:rPr>
                <w:sz w:val="21"/>
              </w:rPr>
              <w:t>＜</w:t>
            </w:r>
            <w:r>
              <w:rPr>
                <w:rFonts w:ascii="Times New Roman" w:hAnsi="Times New Roman" w:eastAsia="Times New Roman"/>
                <w:sz w:val="21"/>
              </w:rPr>
              <w:t>500 </w:t>
            </w:r>
            <w:r>
              <w:rPr>
                <w:sz w:val="21"/>
              </w:rPr>
              <w:t>万</w:t>
            </w:r>
          </w:p>
        </w:tc>
        <w:tc>
          <w:tcPr>
            <w:tcW w:w="2497" w:type="dxa"/>
          </w:tcPr>
          <w:p>
            <w:pPr>
              <w:pStyle w:val="TableParagraph"/>
              <w:spacing w:before="99"/>
              <w:ind w:left="107"/>
              <w:rPr>
                <w:sz w:val="21"/>
              </w:rPr>
            </w:pPr>
            <w:r>
              <w:rPr>
                <w:rFonts w:ascii="Times New Roman"/>
                <w:sz w:val="21"/>
              </w:rPr>
              <w:t>0.8</w:t>
            </w:r>
            <w:r>
              <w:rPr>
                <w:sz w:val="21"/>
              </w:rPr>
              <w:t>%</w:t>
            </w:r>
          </w:p>
        </w:tc>
      </w:tr>
      <w:tr>
        <w:trPr>
          <w:trHeight w:val="470" w:hRule="atLeast"/>
        </w:trPr>
        <w:tc>
          <w:tcPr>
            <w:tcW w:w="2317" w:type="dxa"/>
          </w:tcPr>
          <w:p>
            <w:pPr>
              <w:pStyle w:val="TableParagraph"/>
              <w:spacing w:before="102"/>
              <w:ind w:left="107"/>
              <w:rPr>
                <w:sz w:val="21"/>
              </w:rPr>
            </w:pPr>
            <w:r>
              <w:rPr>
                <w:rFonts w:ascii="Times New Roman" w:hAnsi="Times New Roman" w:eastAsia="Times New Roman"/>
                <w:sz w:val="21"/>
              </w:rPr>
              <w:t>500 </w:t>
            </w:r>
            <w:r>
              <w:rPr>
                <w:sz w:val="21"/>
              </w:rPr>
              <w:t>万≤</w:t>
            </w:r>
            <w:r>
              <w:rPr>
                <w:rFonts w:ascii="Times New Roman" w:hAnsi="Times New Roman" w:eastAsia="Times New Roman"/>
                <w:sz w:val="21"/>
              </w:rPr>
              <w:t>M</w:t>
            </w:r>
            <w:r>
              <w:rPr>
                <w:sz w:val="21"/>
              </w:rPr>
              <w:t>＜</w:t>
            </w:r>
            <w:r>
              <w:rPr>
                <w:rFonts w:ascii="Times New Roman" w:hAnsi="Times New Roman" w:eastAsia="Times New Roman"/>
                <w:sz w:val="21"/>
              </w:rPr>
              <w:t>1000 </w:t>
            </w:r>
            <w:r>
              <w:rPr>
                <w:sz w:val="21"/>
              </w:rPr>
              <w:t>万</w:t>
            </w:r>
          </w:p>
        </w:tc>
        <w:tc>
          <w:tcPr>
            <w:tcW w:w="2497" w:type="dxa"/>
          </w:tcPr>
          <w:p>
            <w:pPr>
              <w:pStyle w:val="TableParagraph"/>
              <w:spacing w:before="102"/>
              <w:ind w:left="107"/>
              <w:rPr>
                <w:sz w:val="21"/>
              </w:rPr>
            </w:pPr>
            <w:r>
              <w:rPr>
                <w:rFonts w:ascii="Times New Roman"/>
                <w:sz w:val="21"/>
              </w:rPr>
              <w:t>0.6</w:t>
            </w:r>
            <w:r>
              <w:rPr>
                <w:sz w:val="21"/>
              </w:rPr>
              <w:t>%</w:t>
            </w:r>
          </w:p>
        </w:tc>
      </w:tr>
      <w:tr>
        <w:trPr>
          <w:trHeight w:val="467" w:hRule="atLeast"/>
        </w:trPr>
        <w:tc>
          <w:tcPr>
            <w:tcW w:w="2317" w:type="dxa"/>
          </w:tcPr>
          <w:p>
            <w:pPr>
              <w:pStyle w:val="TableParagraph"/>
              <w:spacing w:before="99"/>
              <w:ind w:left="107"/>
              <w:rPr>
                <w:sz w:val="21"/>
              </w:rPr>
            </w:pPr>
            <w:r>
              <w:rPr>
                <w:rFonts w:ascii="Times New Roman" w:hAnsi="Times New Roman" w:eastAsia="Times New Roman"/>
                <w:sz w:val="21"/>
              </w:rPr>
              <w:t>M</w:t>
            </w:r>
            <w:r>
              <w:rPr>
                <w:sz w:val="21"/>
              </w:rPr>
              <w:t>≥</w:t>
            </w:r>
            <w:r>
              <w:rPr>
                <w:rFonts w:ascii="Times New Roman" w:hAnsi="Times New Roman" w:eastAsia="Times New Roman"/>
                <w:sz w:val="21"/>
              </w:rPr>
              <w:t>1000 </w:t>
            </w:r>
            <w:r>
              <w:rPr>
                <w:sz w:val="21"/>
              </w:rPr>
              <w:t>万</w:t>
            </w:r>
          </w:p>
        </w:tc>
        <w:tc>
          <w:tcPr>
            <w:tcW w:w="2497" w:type="dxa"/>
          </w:tcPr>
          <w:p>
            <w:pPr>
              <w:pStyle w:val="TableParagraph"/>
              <w:spacing w:before="99"/>
              <w:ind w:left="107"/>
              <w:rPr>
                <w:sz w:val="21"/>
              </w:rPr>
            </w:pPr>
            <w:r>
              <w:rPr>
                <w:sz w:val="21"/>
              </w:rPr>
              <w:t>按笔收取</w:t>
            </w:r>
            <w:r>
              <w:rPr>
                <w:rFonts w:ascii="Times New Roman" w:eastAsia="Times New Roman"/>
                <w:sz w:val="21"/>
              </w:rPr>
              <w:t>,1000 </w:t>
            </w:r>
            <w:r>
              <w:rPr>
                <w:sz w:val="21"/>
              </w:rPr>
              <w:t>元</w:t>
            </w:r>
            <w:r>
              <w:rPr>
                <w:rFonts w:ascii="Times New Roman" w:eastAsia="Times New Roman"/>
                <w:sz w:val="21"/>
              </w:rPr>
              <w:t>/</w:t>
            </w:r>
            <w:r>
              <w:rPr>
                <w:sz w:val="21"/>
              </w:rPr>
              <w:t>笔</w:t>
            </w:r>
          </w:p>
        </w:tc>
      </w:tr>
    </w:tbl>
    <w:p>
      <w:pPr>
        <w:pStyle w:val="BodyText"/>
        <w:rPr>
          <w:sz w:val="22"/>
        </w:rPr>
      </w:pPr>
    </w:p>
    <w:p>
      <w:pPr>
        <w:pStyle w:val="BodyText"/>
        <w:spacing w:before="4"/>
        <w:rPr>
          <w:sz w:val="22"/>
        </w:rPr>
      </w:pPr>
    </w:p>
    <w:p>
      <w:pPr>
        <w:pStyle w:val="ListParagraph"/>
        <w:numPr>
          <w:ilvl w:val="0"/>
          <w:numId w:val="33"/>
        </w:numPr>
        <w:tabs>
          <w:tab w:pos="1790" w:val="left" w:leader="none"/>
        </w:tabs>
        <w:spacing w:line="240" w:lineRule="auto" w:before="0" w:after="0"/>
        <w:ind w:left="1789" w:right="0" w:hanging="530"/>
        <w:jc w:val="left"/>
        <w:rPr>
          <w:sz w:val="21"/>
        </w:rPr>
      </w:pPr>
      <w:r>
        <w:rPr>
          <w:spacing w:val="-2"/>
          <w:sz w:val="21"/>
        </w:rPr>
        <w:t>计算公式</w:t>
      </w:r>
    </w:p>
    <w:p>
      <w:pPr>
        <w:pStyle w:val="BodyText"/>
        <w:spacing w:before="6"/>
        <w:rPr>
          <w:sz w:val="15"/>
        </w:rPr>
      </w:pPr>
    </w:p>
    <w:p>
      <w:pPr>
        <w:pStyle w:val="BodyText"/>
        <w:spacing w:line="417" w:lineRule="auto" w:before="1"/>
        <w:ind w:left="840" w:right="891" w:firstLine="419"/>
      </w:pPr>
      <w:r>
        <w:rPr>
          <w:spacing w:val="-8"/>
        </w:rPr>
        <w:t>本基金认购采用金额认购的方式。基金的认购金额包括认购费用和净认购金额。计算公式为：</w:t>
      </w:r>
    </w:p>
    <w:p>
      <w:pPr>
        <w:pStyle w:val="BodyText"/>
        <w:spacing w:line="269" w:lineRule="exact"/>
        <w:ind w:left="1260"/>
      </w:pPr>
      <w:r>
        <w:rPr/>
        <w:t>认购费用 </w:t>
      </w:r>
      <w:r>
        <w:rPr>
          <w:rFonts w:ascii="Times New Roman" w:hAnsi="Times New Roman" w:eastAsia="Times New Roman"/>
        </w:rPr>
        <w:t>= </w:t>
      </w:r>
      <w:r>
        <w:rPr/>
        <w:t>认购金额×认购费率</w:t>
      </w:r>
    </w:p>
    <w:p>
      <w:pPr>
        <w:pStyle w:val="BodyText"/>
        <w:spacing w:before="7"/>
        <w:rPr>
          <w:sz w:val="15"/>
        </w:rPr>
      </w:pPr>
    </w:p>
    <w:p>
      <w:pPr>
        <w:pStyle w:val="BodyText"/>
        <w:ind w:left="1260"/>
      </w:pPr>
      <w:r>
        <w:rPr/>
        <w:t>净认购金额 </w:t>
      </w:r>
      <w:r>
        <w:rPr>
          <w:rFonts w:ascii="Times New Roman" w:eastAsia="Times New Roman"/>
        </w:rPr>
        <w:t>=</w:t>
      </w:r>
      <w:r>
        <w:rPr/>
        <w:t>（认购金额 </w:t>
      </w:r>
      <w:r>
        <w:rPr>
          <w:rFonts w:ascii="Times New Roman" w:eastAsia="Times New Roman"/>
        </w:rPr>
        <w:t>+ </w:t>
      </w:r>
      <w:r>
        <w:rPr/>
        <w:t>认购利息）－认购费用</w:t>
      </w:r>
    </w:p>
    <w:p>
      <w:pPr>
        <w:spacing w:after="0"/>
        <w:sectPr>
          <w:pgSz w:w="11910" w:h="16840"/>
          <w:pgMar w:header="877" w:footer="995" w:top="1100" w:bottom="1180" w:left="960" w:right="900"/>
        </w:sectPr>
      </w:pPr>
    </w:p>
    <w:p>
      <w:pPr>
        <w:pStyle w:val="BodyText"/>
        <w:spacing w:before="10"/>
        <w:rPr>
          <w:sz w:val="26"/>
        </w:rPr>
      </w:pPr>
    </w:p>
    <w:p>
      <w:pPr>
        <w:pStyle w:val="BodyText"/>
        <w:spacing w:before="78"/>
        <w:ind w:left="1260"/>
      </w:pPr>
      <w:r>
        <w:rPr>
          <w:spacing w:val="-2"/>
        </w:rPr>
        <w:t>认购份额 </w:t>
      </w:r>
      <w:r>
        <w:rPr>
          <w:rFonts w:ascii="Times New Roman" w:eastAsia="Times New Roman"/>
          <w:spacing w:val="26"/>
        </w:rPr>
        <w:t>= </w:t>
      </w:r>
      <w:r>
        <w:rPr>
          <w:spacing w:val="-3"/>
        </w:rPr>
        <w:t>净认购金额 </w:t>
      </w:r>
      <w:r>
        <w:rPr>
          <w:rFonts w:ascii="Times New Roman" w:eastAsia="Times New Roman"/>
        </w:rPr>
        <w:t>/ </w:t>
      </w:r>
      <w:r>
        <w:rPr>
          <w:spacing w:val="-3"/>
        </w:rPr>
        <w:t>基金份额面值</w:t>
      </w:r>
    </w:p>
    <w:p>
      <w:pPr>
        <w:pStyle w:val="BodyText"/>
        <w:spacing w:before="7"/>
        <w:rPr>
          <w:sz w:val="15"/>
        </w:rPr>
      </w:pPr>
    </w:p>
    <w:p>
      <w:pPr>
        <w:pStyle w:val="BodyText"/>
        <w:spacing w:line="417" w:lineRule="auto"/>
        <w:ind w:left="840" w:right="891" w:firstLine="419"/>
      </w:pPr>
      <w:r>
        <w:rPr>
          <w:spacing w:val="-6"/>
        </w:rPr>
        <w:t>基金认购份额保留到小数点后 </w:t>
      </w:r>
      <w:r>
        <w:rPr>
          <w:rFonts w:ascii="Times New Roman" w:eastAsia="Times New Roman"/>
        </w:rPr>
        <w:t>2 </w:t>
      </w:r>
      <w:r>
        <w:rPr>
          <w:spacing w:val="-12"/>
        </w:rPr>
        <w:t>位，小数点后两位以后的部分四舍五入，由此产生的误</w:t>
      </w:r>
      <w:r>
        <w:rPr>
          <w:spacing w:val="-6"/>
        </w:rPr>
        <w:t>差计入基金财产。</w:t>
      </w:r>
    </w:p>
    <w:p>
      <w:pPr>
        <w:pStyle w:val="BodyText"/>
        <w:spacing w:line="269" w:lineRule="exact"/>
        <w:ind w:left="840"/>
      </w:pPr>
      <w:r>
        <w:rPr/>
        <w:t>2、基金申购费用</w:t>
      </w:r>
    </w:p>
    <w:p>
      <w:pPr>
        <w:pStyle w:val="BodyText"/>
        <w:spacing w:before="6"/>
        <w:rPr>
          <w:sz w:val="15"/>
        </w:rPr>
      </w:pPr>
    </w:p>
    <w:p>
      <w:pPr>
        <w:pStyle w:val="ListParagraph"/>
        <w:numPr>
          <w:ilvl w:val="0"/>
          <w:numId w:val="34"/>
        </w:numPr>
        <w:tabs>
          <w:tab w:pos="1790" w:val="left" w:leader="none"/>
        </w:tabs>
        <w:spacing w:line="417" w:lineRule="auto" w:before="1" w:after="0"/>
        <w:ind w:left="840" w:right="893" w:firstLine="419"/>
        <w:jc w:val="left"/>
        <w:rPr>
          <w:sz w:val="21"/>
        </w:rPr>
      </w:pPr>
      <w:r>
        <w:rPr>
          <w:spacing w:val="-3"/>
          <w:sz w:val="21"/>
        </w:rPr>
        <w:t>本基金的申购费用由基金申购人承担，不列入基金财产，主要用于本基金的市场推广、销售、注册登记等各项费用。</w:t>
      </w:r>
    </w:p>
    <w:p>
      <w:pPr>
        <w:pStyle w:val="BodyText"/>
        <w:spacing w:line="417" w:lineRule="auto"/>
        <w:ind w:left="840" w:right="891" w:firstLine="419"/>
      </w:pPr>
      <w:r>
        <w:rPr/>
        <w:pict>
          <v:shape style="position:absolute;margin-left:177.139999pt;margin-top:41.85004pt;width:241.4pt;height:120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7"/>
                    <w:gridCol w:w="2497"/>
                  </w:tblGrid>
                  <w:tr>
                    <w:trPr>
                      <w:trHeight w:val="467" w:hRule="atLeast"/>
                    </w:trPr>
                    <w:tc>
                      <w:tcPr>
                        <w:tcW w:w="2317" w:type="dxa"/>
                      </w:tcPr>
                      <w:p>
                        <w:pPr>
                          <w:pStyle w:val="TableParagraph"/>
                          <w:spacing w:before="99"/>
                          <w:ind w:left="475"/>
                          <w:rPr>
                            <w:sz w:val="21"/>
                          </w:rPr>
                        </w:pPr>
                        <w:r>
                          <w:rPr>
                            <w:sz w:val="21"/>
                          </w:rPr>
                          <w:t>申购金额（M）</w:t>
                        </w:r>
                      </w:p>
                    </w:tc>
                    <w:tc>
                      <w:tcPr>
                        <w:tcW w:w="2497" w:type="dxa"/>
                      </w:tcPr>
                      <w:p>
                        <w:pPr>
                          <w:pStyle w:val="TableParagraph"/>
                          <w:spacing w:before="99"/>
                          <w:ind w:left="230" w:right="219"/>
                          <w:jc w:val="center"/>
                          <w:rPr>
                            <w:sz w:val="21"/>
                          </w:rPr>
                        </w:pPr>
                        <w:r>
                          <w:rPr>
                            <w:sz w:val="21"/>
                          </w:rPr>
                          <w:t>申购费率</w:t>
                        </w:r>
                      </w:p>
                    </w:tc>
                  </w:tr>
                  <w:tr>
                    <w:trPr>
                      <w:trHeight w:val="467" w:hRule="atLeast"/>
                    </w:trPr>
                    <w:tc>
                      <w:tcPr>
                        <w:tcW w:w="2317" w:type="dxa"/>
                      </w:tcPr>
                      <w:p>
                        <w:pPr>
                          <w:pStyle w:val="TableParagraph"/>
                          <w:spacing w:before="99"/>
                          <w:ind w:left="710"/>
                          <w:rPr>
                            <w:sz w:val="21"/>
                          </w:rPr>
                        </w:pPr>
                        <w:r>
                          <w:rPr>
                            <w:sz w:val="21"/>
                          </w:rPr>
                          <w:t>M＜100 万</w:t>
                        </w:r>
                      </w:p>
                    </w:tc>
                    <w:tc>
                      <w:tcPr>
                        <w:tcW w:w="2497" w:type="dxa"/>
                      </w:tcPr>
                      <w:p>
                        <w:pPr>
                          <w:pStyle w:val="TableParagraph"/>
                          <w:spacing w:before="99"/>
                          <w:ind w:left="230" w:right="222"/>
                          <w:jc w:val="center"/>
                          <w:rPr>
                            <w:sz w:val="21"/>
                          </w:rPr>
                        </w:pPr>
                        <w:r>
                          <w:rPr>
                            <w:sz w:val="21"/>
                          </w:rPr>
                          <w:t>1.5%</w:t>
                        </w:r>
                      </w:p>
                    </w:tc>
                  </w:tr>
                  <w:tr>
                    <w:trPr>
                      <w:trHeight w:val="467" w:hRule="atLeast"/>
                    </w:trPr>
                    <w:tc>
                      <w:tcPr>
                        <w:tcW w:w="2317" w:type="dxa"/>
                      </w:tcPr>
                      <w:p>
                        <w:pPr>
                          <w:pStyle w:val="TableParagraph"/>
                          <w:spacing w:before="99"/>
                          <w:ind w:left="317"/>
                          <w:rPr>
                            <w:sz w:val="21"/>
                          </w:rPr>
                        </w:pPr>
                        <w:r>
                          <w:rPr>
                            <w:sz w:val="21"/>
                          </w:rPr>
                          <w:t>100 万≤M＜500 万</w:t>
                        </w:r>
                      </w:p>
                    </w:tc>
                    <w:tc>
                      <w:tcPr>
                        <w:tcW w:w="2497" w:type="dxa"/>
                      </w:tcPr>
                      <w:p>
                        <w:pPr>
                          <w:pStyle w:val="TableParagraph"/>
                          <w:spacing w:before="99"/>
                          <w:ind w:left="230" w:right="222"/>
                          <w:jc w:val="center"/>
                          <w:rPr>
                            <w:sz w:val="21"/>
                          </w:rPr>
                        </w:pPr>
                        <w:r>
                          <w:rPr>
                            <w:sz w:val="21"/>
                          </w:rPr>
                          <w:t>1.2%</w:t>
                        </w:r>
                      </w:p>
                    </w:tc>
                  </w:tr>
                  <w:tr>
                    <w:trPr>
                      <w:trHeight w:val="470" w:hRule="atLeast"/>
                    </w:trPr>
                    <w:tc>
                      <w:tcPr>
                        <w:tcW w:w="2317" w:type="dxa"/>
                      </w:tcPr>
                      <w:p>
                        <w:pPr>
                          <w:pStyle w:val="TableParagraph"/>
                          <w:spacing w:before="101"/>
                          <w:ind w:left="264"/>
                          <w:rPr>
                            <w:sz w:val="21"/>
                          </w:rPr>
                        </w:pPr>
                        <w:r>
                          <w:rPr>
                            <w:sz w:val="21"/>
                          </w:rPr>
                          <w:t>500 万≤M＜1000 万</w:t>
                        </w:r>
                      </w:p>
                    </w:tc>
                    <w:tc>
                      <w:tcPr>
                        <w:tcW w:w="2497" w:type="dxa"/>
                      </w:tcPr>
                      <w:p>
                        <w:pPr>
                          <w:pStyle w:val="TableParagraph"/>
                          <w:spacing w:before="101"/>
                          <w:ind w:left="230" w:right="222"/>
                          <w:jc w:val="center"/>
                          <w:rPr>
                            <w:sz w:val="21"/>
                          </w:rPr>
                        </w:pPr>
                        <w:r>
                          <w:rPr>
                            <w:sz w:val="21"/>
                          </w:rPr>
                          <w:t>1.0%</w:t>
                        </w:r>
                      </w:p>
                    </w:tc>
                  </w:tr>
                  <w:tr>
                    <w:trPr>
                      <w:trHeight w:val="467" w:hRule="atLeast"/>
                    </w:trPr>
                    <w:tc>
                      <w:tcPr>
                        <w:tcW w:w="2317" w:type="dxa"/>
                      </w:tcPr>
                      <w:p>
                        <w:pPr>
                          <w:pStyle w:val="TableParagraph"/>
                          <w:spacing w:before="99"/>
                          <w:ind w:left="658"/>
                          <w:rPr>
                            <w:sz w:val="21"/>
                          </w:rPr>
                        </w:pPr>
                        <w:r>
                          <w:rPr>
                            <w:sz w:val="21"/>
                          </w:rPr>
                          <w:t>M≥1000 万</w:t>
                        </w:r>
                      </w:p>
                    </w:tc>
                    <w:tc>
                      <w:tcPr>
                        <w:tcW w:w="2497" w:type="dxa"/>
                      </w:tcPr>
                      <w:p>
                        <w:pPr>
                          <w:pStyle w:val="TableParagraph"/>
                          <w:spacing w:before="99"/>
                          <w:ind w:left="230" w:right="222"/>
                          <w:jc w:val="center"/>
                          <w:rPr>
                            <w:sz w:val="21"/>
                          </w:rPr>
                        </w:pPr>
                        <w:r>
                          <w:rPr>
                            <w:sz w:val="21"/>
                          </w:rPr>
                          <w:t>按笔收取,1000 元/笔</w:t>
                        </w:r>
                      </w:p>
                    </w:tc>
                  </w:tr>
                </w:tbl>
                <w:p>
                  <w:pPr>
                    <w:pStyle w:val="BodyText"/>
                  </w:pPr>
                </w:p>
              </w:txbxContent>
            </v:textbox>
            <w10:wrap type="none"/>
          </v:shape>
        </w:pict>
      </w:r>
      <w:r>
        <w:rPr/>
        <w:t>本基金的申购费率不高于 </w:t>
      </w:r>
      <w:r>
        <w:rPr>
          <w:rFonts w:ascii="Times New Roman" w:eastAsia="Times New Roman"/>
        </w:rPr>
        <w:t>1.5%</w:t>
      </w:r>
      <w:r>
        <w:rPr/>
        <w:t>，随申购金额的增加而递减，适用以下前端收费费率标准：</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p>
    <w:p>
      <w:pPr>
        <w:pStyle w:val="ListParagraph"/>
        <w:numPr>
          <w:ilvl w:val="0"/>
          <w:numId w:val="34"/>
        </w:numPr>
        <w:tabs>
          <w:tab w:pos="1790" w:val="left" w:leader="none"/>
        </w:tabs>
        <w:spacing w:line="240" w:lineRule="auto" w:before="0" w:after="0"/>
        <w:ind w:left="1789" w:right="0" w:hanging="530"/>
        <w:jc w:val="left"/>
        <w:rPr>
          <w:sz w:val="21"/>
        </w:rPr>
      </w:pPr>
      <w:r>
        <w:rPr>
          <w:spacing w:val="-2"/>
          <w:sz w:val="21"/>
        </w:rPr>
        <w:t>计算公式</w:t>
      </w:r>
    </w:p>
    <w:p>
      <w:pPr>
        <w:pStyle w:val="BodyText"/>
        <w:spacing w:before="6"/>
        <w:rPr>
          <w:sz w:val="15"/>
        </w:rPr>
      </w:pPr>
    </w:p>
    <w:p>
      <w:pPr>
        <w:pStyle w:val="BodyText"/>
        <w:spacing w:line="417" w:lineRule="auto" w:before="1"/>
        <w:ind w:left="1260" w:right="1426"/>
      </w:pPr>
      <w:r>
        <w:rPr>
          <w:spacing w:val="-3"/>
        </w:rPr>
        <w:t>本基金采用金额申购方法，基金的申购金额包括申购费用和净申购金额，其中： </w:t>
      </w:r>
      <w:r>
        <w:rPr>
          <w:spacing w:val="-3"/>
          <w:w w:val="100"/>
        </w:rPr>
        <w:t>净申购金额=申购金额</w:t>
      </w:r>
      <w:r>
        <w:rPr>
          <w:w w:val="100"/>
        </w:rPr>
        <w:t>/</w:t>
      </w:r>
      <w:r>
        <w:rPr>
          <w:spacing w:val="-3"/>
          <w:w w:val="100"/>
        </w:rPr>
        <w:t>（1</w:t>
      </w:r>
      <w:r>
        <w:rPr>
          <w:spacing w:val="-1"/>
          <w:w w:val="100"/>
        </w:rPr>
        <w:t>+申购费率</w:t>
      </w:r>
      <w:r>
        <w:rPr>
          <w:spacing w:val="-108"/>
          <w:w w:val="100"/>
        </w:rPr>
        <w:t>）</w:t>
      </w:r>
      <w:r>
        <w:rPr>
          <w:w w:val="100"/>
        </w:rPr>
        <w:t>；</w:t>
      </w:r>
    </w:p>
    <w:p>
      <w:pPr>
        <w:pStyle w:val="BodyText"/>
        <w:spacing w:line="269" w:lineRule="exact"/>
        <w:ind w:left="1260"/>
      </w:pPr>
      <w:r>
        <w:rPr/>
        <w:t>申购费用=申购金额-净申购金额；</w:t>
      </w:r>
    </w:p>
    <w:p>
      <w:pPr>
        <w:pStyle w:val="BodyText"/>
        <w:spacing w:before="6"/>
        <w:rPr>
          <w:sz w:val="15"/>
        </w:rPr>
      </w:pPr>
    </w:p>
    <w:p>
      <w:pPr>
        <w:pStyle w:val="BodyText"/>
        <w:ind w:left="1260"/>
      </w:pPr>
      <w:r>
        <w:rPr/>
        <w:t>申购份额=净申购金额/T 日基金份额净值。</w:t>
      </w:r>
    </w:p>
    <w:p>
      <w:pPr>
        <w:pStyle w:val="BodyText"/>
        <w:spacing w:before="7"/>
        <w:rPr>
          <w:sz w:val="15"/>
        </w:rPr>
      </w:pPr>
    </w:p>
    <w:p>
      <w:pPr>
        <w:pStyle w:val="BodyText"/>
        <w:spacing w:line="417" w:lineRule="auto"/>
        <w:ind w:left="840" w:right="891" w:firstLine="419"/>
      </w:pPr>
      <w:r>
        <w:rPr>
          <w:spacing w:val="-5"/>
        </w:rPr>
        <w:t>基金申购的有效份额保留到小数点后 </w:t>
      </w:r>
      <w:r>
        <w:rPr>
          <w:rFonts w:ascii="Times New Roman" w:eastAsia="Times New Roman"/>
        </w:rPr>
        <w:t>2 </w:t>
      </w:r>
      <w:r>
        <w:rPr>
          <w:spacing w:val="-12"/>
        </w:rPr>
        <w:t>位，小数点后两位以后的部分四舍五入，由此产</w:t>
      </w:r>
      <w:r>
        <w:rPr>
          <w:spacing w:val="-6"/>
        </w:rPr>
        <w:t>生的误差计入基金财产。</w:t>
      </w:r>
    </w:p>
    <w:p>
      <w:pPr>
        <w:pStyle w:val="BodyText"/>
        <w:ind w:left="840"/>
      </w:pPr>
      <w:r>
        <w:rPr/>
        <w:t>3、基金赎回费用</w:t>
      </w:r>
    </w:p>
    <w:p>
      <w:pPr>
        <w:pStyle w:val="BodyText"/>
        <w:spacing w:before="7"/>
        <w:rPr>
          <w:sz w:val="15"/>
        </w:rPr>
      </w:pPr>
    </w:p>
    <w:p>
      <w:pPr>
        <w:pStyle w:val="ListParagraph"/>
        <w:numPr>
          <w:ilvl w:val="0"/>
          <w:numId w:val="35"/>
        </w:numPr>
        <w:tabs>
          <w:tab w:pos="1790" w:val="left" w:leader="none"/>
        </w:tabs>
        <w:spacing w:line="417" w:lineRule="auto" w:before="0" w:after="0"/>
        <w:ind w:left="840" w:right="891" w:firstLine="419"/>
        <w:jc w:val="both"/>
        <w:rPr>
          <w:sz w:val="21"/>
        </w:rPr>
      </w:pPr>
      <w:r>
        <w:rPr>
          <w:spacing w:val="-3"/>
          <w:sz w:val="21"/>
        </w:rPr>
        <w:t>本基金的赎回费用由赎回基金份额的基金份额持有人承担，对于持续持有期少于</w:t>
      </w:r>
      <w:r>
        <w:rPr>
          <w:rFonts w:ascii="Times New Roman" w:eastAsia="Times New Roman"/>
          <w:spacing w:val="-3"/>
          <w:sz w:val="21"/>
        </w:rPr>
        <w:t>7</w:t>
      </w:r>
      <w:r>
        <w:rPr>
          <w:rFonts w:ascii="Times New Roman" w:eastAsia="Times New Roman"/>
          <w:spacing w:val="14"/>
          <w:sz w:val="21"/>
        </w:rPr>
        <w:t> </w:t>
      </w:r>
      <w:r>
        <w:rPr>
          <w:spacing w:val="-2"/>
          <w:sz w:val="21"/>
        </w:rPr>
        <w:t>日的投资者，本基金将收取不低于 </w:t>
      </w:r>
      <w:r>
        <w:rPr>
          <w:rFonts w:ascii="Times New Roman" w:eastAsia="Times New Roman"/>
          <w:sz w:val="21"/>
        </w:rPr>
        <w:t>1.5%</w:t>
      </w:r>
      <w:r>
        <w:rPr>
          <w:spacing w:val="-3"/>
          <w:sz w:val="21"/>
        </w:rPr>
        <w:t>的赎回费并全额计入基金财产。对于持续持有期</w:t>
      </w:r>
      <w:r>
        <w:rPr>
          <w:spacing w:val="-8"/>
          <w:sz w:val="21"/>
        </w:rPr>
        <w:t>不少于 </w:t>
      </w:r>
      <w:r>
        <w:rPr>
          <w:rFonts w:ascii="Times New Roman" w:eastAsia="Times New Roman"/>
          <w:sz w:val="21"/>
        </w:rPr>
        <w:t>7</w:t>
      </w:r>
      <w:r>
        <w:rPr>
          <w:rFonts w:ascii="Times New Roman" w:eastAsia="Times New Roman"/>
          <w:spacing w:val="32"/>
          <w:sz w:val="21"/>
        </w:rPr>
        <w:t> </w:t>
      </w:r>
      <w:r>
        <w:rPr>
          <w:spacing w:val="-2"/>
          <w:sz w:val="21"/>
        </w:rPr>
        <w:t>日的投资者，不低于赎回费总额的 </w:t>
      </w:r>
      <w:r>
        <w:rPr>
          <w:rFonts w:ascii="Times New Roman" w:eastAsia="Times New Roman"/>
          <w:sz w:val="21"/>
        </w:rPr>
        <w:t>25%</w:t>
      </w:r>
      <w:r>
        <w:rPr>
          <w:spacing w:val="-3"/>
          <w:sz w:val="21"/>
        </w:rPr>
        <w:t>应归基金财产，未归入基金财产的部分用于支付登记费和其他必要的手续费。</w:t>
      </w:r>
    </w:p>
    <w:p>
      <w:pPr>
        <w:pStyle w:val="BodyText"/>
        <w:spacing w:line="268" w:lineRule="exact"/>
        <w:ind w:left="1260"/>
      </w:pPr>
      <w:r>
        <w:rPr/>
        <w:t>本基金的赎回费率随持有期限的增加而递减。</w:t>
      </w:r>
    </w:p>
    <w:p>
      <w:pPr>
        <w:pStyle w:val="BodyText"/>
        <w:spacing w:before="10"/>
        <w:rPr>
          <w:sz w:val="7"/>
        </w:r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0"/>
        <w:gridCol w:w="3768"/>
      </w:tblGrid>
      <w:tr>
        <w:trPr>
          <w:trHeight w:val="467" w:hRule="atLeast"/>
        </w:trPr>
        <w:tc>
          <w:tcPr>
            <w:tcW w:w="4760" w:type="dxa"/>
          </w:tcPr>
          <w:p>
            <w:pPr>
              <w:pStyle w:val="TableParagraph"/>
              <w:spacing w:before="99"/>
              <w:ind w:left="1310" w:right="1299"/>
              <w:jc w:val="center"/>
              <w:rPr>
                <w:sz w:val="21"/>
              </w:rPr>
            </w:pPr>
            <w:r>
              <w:rPr>
                <w:sz w:val="21"/>
              </w:rPr>
              <w:t>持有期</w:t>
            </w:r>
          </w:p>
        </w:tc>
        <w:tc>
          <w:tcPr>
            <w:tcW w:w="3768" w:type="dxa"/>
          </w:tcPr>
          <w:p>
            <w:pPr>
              <w:pStyle w:val="TableParagraph"/>
              <w:spacing w:before="99"/>
              <w:ind w:left="1445" w:right="1433"/>
              <w:jc w:val="center"/>
              <w:rPr>
                <w:sz w:val="21"/>
              </w:rPr>
            </w:pPr>
            <w:r>
              <w:rPr>
                <w:sz w:val="21"/>
              </w:rPr>
              <w:t>赎回费率</w:t>
            </w:r>
          </w:p>
        </w:tc>
      </w:tr>
      <w:tr>
        <w:trPr>
          <w:trHeight w:val="467" w:hRule="atLeast"/>
        </w:trPr>
        <w:tc>
          <w:tcPr>
            <w:tcW w:w="4760" w:type="dxa"/>
          </w:tcPr>
          <w:p>
            <w:pPr>
              <w:pStyle w:val="TableParagraph"/>
              <w:spacing w:before="99"/>
              <w:ind w:left="1308" w:right="1299"/>
              <w:jc w:val="center"/>
              <w:rPr>
                <w:sz w:val="21"/>
              </w:rPr>
            </w:pPr>
            <w:r>
              <w:rPr>
                <w:sz w:val="21"/>
              </w:rPr>
              <w:t>7 日以内</w:t>
            </w:r>
          </w:p>
        </w:tc>
        <w:tc>
          <w:tcPr>
            <w:tcW w:w="3768" w:type="dxa"/>
          </w:tcPr>
          <w:p>
            <w:pPr>
              <w:pStyle w:val="TableParagraph"/>
              <w:spacing w:before="99"/>
              <w:ind w:left="1442" w:right="1433"/>
              <w:jc w:val="center"/>
              <w:rPr>
                <w:sz w:val="21"/>
              </w:rPr>
            </w:pPr>
            <w:r>
              <w:rPr>
                <w:sz w:val="21"/>
              </w:rPr>
              <w:t>1.5%</w:t>
            </w:r>
          </w:p>
        </w:tc>
      </w:tr>
    </w:tbl>
    <w:p>
      <w:pPr>
        <w:spacing w:after="0"/>
        <w:jc w:val="center"/>
        <w:rPr>
          <w:sz w:val="21"/>
        </w:rPr>
        <w:sectPr>
          <w:pgSz w:w="11910" w:h="16840"/>
          <w:pgMar w:header="877" w:footer="995" w:top="1100" w:bottom="1180" w:left="960" w:right="900"/>
        </w:sectPr>
      </w:pPr>
    </w:p>
    <w:p>
      <w:pPr>
        <w:pStyle w:val="BodyText"/>
        <w:spacing w:before="1"/>
        <w:rPr>
          <w:sz w:val="25"/>
        </w:r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0"/>
        <w:gridCol w:w="3768"/>
      </w:tblGrid>
      <w:tr>
        <w:trPr>
          <w:trHeight w:val="468" w:hRule="atLeast"/>
        </w:trPr>
        <w:tc>
          <w:tcPr>
            <w:tcW w:w="4760" w:type="dxa"/>
          </w:tcPr>
          <w:p>
            <w:pPr>
              <w:pStyle w:val="TableParagraph"/>
              <w:spacing w:before="99"/>
              <w:ind w:left="1310" w:right="1299"/>
              <w:jc w:val="center"/>
              <w:rPr>
                <w:sz w:val="21"/>
              </w:rPr>
            </w:pPr>
            <w:r>
              <w:rPr>
                <w:sz w:val="21"/>
              </w:rPr>
              <w:t>7 日（含）-1 年</w:t>
            </w:r>
          </w:p>
        </w:tc>
        <w:tc>
          <w:tcPr>
            <w:tcW w:w="3768" w:type="dxa"/>
          </w:tcPr>
          <w:p>
            <w:pPr>
              <w:pStyle w:val="TableParagraph"/>
              <w:spacing w:before="99"/>
              <w:ind w:right="1660"/>
              <w:jc w:val="right"/>
              <w:rPr>
                <w:sz w:val="21"/>
              </w:rPr>
            </w:pPr>
            <w:r>
              <w:rPr>
                <w:sz w:val="21"/>
              </w:rPr>
              <w:t>0.5%</w:t>
            </w:r>
          </w:p>
        </w:tc>
      </w:tr>
      <w:tr>
        <w:trPr>
          <w:trHeight w:val="467" w:hRule="atLeast"/>
        </w:trPr>
        <w:tc>
          <w:tcPr>
            <w:tcW w:w="4760" w:type="dxa"/>
          </w:tcPr>
          <w:p>
            <w:pPr>
              <w:pStyle w:val="TableParagraph"/>
              <w:spacing w:before="99"/>
              <w:ind w:left="1310" w:right="1299"/>
              <w:jc w:val="center"/>
              <w:rPr>
                <w:sz w:val="21"/>
              </w:rPr>
            </w:pPr>
            <w:r>
              <w:rPr>
                <w:sz w:val="21"/>
              </w:rPr>
              <w:t>1 年以上（含）－2 年</w:t>
            </w:r>
          </w:p>
        </w:tc>
        <w:tc>
          <w:tcPr>
            <w:tcW w:w="3768" w:type="dxa"/>
          </w:tcPr>
          <w:p>
            <w:pPr>
              <w:pStyle w:val="TableParagraph"/>
              <w:spacing w:before="99"/>
              <w:ind w:right="1608"/>
              <w:jc w:val="right"/>
              <w:rPr>
                <w:sz w:val="21"/>
              </w:rPr>
            </w:pPr>
            <w:r>
              <w:rPr>
                <w:sz w:val="21"/>
              </w:rPr>
              <w:t>0.25%</w:t>
            </w:r>
          </w:p>
        </w:tc>
      </w:tr>
      <w:tr>
        <w:trPr>
          <w:trHeight w:val="469" w:hRule="atLeast"/>
        </w:trPr>
        <w:tc>
          <w:tcPr>
            <w:tcW w:w="4760" w:type="dxa"/>
          </w:tcPr>
          <w:p>
            <w:pPr>
              <w:pStyle w:val="TableParagraph"/>
              <w:spacing w:before="99"/>
              <w:ind w:left="1310" w:right="1299"/>
              <w:jc w:val="center"/>
              <w:rPr>
                <w:sz w:val="21"/>
              </w:rPr>
            </w:pPr>
            <w:r>
              <w:rPr>
                <w:sz w:val="21"/>
              </w:rPr>
              <w:t>2 年以上（含）</w:t>
            </w:r>
          </w:p>
        </w:tc>
        <w:tc>
          <w:tcPr>
            <w:tcW w:w="3768" w:type="dxa"/>
          </w:tcPr>
          <w:p>
            <w:pPr>
              <w:pStyle w:val="TableParagraph"/>
              <w:spacing w:before="99"/>
              <w:ind w:left="9"/>
              <w:jc w:val="center"/>
              <w:rPr>
                <w:sz w:val="21"/>
              </w:rPr>
            </w:pPr>
            <w:r>
              <w:rPr>
                <w:w w:val="100"/>
                <w:sz w:val="21"/>
              </w:rPr>
              <w:t>0</w:t>
            </w:r>
          </w:p>
        </w:tc>
      </w:tr>
    </w:tbl>
    <w:p>
      <w:pPr>
        <w:spacing w:before="117"/>
        <w:ind w:left="1200" w:right="0" w:firstLine="0"/>
        <w:jc w:val="left"/>
        <w:rPr>
          <w:sz w:val="18"/>
        </w:rPr>
      </w:pPr>
      <w:r>
        <w:rPr>
          <w:sz w:val="18"/>
        </w:rPr>
        <w:t>注：就赎回费而言，1 年指 365 天，2 年指 730 天。</w:t>
      </w:r>
    </w:p>
    <w:p>
      <w:pPr>
        <w:pStyle w:val="BodyText"/>
        <w:spacing w:before="2"/>
        <w:rPr>
          <w:sz w:val="17"/>
        </w:rPr>
      </w:pPr>
    </w:p>
    <w:p>
      <w:pPr>
        <w:pStyle w:val="ListParagraph"/>
        <w:numPr>
          <w:ilvl w:val="0"/>
          <w:numId w:val="35"/>
        </w:numPr>
        <w:tabs>
          <w:tab w:pos="1790" w:val="left" w:leader="none"/>
        </w:tabs>
        <w:spacing w:line="240" w:lineRule="auto" w:before="0" w:after="0"/>
        <w:ind w:left="1789" w:right="0" w:hanging="530"/>
        <w:jc w:val="left"/>
        <w:rPr>
          <w:sz w:val="21"/>
        </w:rPr>
      </w:pPr>
      <w:r>
        <w:rPr>
          <w:spacing w:val="-2"/>
          <w:sz w:val="21"/>
        </w:rPr>
        <w:t>计算公式</w:t>
      </w:r>
    </w:p>
    <w:p>
      <w:pPr>
        <w:pStyle w:val="BodyText"/>
        <w:spacing w:before="6"/>
        <w:rPr>
          <w:sz w:val="15"/>
        </w:rPr>
      </w:pPr>
    </w:p>
    <w:p>
      <w:pPr>
        <w:pStyle w:val="BodyText"/>
        <w:tabs>
          <w:tab w:pos="2534" w:val="left" w:leader="none"/>
        </w:tabs>
        <w:spacing w:line="417" w:lineRule="auto" w:before="1"/>
        <w:ind w:left="1260" w:right="4357"/>
      </w:pPr>
      <w:r>
        <w:rPr/>
        <w:t>赎回</w:t>
      </w:r>
      <w:r>
        <w:rPr>
          <w:spacing w:val="-3"/>
        </w:rPr>
        <w:t>总</w:t>
      </w:r>
      <w:r>
        <w:rPr/>
        <w:t>额 </w:t>
      </w:r>
      <w:r>
        <w:rPr>
          <w:rFonts w:ascii="Times New Roman" w:hAnsi="Times New Roman" w:eastAsia="Times New Roman"/>
        </w:rPr>
        <w:t>=</w:t>
        <w:tab/>
      </w:r>
      <w:r>
        <w:rPr/>
        <w:t>赎</w:t>
      </w:r>
      <w:r>
        <w:rPr>
          <w:spacing w:val="-3"/>
        </w:rPr>
        <w:t>回</w:t>
      </w:r>
      <w:r>
        <w:rPr/>
        <w:t>份</w:t>
      </w:r>
      <w:r>
        <w:rPr>
          <w:spacing w:val="-3"/>
        </w:rPr>
        <w:t>额×</w:t>
      </w:r>
      <w:r>
        <w:rPr/>
        <w:t>赎回</w:t>
      </w:r>
      <w:r>
        <w:rPr>
          <w:spacing w:val="-3"/>
        </w:rPr>
        <w:t>当</w:t>
      </w:r>
      <w:r>
        <w:rPr/>
        <w:t>日</w:t>
      </w:r>
      <w:r>
        <w:rPr>
          <w:spacing w:val="-3"/>
        </w:rPr>
        <w:t>基</w:t>
      </w:r>
      <w:r>
        <w:rPr/>
        <w:t>金</w:t>
      </w:r>
      <w:r>
        <w:rPr>
          <w:spacing w:val="-3"/>
        </w:rPr>
        <w:t>份</w:t>
      </w:r>
      <w:r>
        <w:rPr/>
        <w:t>额</w:t>
      </w:r>
      <w:r>
        <w:rPr>
          <w:spacing w:val="-3"/>
        </w:rPr>
        <w:t>净</w:t>
      </w:r>
      <w:r>
        <w:rPr>
          <w:spacing w:val="-12"/>
        </w:rPr>
        <w:t>值</w:t>
      </w:r>
      <w:r>
        <w:rPr/>
        <w:t>赎回</w:t>
      </w:r>
      <w:r>
        <w:rPr>
          <w:spacing w:val="-3"/>
        </w:rPr>
        <w:t>费</w:t>
      </w:r>
      <w:r>
        <w:rPr/>
        <w:t>用</w:t>
      </w:r>
      <w:r>
        <w:rPr>
          <w:spacing w:val="-1"/>
        </w:rPr>
        <w:t> </w:t>
      </w:r>
      <w:r>
        <w:rPr>
          <w:rFonts w:ascii="Times New Roman" w:hAnsi="Times New Roman" w:eastAsia="Times New Roman"/>
        </w:rPr>
        <w:t>= </w:t>
      </w:r>
      <w:r>
        <w:rPr/>
        <w:t>赎</w:t>
      </w:r>
      <w:r>
        <w:rPr>
          <w:spacing w:val="-3"/>
        </w:rPr>
        <w:t>回</w:t>
      </w:r>
      <w:r>
        <w:rPr/>
        <w:t>总</w:t>
      </w:r>
      <w:r>
        <w:rPr>
          <w:spacing w:val="-3"/>
        </w:rPr>
        <w:t>额</w:t>
      </w:r>
      <w:r>
        <w:rPr/>
        <w:t>×</w:t>
      </w:r>
      <w:r>
        <w:rPr>
          <w:spacing w:val="-3"/>
        </w:rPr>
        <w:t>赎</w:t>
      </w:r>
      <w:r>
        <w:rPr/>
        <w:t>回费率</w:t>
      </w:r>
    </w:p>
    <w:p>
      <w:pPr>
        <w:pStyle w:val="BodyText"/>
        <w:ind w:left="1260"/>
      </w:pPr>
      <w:r>
        <w:rPr/>
        <w:t>赎回金额 </w:t>
      </w:r>
      <w:r>
        <w:rPr>
          <w:rFonts w:ascii="Times New Roman" w:eastAsia="Times New Roman"/>
          <w:spacing w:val="2"/>
        </w:rPr>
        <w:t>=  </w:t>
      </w:r>
      <w:r>
        <w:rPr>
          <w:spacing w:val="-3"/>
        </w:rPr>
        <w:t>赎回总额－赎回费用</w:t>
      </w:r>
    </w:p>
    <w:p>
      <w:pPr>
        <w:pStyle w:val="BodyText"/>
        <w:spacing w:before="6"/>
        <w:rPr>
          <w:sz w:val="15"/>
        </w:rPr>
      </w:pPr>
    </w:p>
    <w:p>
      <w:pPr>
        <w:pStyle w:val="BodyText"/>
        <w:spacing w:line="417" w:lineRule="auto" w:before="1"/>
        <w:ind w:left="840" w:right="891" w:firstLine="419"/>
      </w:pPr>
      <w:r>
        <w:rPr>
          <w:spacing w:val="-6"/>
        </w:rPr>
        <w:t>基金赎回金额保留到小数点后 </w:t>
      </w:r>
      <w:r>
        <w:rPr>
          <w:rFonts w:ascii="Times New Roman" w:eastAsia="Times New Roman"/>
        </w:rPr>
        <w:t>2 </w:t>
      </w:r>
      <w:r>
        <w:rPr>
          <w:spacing w:val="-12"/>
        </w:rPr>
        <w:t>位，小数点后两位以后的部分四舍五入，由此产生的误</w:t>
      </w:r>
      <w:r>
        <w:rPr>
          <w:spacing w:val="-6"/>
        </w:rPr>
        <w:t>差计入基金财产。</w:t>
      </w:r>
    </w:p>
    <w:p>
      <w:pPr>
        <w:pStyle w:val="BodyText"/>
        <w:spacing w:line="269" w:lineRule="exact"/>
        <w:ind w:left="840"/>
      </w:pPr>
      <w:r>
        <w:rPr/>
        <w:t>4、基金转换费用</w:t>
      </w:r>
    </w:p>
    <w:p>
      <w:pPr>
        <w:pStyle w:val="BodyText"/>
        <w:spacing w:before="6"/>
        <w:rPr>
          <w:sz w:val="15"/>
        </w:rPr>
      </w:pPr>
    </w:p>
    <w:p>
      <w:pPr>
        <w:pStyle w:val="ListParagraph"/>
        <w:numPr>
          <w:ilvl w:val="0"/>
          <w:numId w:val="36"/>
        </w:numPr>
        <w:tabs>
          <w:tab w:pos="1790" w:val="left" w:leader="none"/>
        </w:tabs>
        <w:spacing w:line="417" w:lineRule="auto" w:before="0" w:after="0"/>
        <w:ind w:left="840" w:right="891" w:firstLine="419"/>
        <w:jc w:val="both"/>
        <w:rPr>
          <w:sz w:val="21"/>
        </w:rPr>
      </w:pPr>
      <w:r>
        <w:rPr>
          <w:spacing w:val="-3"/>
          <w:sz w:val="21"/>
        </w:rPr>
        <w:t>本基金的转换费用包括了基金转出时收取的赎回费和基金转入时收入的申购补差</w:t>
      </w:r>
      <w:r>
        <w:rPr>
          <w:spacing w:val="-10"/>
          <w:sz w:val="21"/>
        </w:rPr>
        <w:t>费，其中赎回费的收取标准遵循本招募说明书的约定，申购补差费的收取标准为：申购补差费</w:t>
      </w:r>
      <w:r>
        <w:rPr>
          <w:rFonts w:ascii="Times New Roman" w:eastAsia="Times New Roman"/>
          <w:spacing w:val="13"/>
          <w:sz w:val="21"/>
        </w:rPr>
        <w:t>= </w:t>
      </w:r>
      <w:r>
        <w:rPr>
          <w:rFonts w:ascii="Times New Roman" w:eastAsia="Times New Roman"/>
          <w:sz w:val="21"/>
        </w:rPr>
        <w:t>MAX</w:t>
      </w:r>
      <w:r>
        <w:rPr>
          <w:spacing w:val="-4"/>
          <w:sz w:val="21"/>
        </w:rPr>
        <w:t>【转出净额在转入基金中对应的申购费用－转出净额在转出基金中对应的申购费</w:t>
      </w:r>
      <w:r>
        <w:rPr>
          <w:sz w:val="21"/>
        </w:rPr>
        <w:t>用，</w:t>
      </w:r>
      <w:r>
        <w:rPr>
          <w:rFonts w:ascii="Times New Roman" w:eastAsia="Times New Roman"/>
          <w:sz w:val="21"/>
        </w:rPr>
        <w:t>0</w:t>
      </w:r>
      <w:r>
        <w:rPr>
          <w:spacing w:val="-108"/>
          <w:sz w:val="21"/>
        </w:rPr>
        <w:t>】。</w:t>
      </w:r>
    </w:p>
    <w:p>
      <w:pPr>
        <w:pStyle w:val="ListParagraph"/>
        <w:numPr>
          <w:ilvl w:val="0"/>
          <w:numId w:val="36"/>
        </w:numPr>
        <w:tabs>
          <w:tab w:pos="1790" w:val="left" w:leader="none"/>
        </w:tabs>
        <w:spacing w:line="269" w:lineRule="exact" w:before="0" w:after="0"/>
        <w:ind w:left="1789" w:right="0" w:hanging="530"/>
        <w:jc w:val="left"/>
        <w:rPr>
          <w:sz w:val="21"/>
        </w:rPr>
      </w:pPr>
      <w:r>
        <w:rPr>
          <w:spacing w:val="-2"/>
          <w:sz w:val="21"/>
        </w:rPr>
        <w:t>计算公式</w:t>
      </w:r>
    </w:p>
    <w:p>
      <w:pPr>
        <w:pStyle w:val="BodyText"/>
        <w:spacing w:before="7"/>
        <w:rPr>
          <w:sz w:val="15"/>
        </w:rPr>
      </w:pPr>
    </w:p>
    <w:p>
      <w:pPr>
        <w:pStyle w:val="BodyText"/>
        <w:spacing w:line="417" w:lineRule="auto"/>
        <w:ind w:left="1260" w:right="6050"/>
      </w:pPr>
      <w:r>
        <w:rPr>
          <w:spacing w:val="-4"/>
        </w:rPr>
        <w:t>①基金转出时赎回费的计算： </w:t>
      </w:r>
      <w:r>
        <w:rPr>
          <w:spacing w:val="-3"/>
        </w:rPr>
        <w:t>由股票基金转出时：</w:t>
      </w:r>
    </w:p>
    <w:p>
      <w:pPr>
        <w:pStyle w:val="BodyText"/>
        <w:spacing w:line="417" w:lineRule="auto"/>
        <w:ind w:left="1260" w:right="4158"/>
      </w:pPr>
      <w:r>
        <w:rPr>
          <w:spacing w:val="-1"/>
        </w:rPr>
        <w:t>转出总额</w:t>
      </w:r>
      <w:r>
        <w:rPr>
          <w:spacing w:val="-3"/>
        </w:rPr>
        <w:t>＝</w:t>
      </w:r>
      <w:r>
        <w:rPr>
          <w:spacing w:val="-4"/>
        </w:rPr>
        <w:t>转出份额×转出基金当日基金份额净值</w:t>
      </w:r>
      <w:r>
        <w:rPr>
          <w:spacing w:val="-3"/>
        </w:rPr>
        <w:t>由货币基金转出时：</w:t>
      </w:r>
    </w:p>
    <w:p>
      <w:pPr>
        <w:pStyle w:val="BodyText"/>
        <w:spacing w:line="417" w:lineRule="auto"/>
        <w:ind w:left="1260" w:right="1520"/>
      </w:pPr>
      <w:r>
        <w:rPr/>
        <w:t>转出总额＝转出份额×转出基金当日基金份额净值</w:t>
      </w:r>
      <w:r>
        <w:rPr>
          <w:rFonts w:ascii="Times New Roman" w:hAnsi="Times New Roman" w:eastAsia="Times New Roman"/>
        </w:rPr>
        <w:t>+</w:t>
      </w:r>
      <w:r>
        <w:rPr/>
        <w:t>待结转收益（全额转出时） 赎回费用＝转出总额×转出基金赎回费率</w:t>
      </w:r>
    </w:p>
    <w:p>
      <w:pPr>
        <w:pStyle w:val="BodyText"/>
        <w:ind w:left="1260"/>
      </w:pPr>
      <w:r>
        <w:rPr/>
        <w:t>转出净额＝转出总额－赎回费用</w:t>
      </w:r>
    </w:p>
    <w:p>
      <w:pPr>
        <w:pStyle w:val="BodyText"/>
        <w:spacing w:before="6"/>
        <w:rPr>
          <w:sz w:val="15"/>
        </w:rPr>
      </w:pPr>
    </w:p>
    <w:p>
      <w:pPr>
        <w:pStyle w:val="BodyText"/>
        <w:spacing w:line="417" w:lineRule="auto"/>
        <w:ind w:left="1260" w:right="5418"/>
      </w:pPr>
      <w:r>
        <w:rPr>
          <w:spacing w:val="-3"/>
        </w:rPr>
        <w:t>②基金转入时申购补差费的计算： 净转入金额</w:t>
      </w:r>
      <w:r>
        <w:rPr/>
        <w:t>＝</w:t>
      </w:r>
      <w:r>
        <w:rPr>
          <w:spacing w:val="-4"/>
        </w:rPr>
        <w:t>转出净额－申购补差费</w:t>
      </w:r>
    </w:p>
    <w:p>
      <w:pPr>
        <w:pStyle w:val="BodyText"/>
        <w:spacing w:line="417" w:lineRule="auto"/>
        <w:ind w:left="840" w:right="894" w:firstLine="419"/>
      </w:pPr>
      <w:r>
        <w:rPr/>
        <w:t>其中，申购补差费</w:t>
      </w:r>
      <w:r>
        <w:rPr>
          <w:rFonts w:ascii="Times New Roman" w:eastAsia="Times New Roman"/>
        </w:rPr>
        <w:t>= MAX</w:t>
      </w:r>
      <w:r>
        <w:rPr/>
        <w:t>【转出净额在转入基金中对应的申购费用－转出净额在转出基金中对应的申购费用，</w:t>
      </w:r>
      <w:r>
        <w:rPr>
          <w:rFonts w:ascii="Times New Roman" w:eastAsia="Times New Roman"/>
        </w:rPr>
        <w:t>0</w:t>
      </w:r>
      <w:r>
        <w:rPr/>
        <w:t>】</w:t>
      </w:r>
    </w:p>
    <w:p>
      <w:pPr>
        <w:pStyle w:val="BodyText"/>
        <w:spacing w:line="269" w:lineRule="exact"/>
        <w:ind w:left="1260"/>
      </w:pPr>
      <w:r>
        <w:rPr>
          <w:spacing w:val="-1"/>
        </w:rPr>
        <w:t>转入份额</w:t>
      </w:r>
      <w:r>
        <w:rPr>
          <w:spacing w:val="-3"/>
        </w:rPr>
        <w:t>＝净转入金额 </w:t>
      </w:r>
      <w:r>
        <w:rPr>
          <w:rFonts w:ascii="Times New Roman" w:eastAsia="Times New Roman"/>
        </w:rPr>
        <w:t>/ </w:t>
      </w:r>
      <w:r>
        <w:rPr>
          <w:spacing w:val="-3"/>
        </w:rPr>
        <w:t>转入基金当日基金份额净值</w:t>
      </w:r>
    </w:p>
    <w:p>
      <w:pPr>
        <w:spacing w:after="0" w:line="269" w:lineRule="exact"/>
        <w:sectPr>
          <w:pgSz w:w="11910" w:h="16840"/>
          <w:pgMar w:header="877" w:footer="995" w:top="1100" w:bottom="1180" w:left="960" w:right="900"/>
        </w:sectPr>
      </w:pPr>
    </w:p>
    <w:p>
      <w:pPr>
        <w:pStyle w:val="BodyText"/>
        <w:spacing w:before="4"/>
        <w:rPr>
          <w:sz w:val="27"/>
        </w:rPr>
      </w:pPr>
    </w:p>
    <w:p>
      <w:pPr>
        <w:pStyle w:val="Heading4"/>
        <w:spacing w:before="71"/>
      </w:pPr>
      <w:r>
        <w:rPr/>
        <w:t>三、其他费用</w:t>
      </w:r>
    </w:p>
    <w:p>
      <w:pPr>
        <w:pStyle w:val="BodyText"/>
        <w:spacing w:before="7"/>
        <w:rPr>
          <w:b/>
          <w:sz w:val="15"/>
        </w:rPr>
      </w:pPr>
    </w:p>
    <w:p>
      <w:pPr>
        <w:pStyle w:val="BodyText"/>
        <w:spacing w:line="417" w:lineRule="auto"/>
        <w:ind w:left="840" w:right="891" w:firstLine="419"/>
      </w:pPr>
      <w:r>
        <w:rPr>
          <w:spacing w:val="-8"/>
        </w:rPr>
        <w:t>本基金运作和销售过程中发生的其他费用，以及因故与本基金有关的其他费用，将依照</w:t>
      </w:r>
      <w:r>
        <w:rPr>
          <w:spacing w:val="-5"/>
        </w:rPr>
        <w:t>国家法律法规的规定，予以收取和使用。</w:t>
      </w:r>
    </w:p>
    <w:p>
      <w:pPr>
        <w:pStyle w:val="BodyText"/>
        <w:rPr>
          <w:sz w:val="20"/>
        </w:rPr>
      </w:pPr>
    </w:p>
    <w:p>
      <w:pPr>
        <w:pStyle w:val="BodyText"/>
        <w:spacing w:before="6"/>
        <w:rPr>
          <w:sz w:val="16"/>
        </w:rPr>
      </w:pPr>
    </w:p>
    <w:p>
      <w:pPr>
        <w:pStyle w:val="Heading4"/>
        <w:spacing w:before="1"/>
      </w:pPr>
      <w:r>
        <w:rPr/>
        <w:t>四、本基金运作过程中的各类纳税主体，依照国家法律法规的规定，履行纳税义务。</w:t>
      </w:r>
    </w:p>
    <w:p>
      <w:pPr>
        <w:spacing w:after="0"/>
        <w:sectPr>
          <w:pgSz w:w="11910" w:h="16840"/>
          <w:pgMar w:header="877" w:footer="995" w:top="1100" w:bottom="1180" w:left="960" w:right="900"/>
        </w:sectPr>
      </w:pPr>
    </w:p>
    <w:p>
      <w:pPr>
        <w:pStyle w:val="BodyText"/>
        <w:rPr>
          <w:b/>
          <w:sz w:val="20"/>
        </w:rPr>
      </w:pPr>
    </w:p>
    <w:p>
      <w:pPr>
        <w:pStyle w:val="BodyText"/>
        <w:rPr>
          <w:b/>
          <w:sz w:val="20"/>
        </w:rPr>
      </w:pPr>
    </w:p>
    <w:p>
      <w:pPr>
        <w:pStyle w:val="BodyText"/>
        <w:spacing w:before="8"/>
        <w:rPr>
          <w:b/>
          <w:sz w:val="15"/>
        </w:rPr>
      </w:pPr>
    </w:p>
    <w:p>
      <w:pPr>
        <w:pStyle w:val="Heading1"/>
      </w:pPr>
      <w:bookmarkStart w:name="_TOC_250009" w:id="15"/>
      <w:bookmarkEnd w:id="15"/>
      <w:r>
        <w:rPr/>
        <w:t>十五、基金的会计与审计</w:t>
      </w:r>
    </w:p>
    <w:p>
      <w:pPr>
        <w:pStyle w:val="BodyText"/>
        <w:rPr>
          <w:rFonts w:ascii="黑体"/>
          <w:b/>
          <w:sz w:val="20"/>
        </w:rPr>
      </w:pPr>
    </w:p>
    <w:p>
      <w:pPr>
        <w:pStyle w:val="BodyText"/>
        <w:spacing w:before="4"/>
        <w:rPr>
          <w:rFonts w:ascii="黑体"/>
          <w:b/>
          <w:sz w:val="16"/>
        </w:rPr>
      </w:pPr>
    </w:p>
    <w:p>
      <w:pPr>
        <w:pStyle w:val="Heading4"/>
        <w:spacing w:before="72"/>
      </w:pPr>
      <w:r>
        <w:rPr/>
        <w:t>一、基金会计政策</w:t>
      </w:r>
    </w:p>
    <w:p>
      <w:pPr>
        <w:pStyle w:val="BodyText"/>
        <w:spacing w:before="7"/>
        <w:rPr>
          <w:b/>
          <w:sz w:val="15"/>
        </w:rPr>
      </w:pPr>
    </w:p>
    <w:p>
      <w:pPr>
        <w:pStyle w:val="BodyText"/>
        <w:ind w:left="1260"/>
      </w:pPr>
      <w:r>
        <w:rPr>
          <w:rFonts w:ascii="Times New Roman" w:eastAsia="Times New Roman"/>
        </w:rPr>
        <w:t>1</w:t>
      </w:r>
      <w:r>
        <w:rPr/>
        <w:t>、基金管理人为本基金的基金会计责任方；</w:t>
      </w:r>
    </w:p>
    <w:p>
      <w:pPr>
        <w:pStyle w:val="BodyText"/>
        <w:spacing w:before="6"/>
        <w:rPr>
          <w:sz w:val="15"/>
        </w:rPr>
      </w:pPr>
    </w:p>
    <w:p>
      <w:pPr>
        <w:pStyle w:val="BodyText"/>
        <w:ind w:left="126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日；基金首次募集的会计年度按</w:t>
      </w:r>
    </w:p>
    <w:p>
      <w:pPr>
        <w:pStyle w:val="BodyText"/>
        <w:spacing w:before="7"/>
        <w:rPr>
          <w:sz w:val="15"/>
        </w:rPr>
      </w:pPr>
    </w:p>
    <w:p>
      <w:pPr>
        <w:pStyle w:val="BodyText"/>
        <w:ind w:left="840"/>
      </w:pPr>
      <w:r>
        <w:rPr/>
        <w:t>如下原则：如果基金合同生效少于 </w:t>
      </w:r>
      <w:r>
        <w:rPr>
          <w:rFonts w:ascii="Times New Roman" w:eastAsia="Times New Roman"/>
        </w:rPr>
        <w:t>3 </w:t>
      </w:r>
      <w:r>
        <w:rPr/>
        <w:t>个月，可以并入下一个会计年度；</w:t>
      </w:r>
    </w:p>
    <w:p>
      <w:pPr>
        <w:pStyle w:val="BodyText"/>
        <w:spacing w:before="7"/>
        <w:rPr>
          <w:sz w:val="15"/>
        </w:rPr>
      </w:pPr>
    </w:p>
    <w:p>
      <w:pPr>
        <w:pStyle w:val="BodyText"/>
        <w:spacing w:before="1"/>
        <w:ind w:left="1260"/>
      </w:pPr>
      <w:r>
        <w:rPr>
          <w:rFonts w:ascii="Times New Roman" w:eastAsia="Times New Roman"/>
        </w:rPr>
        <w:t>3</w:t>
      </w:r>
      <w:r>
        <w:rPr/>
        <w:t>、基金核算以人民币为记账本位币，以人民币元为记账单位；</w:t>
      </w:r>
    </w:p>
    <w:p>
      <w:pPr>
        <w:pStyle w:val="BodyText"/>
        <w:spacing w:before="6"/>
        <w:rPr>
          <w:sz w:val="15"/>
        </w:rPr>
      </w:pPr>
    </w:p>
    <w:p>
      <w:pPr>
        <w:pStyle w:val="BodyText"/>
        <w:ind w:left="1260"/>
      </w:pPr>
      <w:r>
        <w:rPr>
          <w:rFonts w:ascii="Times New Roman" w:eastAsia="Times New Roman"/>
        </w:rPr>
        <w:t>4</w:t>
      </w:r>
      <w:r>
        <w:rPr/>
        <w:t>、会计制度执行国家有关会计制度；</w:t>
      </w:r>
    </w:p>
    <w:p>
      <w:pPr>
        <w:pStyle w:val="BodyText"/>
        <w:spacing w:before="7"/>
        <w:rPr>
          <w:sz w:val="15"/>
        </w:rPr>
      </w:pPr>
    </w:p>
    <w:p>
      <w:pPr>
        <w:pStyle w:val="BodyText"/>
        <w:ind w:left="1260"/>
      </w:pPr>
      <w:r>
        <w:rPr>
          <w:rFonts w:ascii="Times New Roman" w:eastAsia="Times New Roman"/>
        </w:rPr>
        <w:t>5</w:t>
      </w:r>
      <w:r>
        <w:rPr/>
        <w:t>、本基金独立建账、独立核算；</w:t>
      </w:r>
    </w:p>
    <w:p>
      <w:pPr>
        <w:pStyle w:val="BodyText"/>
        <w:spacing w:before="7"/>
        <w:rPr>
          <w:sz w:val="15"/>
        </w:rPr>
      </w:pPr>
    </w:p>
    <w:p>
      <w:pPr>
        <w:pStyle w:val="BodyText"/>
        <w:spacing w:line="417" w:lineRule="auto"/>
        <w:ind w:left="840" w:right="89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840" w:right="894" w:firstLine="419"/>
      </w:pPr>
      <w:r>
        <w:rPr>
          <w:rFonts w:ascii="Times New Roman" w:eastAsia="Times New Roman"/>
        </w:rPr>
        <w:t>7</w:t>
      </w:r>
      <w:r>
        <w:rPr/>
        <w:t>、基金托管人每月与基金管理人就基金的会计核算、报表编制等进行核对并以书面方式确认。</w:t>
      </w:r>
    </w:p>
    <w:p>
      <w:pPr>
        <w:pStyle w:val="BodyText"/>
        <w:rPr>
          <w:sz w:val="20"/>
        </w:rPr>
      </w:pPr>
    </w:p>
    <w:p>
      <w:pPr>
        <w:pStyle w:val="BodyText"/>
        <w:spacing w:before="6"/>
        <w:rPr>
          <w:sz w:val="16"/>
        </w:rPr>
      </w:pPr>
    </w:p>
    <w:p>
      <w:pPr>
        <w:pStyle w:val="Heading4"/>
      </w:pPr>
      <w:r>
        <w:rPr/>
        <w:t>二、基金的年度审计</w:t>
      </w:r>
    </w:p>
    <w:p>
      <w:pPr>
        <w:pStyle w:val="BodyText"/>
        <w:spacing w:before="7"/>
        <w:rPr>
          <w:b/>
          <w:sz w:val="15"/>
        </w:rPr>
      </w:pPr>
    </w:p>
    <w:p>
      <w:pPr>
        <w:pStyle w:val="BodyText"/>
        <w:spacing w:line="417" w:lineRule="auto"/>
        <w:ind w:left="840" w:right="896" w:firstLine="419"/>
      </w:pPr>
      <w:r>
        <w:rPr>
          <w:rFonts w:ascii="Times New Roman" w:eastAsia="Times New Roman"/>
        </w:rPr>
        <w:t>1</w:t>
      </w:r>
      <w:r>
        <w:rPr/>
        <w:t>、本基金管理人聘请与基金管理人、基金托管人相互独立的具有证券、期货相关从业资格的会计师事务所及其注册会计师对本基金的年度财务报表进行审计。</w:t>
      </w:r>
    </w:p>
    <w:p>
      <w:pPr>
        <w:pStyle w:val="BodyText"/>
        <w:spacing w:line="417" w:lineRule="auto"/>
        <w:ind w:left="840" w:right="894" w:firstLine="419"/>
      </w:pPr>
      <w:r>
        <w:rPr>
          <w:rFonts w:ascii="Times New Roman" w:eastAsia="Times New Roman"/>
        </w:rPr>
        <w:t>2</w:t>
      </w:r>
      <w:r>
        <w:rPr/>
        <w:t>、会计师事务所更换经办注册会计师，应事先征得基金管理人和基金托管人同意，并报中国证监会备案。</w:t>
      </w:r>
    </w:p>
    <w:p>
      <w:pPr>
        <w:pStyle w:val="BodyText"/>
        <w:spacing w:line="417" w:lineRule="auto"/>
        <w:ind w:left="840" w:right="894" w:firstLine="419"/>
      </w:pPr>
      <w:r>
        <w:rPr>
          <w:rFonts w:ascii="Times New Roman" w:eastAsia="Times New Roman"/>
        </w:rPr>
        <w:t>3</w:t>
      </w:r>
      <w:r>
        <w:rPr/>
        <w:t>、基金管理人认为有充足理由更换会计师事务所，须通报基金托管人，并报中国证监会备案。更换会计师事务所需按照《信息披露办法》的有关规定在指定媒介公告。</w:t>
      </w:r>
    </w:p>
    <w:p>
      <w:pPr>
        <w:spacing w:after="0" w:line="417" w:lineRule="auto"/>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pPr>
      <w:bookmarkStart w:name="_TOC_250008" w:id="16"/>
      <w:bookmarkEnd w:id="16"/>
      <w:r>
        <w:rPr/>
        <w:t>十六、基金的信息披露</w:t>
      </w:r>
    </w:p>
    <w:p>
      <w:pPr>
        <w:pStyle w:val="BodyText"/>
        <w:spacing w:before="12"/>
        <w:rPr>
          <w:rFonts w:ascii="黑体"/>
          <w:b/>
          <w:sz w:val="41"/>
        </w:rPr>
      </w:pPr>
    </w:p>
    <w:p>
      <w:pPr>
        <w:pStyle w:val="Heading4"/>
        <w:spacing w:line="417" w:lineRule="auto"/>
        <w:ind w:right="902"/>
      </w:pPr>
      <w:r>
        <w:rPr>
          <w:spacing w:val="-26"/>
        </w:rPr>
        <w:t>一、本基金的信息披露应符合《基金法》、《运作办法》、《信息披露办法》、《基金合同》及其他有关规定。</w:t>
      </w:r>
    </w:p>
    <w:p>
      <w:pPr>
        <w:pStyle w:val="BodyText"/>
        <w:rPr>
          <w:b/>
          <w:sz w:val="20"/>
        </w:rPr>
      </w:pPr>
    </w:p>
    <w:p>
      <w:pPr>
        <w:pStyle w:val="BodyText"/>
        <w:spacing w:before="6"/>
        <w:rPr>
          <w:b/>
          <w:sz w:val="16"/>
        </w:rPr>
      </w:pPr>
    </w:p>
    <w:p>
      <w:pPr>
        <w:pStyle w:val="Heading4"/>
      </w:pPr>
      <w:r>
        <w:rPr/>
        <w:t>二、信息披露义务人</w:t>
      </w:r>
    </w:p>
    <w:p>
      <w:pPr>
        <w:pStyle w:val="BodyText"/>
        <w:spacing w:before="7"/>
        <w:rPr>
          <w:b/>
          <w:sz w:val="15"/>
        </w:rPr>
      </w:pPr>
    </w:p>
    <w:p>
      <w:pPr>
        <w:pStyle w:val="BodyText"/>
        <w:spacing w:line="417" w:lineRule="auto" w:before="1"/>
        <w:ind w:left="840" w:right="891" w:firstLine="419"/>
      </w:pPr>
      <w:r>
        <w:rPr>
          <w:spacing w:val="-8"/>
        </w:rPr>
        <w:t>本基金信息披露义务人包括基金管理人、基金托管人、召集基金份额持有人大会的基金</w:t>
      </w:r>
      <w:r>
        <w:rPr>
          <w:spacing w:val="-5"/>
        </w:rPr>
        <w:t>份额持有人等法律法规和中国证监会规定的自然人、法人和非法人组织。</w:t>
      </w:r>
    </w:p>
    <w:p>
      <w:pPr>
        <w:pStyle w:val="BodyText"/>
        <w:spacing w:line="417" w:lineRule="auto"/>
        <w:ind w:left="840" w:right="891" w:firstLine="419"/>
        <w:jc w:val="both"/>
      </w:pPr>
      <w:r>
        <w:rPr>
          <w:spacing w:val="-7"/>
        </w:rPr>
        <w:t>本基金信息披露义务人以保护基金份额持有人利益为根本出发点，按照法律法规和中国</w:t>
      </w:r>
      <w:r>
        <w:rPr>
          <w:spacing w:val="-11"/>
        </w:rPr>
        <w:t>证监会的规定披露基金信息，并保证所披露信息的真实性、准确性、完整性、及时性、简明</w:t>
      </w:r>
      <w:r>
        <w:rPr>
          <w:spacing w:val="-6"/>
        </w:rPr>
        <w:t>性和易得性。</w:t>
      </w:r>
    </w:p>
    <w:p>
      <w:pPr>
        <w:pStyle w:val="BodyText"/>
        <w:spacing w:line="417" w:lineRule="auto"/>
        <w:ind w:left="840" w:right="891" w:firstLine="419"/>
        <w:jc w:val="both"/>
      </w:pPr>
      <w:r>
        <w:rPr>
          <w:spacing w:val="-7"/>
        </w:rPr>
        <w:t>本基金信息披露义务人应当在中国证监会规定时间内，将应予披露的基金信息通过中国</w:t>
      </w:r>
      <w:r>
        <w:rPr>
          <w:spacing w:val="-4"/>
          <w:w w:val="100"/>
        </w:rPr>
        <w:t>证监会指定的全国性报刊</w:t>
      </w:r>
      <w:r>
        <w:rPr>
          <w:w w:val="100"/>
        </w:rPr>
        <w:t>（</w:t>
      </w:r>
      <w:r>
        <w:rPr>
          <w:spacing w:val="-14"/>
          <w:w w:val="100"/>
        </w:rPr>
        <w:t>以下简称“指定报刊”</w:t>
      </w:r>
      <w:r>
        <w:rPr>
          <w:spacing w:val="-3"/>
          <w:w w:val="100"/>
        </w:rPr>
        <w:t>）</w:t>
      </w:r>
      <w:r>
        <w:rPr>
          <w:spacing w:val="-2"/>
          <w:w w:val="100"/>
        </w:rPr>
        <w:t>及指定互联网网站</w:t>
      </w:r>
      <w:r>
        <w:rPr>
          <w:spacing w:val="-3"/>
          <w:w w:val="100"/>
        </w:rPr>
        <w:t>（以下简称“指定网</w:t>
      </w:r>
      <w:r>
        <w:rPr>
          <w:spacing w:val="-9"/>
        </w:rPr>
        <w:t>站”</w:t>
      </w:r>
      <w:r>
        <w:rPr>
          <w:spacing w:val="-14"/>
        </w:rPr>
        <w:t>）</w:t>
      </w:r>
      <w:r>
        <w:rPr>
          <w:spacing w:val="-9"/>
        </w:rPr>
        <w:t>等媒介披露，并保证基金投资者能够按照《基金合同》约定的时间和方式查阅或者复</w:t>
      </w:r>
      <w:r>
        <w:rPr>
          <w:spacing w:val="-5"/>
        </w:rPr>
        <w:t>制公开披露的信息资料。</w:t>
      </w:r>
    </w:p>
    <w:p>
      <w:pPr>
        <w:pStyle w:val="BodyText"/>
        <w:rPr>
          <w:sz w:val="20"/>
        </w:rPr>
      </w:pPr>
    </w:p>
    <w:p>
      <w:pPr>
        <w:pStyle w:val="BodyText"/>
        <w:spacing w:before="5"/>
        <w:rPr>
          <w:sz w:val="16"/>
        </w:rPr>
      </w:pPr>
    </w:p>
    <w:p>
      <w:pPr>
        <w:pStyle w:val="Heading4"/>
      </w:pPr>
      <w:r>
        <w:rPr/>
        <w:t>三、本基金信息披露义务人承诺公开披露的基金信息，不得有下列行为：</w:t>
      </w:r>
    </w:p>
    <w:p>
      <w:pPr>
        <w:pStyle w:val="BodyText"/>
        <w:spacing w:before="7"/>
        <w:rPr>
          <w:b/>
          <w:sz w:val="15"/>
        </w:rPr>
      </w:pPr>
    </w:p>
    <w:p>
      <w:pPr>
        <w:pStyle w:val="BodyText"/>
        <w:ind w:left="1260"/>
      </w:pPr>
      <w:r>
        <w:rPr>
          <w:rFonts w:ascii="Times New Roman" w:eastAsia="Times New Roman"/>
        </w:rPr>
        <w:t>1</w:t>
      </w:r>
      <w:r>
        <w:rPr/>
        <w:t>、虚假记载、误导性陈述或者重大遗漏；</w:t>
      </w:r>
    </w:p>
    <w:p>
      <w:pPr>
        <w:pStyle w:val="BodyText"/>
        <w:spacing w:before="7"/>
        <w:rPr>
          <w:sz w:val="15"/>
        </w:rPr>
      </w:pPr>
    </w:p>
    <w:p>
      <w:pPr>
        <w:pStyle w:val="BodyText"/>
        <w:ind w:left="1260"/>
      </w:pPr>
      <w:r>
        <w:rPr>
          <w:rFonts w:ascii="Times New Roman" w:eastAsia="Times New Roman"/>
        </w:rPr>
        <w:t>2</w:t>
      </w:r>
      <w:r>
        <w:rPr/>
        <w:t>、对证券投资业绩进行预测；</w:t>
      </w:r>
    </w:p>
    <w:p>
      <w:pPr>
        <w:pStyle w:val="BodyText"/>
        <w:spacing w:before="6"/>
        <w:rPr>
          <w:sz w:val="15"/>
        </w:rPr>
      </w:pPr>
    </w:p>
    <w:p>
      <w:pPr>
        <w:pStyle w:val="BodyText"/>
        <w:spacing w:before="1"/>
        <w:ind w:left="1260"/>
      </w:pPr>
      <w:r>
        <w:rPr>
          <w:rFonts w:ascii="Times New Roman" w:eastAsia="Times New Roman"/>
        </w:rPr>
        <w:t>3</w:t>
      </w:r>
      <w:r>
        <w:rPr/>
        <w:t>、违规承诺收益或者承担损失；</w:t>
      </w:r>
    </w:p>
    <w:p>
      <w:pPr>
        <w:pStyle w:val="BodyText"/>
        <w:spacing w:before="7"/>
        <w:rPr>
          <w:sz w:val="15"/>
        </w:rPr>
      </w:pPr>
    </w:p>
    <w:p>
      <w:pPr>
        <w:pStyle w:val="BodyText"/>
        <w:ind w:left="1260"/>
      </w:pPr>
      <w:r>
        <w:rPr>
          <w:rFonts w:ascii="Times New Roman" w:eastAsia="Times New Roman"/>
        </w:rPr>
        <w:t>4</w:t>
      </w:r>
      <w:r>
        <w:rPr/>
        <w:t>、诋毁其他基金管理人、基金托管人或者基金销售机构；</w:t>
      </w:r>
    </w:p>
    <w:p>
      <w:pPr>
        <w:pStyle w:val="BodyText"/>
        <w:spacing w:before="6"/>
        <w:rPr>
          <w:sz w:val="15"/>
        </w:rPr>
      </w:pPr>
    </w:p>
    <w:p>
      <w:pPr>
        <w:pStyle w:val="BodyText"/>
        <w:spacing w:before="1"/>
        <w:ind w:left="1260"/>
      </w:pPr>
      <w:r>
        <w:rPr>
          <w:rFonts w:ascii="Times New Roman" w:eastAsia="Times New Roman"/>
        </w:rPr>
        <w:t>5</w:t>
      </w:r>
      <w:r>
        <w:rPr/>
        <w:t>、登载任何自然人、法人和非法人组织的祝贺性、恭维性或推荐性的文字；</w:t>
      </w:r>
    </w:p>
    <w:p>
      <w:pPr>
        <w:pStyle w:val="BodyText"/>
        <w:spacing w:before="6"/>
        <w:rPr>
          <w:sz w:val="15"/>
        </w:rPr>
      </w:pPr>
    </w:p>
    <w:p>
      <w:pPr>
        <w:pStyle w:val="BodyText"/>
        <w:ind w:left="1260"/>
      </w:pPr>
      <w:r>
        <w:rPr>
          <w:rFonts w:ascii="Times New Roman" w:eastAsia="Times New Roman"/>
        </w:rPr>
        <w:t>6</w:t>
      </w:r>
      <w:r>
        <w:rPr/>
        <w:t>、中国证监会禁止的其他行为。</w:t>
      </w:r>
    </w:p>
    <w:p>
      <w:pPr>
        <w:pStyle w:val="BodyText"/>
        <w:rPr>
          <w:sz w:val="22"/>
        </w:rPr>
      </w:pPr>
    </w:p>
    <w:p>
      <w:pPr>
        <w:pStyle w:val="BodyText"/>
        <w:spacing w:before="1"/>
        <w:rPr>
          <w:sz w:val="30"/>
        </w:rPr>
      </w:pPr>
    </w:p>
    <w:p>
      <w:pPr>
        <w:pStyle w:val="Heading4"/>
        <w:spacing w:line="417" w:lineRule="auto"/>
        <w:ind w:right="905"/>
      </w:pPr>
      <w:r>
        <w:rPr/>
        <w:t>四、本基金公开披露的信息应采用中文文本。如同时采用外文文本的，基金信息披露义务人应保证不同文本的内容一致。不同文本之间发生歧义的，以中文文本为准。</w:t>
      </w:r>
    </w:p>
    <w:p>
      <w:pPr>
        <w:pStyle w:val="BodyText"/>
        <w:spacing w:line="269" w:lineRule="exact"/>
        <w:ind w:left="1260"/>
      </w:pPr>
      <w:r>
        <w:rPr/>
        <w:t>本基金公开披露的信息采用阿拉伯数字；除特别说明外，货币单位为人民币元。</w:t>
      </w:r>
    </w:p>
    <w:p>
      <w:pPr>
        <w:pStyle w:val="BodyText"/>
        <w:rPr>
          <w:sz w:val="20"/>
        </w:rPr>
      </w:pPr>
    </w:p>
    <w:p>
      <w:pPr>
        <w:pStyle w:val="BodyText"/>
        <w:rPr>
          <w:sz w:val="20"/>
        </w:rPr>
      </w:pPr>
    </w:p>
    <w:p>
      <w:pPr>
        <w:pStyle w:val="Heading4"/>
        <w:spacing w:before="155"/>
      </w:pPr>
      <w:r>
        <w:rPr/>
        <w:t>五、公开披露的基金信息</w:t>
      </w:r>
    </w:p>
    <w:p>
      <w:pPr>
        <w:spacing w:after="0"/>
        <w:sectPr>
          <w:pgSz w:w="11910" w:h="16840"/>
          <w:pgMar w:header="877" w:footer="995" w:top="1100" w:bottom="1180" w:left="960" w:right="900"/>
        </w:sectPr>
      </w:pPr>
    </w:p>
    <w:p>
      <w:pPr>
        <w:pStyle w:val="BodyText"/>
        <w:spacing w:before="4"/>
        <w:rPr>
          <w:b/>
          <w:sz w:val="27"/>
        </w:rPr>
      </w:pPr>
    </w:p>
    <w:p>
      <w:pPr>
        <w:pStyle w:val="BodyText"/>
        <w:spacing w:before="71"/>
        <w:ind w:left="1260"/>
      </w:pPr>
      <w:r>
        <w:rPr/>
        <w:t>公开披露的基金信息包括：</w:t>
      </w:r>
    </w:p>
    <w:p>
      <w:pPr>
        <w:pStyle w:val="BodyText"/>
        <w:spacing w:before="7"/>
        <w:rPr>
          <w:sz w:val="15"/>
        </w:rPr>
      </w:pPr>
    </w:p>
    <w:p>
      <w:pPr>
        <w:pStyle w:val="ListParagraph"/>
        <w:numPr>
          <w:ilvl w:val="0"/>
          <w:numId w:val="37"/>
        </w:numPr>
        <w:tabs>
          <w:tab w:pos="1370" w:val="left" w:leader="none"/>
        </w:tabs>
        <w:spacing w:line="240" w:lineRule="auto" w:before="0" w:after="0"/>
        <w:ind w:left="1369" w:right="0" w:hanging="530"/>
        <w:jc w:val="left"/>
        <w:rPr>
          <w:sz w:val="21"/>
        </w:rPr>
      </w:pPr>
      <w:r>
        <w:rPr>
          <w:spacing w:val="-3"/>
          <w:sz w:val="21"/>
        </w:rPr>
        <w:t>基金招募说明书、基金合同、基金托管协议、基金产品资料概要</w:t>
      </w:r>
    </w:p>
    <w:p>
      <w:pPr>
        <w:pStyle w:val="BodyText"/>
        <w:spacing w:before="7"/>
        <w:rPr>
          <w:sz w:val="15"/>
        </w:rPr>
      </w:pPr>
    </w:p>
    <w:p>
      <w:pPr>
        <w:pStyle w:val="BodyText"/>
        <w:spacing w:line="417" w:lineRule="auto"/>
        <w:ind w:left="840" w:right="790" w:firstLine="419"/>
      </w:pPr>
      <w:r>
        <w:rPr>
          <w:spacing w:val="-8"/>
        </w:rPr>
        <w:t>基金募集申请经中国证监会核准后，基金管理人在基金份额发售的 </w:t>
      </w:r>
      <w:r>
        <w:rPr>
          <w:rFonts w:ascii="Times New Roman" w:eastAsia="Times New Roman"/>
        </w:rPr>
        <w:t>3 </w:t>
      </w:r>
      <w:r>
        <w:rPr>
          <w:spacing w:val="-9"/>
        </w:rPr>
        <w:t>日前，将基金招募</w:t>
      </w:r>
      <w:r>
        <w:rPr>
          <w:spacing w:val="-17"/>
        </w:rPr>
        <w:t>说明书、基金合同摘要登载在指定报刊和网站上；基金管理人、基金托管人应当将基金合同、</w:t>
      </w:r>
      <w:r>
        <w:rPr>
          <w:spacing w:val="-7"/>
        </w:rPr>
        <w:t>基金托管协议登载在网站上。</w:t>
      </w:r>
    </w:p>
    <w:p>
      <w:pPr>
        <w:pStyle w:val="ListParagraph"/>
        <w:numPr>
          <w:ilvl w:val="1"/>
          <w:numId w:val="37"/>
        </w:numPr>
        <w:tabs>
          <w:tab w:pos="1579" w:val="left" w:leader="none"/>
        </w:tabs>
        <w:spacing w:line="417" w:lineRule="auto" w:before="0" w:after="0"/>
        <w:ind w:left="840" w:right="890" w:firstLine="419"/>
        <w:jc w:val="both"/>
        <w:rPr>
          <w:sz w:val="21"/>
        </w:rPr>
      </w:pPr>
      <w:r>
        <w:rPr>
          <w:spacing w:val="-3"/>
          <w:sz w:val="21"/>
        </w:rPr>
        <w:t>基金招募说明书应当最大限度地披露影响基金投资者决策的全部事项，说明基金认</w:t>
      </w:r>
      <w:r>
        <w:rPr>
          <w:spacing w:val="-11"/>
          <w:sz w:val="21"/>
        </w:rPr>
        <w:t>购、申购和赎回安排、基金投资、基金产品特性、风险揭示、信息披露及基金份额持有人服</w:t>
      </w:r>
      <w:r>
        <w:rPr>
          <w:spacing w:val="-12"/>
          <w:sz w:val="21"/>
        </w:rPr>
        <w:t>务等内容。本基金合同生效后，基金招募说明书的信息发生重大变更的，基金管理人应当在三个工作日内，更新基金招募说明书并登载在指定网站上；基金招募说明书其他信息发生变</w:t>
      </w:r>
      <w:r>
        <w:rPr>
          <w:spacing w:val="-11"/>
          <w:sz w:val="21"/>
        </w:rPr>
        <w:t>更的，基金管理人至少每年更新一次。基金终止运作的，基金管理人不再更新基金招募说明书。</w:t>
      </w:r>
    </w:p>
    <w:p>
      <w:pPr>
        <w:pStyle w:val="ListParagraph"/>
        <w:numPr>
          <w:ilvl w:val="1"/>
          <w:numId w:val="37"/>
        </w:numPr>
        <w:tabs>
          <w:tab w:pos="1579" w:val="left" w:leader="none"/>
        </w:tabs>
        <w:spacing w:line="417" w:lineRule="auto" w:before="0" w:after="0"/>
        <w:ind w:left="840" w:right="894" w:firstLine="419"/>
        <w:jc w:val="both"/>
        <w:rPr>
          <w:sz w:val="21"/>
        </w:rPr>
      </w:pPr>
      <w:r>
        <w:rPr>
          <w:spacing w:val="-3"/>
          <w:sz w:val="21"/>
        </w:rPr>
        <w:t>基金合同是界定基金合同当事人的各项权利、义务关系，明确基金份额持有人大会召开的规则及具体程序，说明基金产品的特性等涉及基金投资者重大利益的事项的法律文件。</w:t>
      </w:r>
    </w:p>
    <w:p>
      <w:pPr>
        <w:pStyle w:val="ListParagraph"/>
        <w:numPr>
          <w:ilvl w:val="1"/>
          <w:numId w:val="37"/>
        </w:numPr>
        <w:tabs>
          <w:tab w:pos="1579" w:val="left" w:leader="none"/>
        </w:tabs>
        <w:spacing w:line="417" w:lineRule="auto" w:before="0" w:after="0"/>
        <w:ind w:left="840" w:right="894" w:firstLine="419"/>
        <w:jc w:val="left"/>
        <w:rPr>
          <w:sz w:val="21"/>
        </w:rPr>
      </w:pPr>
      <w:r>
        <w:rPr>
          <w:spacing w:val="-3"/>
          <w:sz w:val="21"/>
        </w:rPr>
        <w:t>基金托管协议是界定基金托管人和基金管理人在基金财产保管及基金运作监督等活动中的权利、义务关系的法律文件。</w:t>
      </w:r>
    </w:p>
    <w:p>
      <w:pPr>
        <w:pStyle w:val="ListParagraph"/>
        <w:numPr>
          <w:ilvl w:val="1"/>
          <w:numId w:val="37"/>
        </w:numPr>
        <w:tabs>
          <w:tab w:pos="1579" w:val="left" w:leader="none"/>
        </w:tabs>
        <w:spacing w:line="417" w:lineRule="auto" w:before="0" w:after="0"/>
        <w:ind w:left="840" w:right="891" w:firstLine="419"/>
        <w:jc w:val="both"/>
        <w:rPr>
          <w:sz w:val="21"/>
        </w:rPr>
      </w:pPr>
      <w:r>
        <w:rPr>
          <w:spacing w:val="-3"/>
          <w:sz w:val="21"/>
        </w:rPr>
        <w:t>基金产品资料概要是基金招募说明书的摘要文件，用于向投资者提供简明的基金概</w:t>
      </w:r>
      <w:r>
        <w:rPr>
          <w:spacing w:val="-12"/>
          <w:sz w:val="21"/>
        </w:rPr>
        <w:t>要信息。《基金合同》生效后，基金产品资料概要的信息发生重大变更的，基金管理人应当在三个工作日内，更新基金产品资料概要，并登载在指定网站及基金销售机构网站或营业网</w:t>
      </w:r>
      <w:r>
        <w:rPr>
          <w:spacing w:val="-11"/>
          <w:sz w:val="21"/>
        </w:rPr>
        <w:t>点；基金产品资料概要其他信息发生变更的，基金管理人至少每年更新一次。基金终止运作</w:t>
      </w:r>
      <w:r>
        <w:rPr>
          <w:spacing w:val="-6"/>
          <w:sz w:val="21"/>
        </w:rPr>
        <w:t>的，基金管理人不再更新基金产品资料概要。</w:t>
      </w:r>
    </w:p>
    <w:p>
      <w:pPr>
        <w:pStyle w:val="ListParagraph"/>
        <w:numPr>
          <w:ilvl w:val="1"/>
          <w:numId w:val="37"/>
        </w:numPr>
        <w:tabs>
          <w:tab w:pos="1579" w:val="left" w:leader="none"/>
        </w:tabs>
        <w:spacing w:line="417" w:lineRule="auto" w:before="0" w:after="0"/>
        <w:ind w:left="840" w:right="891" w:firstLine="419"/>
        <w:jc w:val="both"/>
        <w:rPr>
          <w:sz w:val="21"/>
        </w:rPr>
      </w:pPr>
      <w:r>
        <w:rPr>
          <w:spacing w:val="-3"/>
          <w:sz w:val="21"/>
        </w:rPr>
        <w:t>基金募集申请经中国证监会注册后，基金管理人在基金份额发售的三日前，将基金</w:t>
      </w:r>
      <w:r>
        <w:rPr>
          <w:spacing w:val="-11"/>
          <w:sz w:val="21"/>
        </w:rPr>
        <w:t>份额发售公告、基金招募说明书提示性公告和基金合同提示性公告登载在指定报刊上，将基</w:t>
      </w:r>
      <w:r>
        <w:rPr>
          <w:spacing w:val="-10"/>
          <w:sz w:val="21"/>
        </w:rPr>
        <w:t>金份额发售公告、基金招募说明书、基金产品资料概要、《基金合同》和基金托管协议登载</w:t>
      </w:r>
      <w:r>
        <w:rPr>
          <w:spacing w:val="-12"/>
          <w:sz w:val="21"/>
        </w:rPr>
        <w:t>在指定网站上，并将基金产品资料概要登载在基金销售机构网站或营业网点；基金托管人应</w:t>
      </w:r>
      <w:r>
        <w:rPr>
          <w:spacing w:val="-6"/>
          <w:sz w:val="21"/>
        </w:rPr>
        <w:t>当同时将基金合同、基金托管协议登载在网站上。</w:t>
      </w:r>
    </w:p>
    <w:p>
      <w:pPr>
        <w:pStyle w:val="ListParagraph"/>
        <w:numPr>
          <w:ilvl w:val="0"/>
          <w:numId w:val="37"/>
        </w:numPr>
        <w:tabs>
          <w:tab w:pos="1370" w:val="left" w:leader="none"/>
        </w:tabs>
        <w:spacing w:line="268" w:lineRule="exact" w:before="0" w:after="0"/>
        <w:ind w:left="1369" w:right="0" w:hanging="530"/>
        <w:jc w:val="left"/>
        <w:rPr>
          <w:sz w:val="21"/>
        </w:rPr>
      </w:pPr>
      <w:r>
        <w:rPr>
          <w:spacing w:val="-3"/>
          <w:sz w:val="21"/>
        </w:rPr>
        <w:t>基金份额发售公告</w:t>
      </w:r>
    </w:p>
    <w:p>
      <w:pPr>
        <w:pStyle w:val="BodyText"/>
        <w:spacing w:line="417" w:lineRule="auto" w:before="197"/>
        <w:ind w:left="840" w:right="891" w:firstLine="419"/>
      </w:pPr>
      <w:r>
        <w:rPr>
          <w:spacing w:val="-7"/>
        </w:rPr>
        <w:t>基金管理人应当就基金份额发售的具体事宜编制基金份额发售公告，并在披露招募说明</w:t>
      </w:r>
      <w:r>
        <w:rPr>
          <w:spacing w:val="-5"/>
        </w:rPr>
        <w:t>书的当日登载于指定报刊和网站上。</w:t>
      </w:r>
    </w:p>
    <w:p>
      <w:pPr>
        <w:pStyle w:val="ListParagraph"/>
        <w:numPr>
          <w:ilvl w:val="0"/>
          <w:numId w:val="37"/>
        </w:numPr>
        <w:tabs>
          <w:tab w:pos="1370" w:val="left" w:leader="none"/>
        </w:tabs>
        <w:spacing w:line="240" w:lineRule="auto" w:before="0" w:after="0"/>
        <w:ind w:left="1369" w:right="0" w:hanging="530"/>
        <w:jc w:val="left"/>
        <w:rPr>
          <w:sz w:val="21"/>
        </w:rPr>
      </w:pPr>
      <w:r>
        <w:rPr>
          <w:spacing w:val="-3"/>
          <w:sz w:val="21"/>
        </w:rPr>
        <w:t>基金合同生效公告</w:t>
      </w:r>
    </w:p>
    <w:p>
      <w:pPr>
        <w:spacing w:after="0" w:line="240" w:lineRule="auto"/>
        <w:jc w:val="left"/>
        <w:rPr>
          <w:sz w:val="21"/>
        </w:rPr>
        <w:sectPr>
          <w:pgSz w:w="11910" w:h="16840"/>
          <w:pgMar w:header="877" w:footer="995" w:top="1100" w:bottom="1180" w:left="960" w:right="900"/>
        </w:sectPr>
      </w:pPr>
    </w:p>
    <w:p>
      <w:pPr>
        <w:pStyle w:val="BodyText"/>
        <w:spacing w:before="4"/>
        <w:rPr>
          <w:sz w:val="27"/>
        </w:rPr>
      </w:pPr>
    </w:p>
    <w:p>
      <w:pPr>
        <w:pStyle w:val="BodyText"/>
        <w:spacing w:before="71"/>
        <w:ind w:left="1260"/>
      </w:pPr>
      <w:r>
        <w:rPr/>
        <w:t>基金管理人应当在本基金合同生效的次日在指定报刊和网站上登载基金合同生效公告。</w:t>
      </w:r>
    </w:p>
    <w:p>
      <w:pPr>
        <w:pStyle w:val="BodyText"/>
        <w:spacing w:before="7"/>
        <w:rPr>
          <w:sz w:val="15"/>
        </w:rPr>
      </w:pPr>
    </w:p>
    <w:p>
      <w:pPr>
        <w:pStyle w:val="ListParagraph"/>
        <w:numPr>
          <w:ilvl w:val="0"/>
          <w:numId w:val="37"/>
        </w:numPr>
        <w:tabs>
          <w:tab w:pos="1370" w:val="left" w:leader="none"/>
        </w:tabs>
        <w:spacing w:line="240" w:lineRule="auto" w:before="0" w:after="0"/>
        <w:ind w:left="1369" w:right="0" w:hanging="530"/>
        <w:jc w:val="left"/>
        <w:rPr>
          <w:sz w:val="21"/>
        </w:rPr>
      </w:pPr>
      <w:r>
        <w:rPr>
          <w:spacing w:val="-3"/>
          <w:sz w:val="21"/>
        </w:rPr>
        <w:t>基金净值信息</w:t>
      </w:r>
    </w:p>
    <w:p>
      <w:pPr>
        <w:pStyle w:val="BodyText"/>
        <w:spacing w:before="7"/>
        <w:rPr>
          <w:sz w:val="15"/>
        </w:rPr>
      </w:pPr>
    </w:p>
    <w:p>
      <w:pPr>
        <w:pStyle w:val="BodyText"/>
        <w:spacing w:line="417" w:lineRule="auto"/>
        <w:ind w:left="840" w:right="891" w:firstLine="419"/>
      </w:pPr>
      <w:r>
        <w:rPr>
          <w:spacing w:val="-11"/>
        </w:rPr>
        <w:t>基金合同生效后，在开始办理基金份额申购或者赎回前，基金管理人应当至少每周在指</w:t>
      </w:r>
      <w:r>
        <w:rPr>
          <w:spacing w:val="-6"/>
        </w:rPr>
        <w:t>定网站披露一次基金份额净值和基金份额累计净值。</w:t>
      </w:r>
    </w:p>
    <w:p>
      <w:pPr>
        <w:pStyle w:val="BodyText"/>
        <w:spacing w:line="417" w:lineRule="auto"/>
        <w:ind w:left="840" w:right="891" w:firstLine="419"/>
        <w:jc w:val="both"/>
      </w:pPr>
      <w:r>
        <w:rPr>
          <w:spacing w:val="-8"/>
        </w:rPr>
        <w:t>在开始办理基金份额申购或者赎回后，基金管理人应当在不晚于每个开放日的次日，通</w:t>
      </w:r>
      <w:r>
        <w:rPr>
          <w:spacing w:val="-13"/>
        </w:rPr>
        <w:t>过指定网站、基金销售机构网站或者营业网点披露开放日的基金份额净值和基金份额累计净值。</w:t>
      </w:r>
    </w:p>
    <w:p>
      <w:pPr>
        <w:pStyle w:val="BodyText"/>
        <w:spacing w:line="417" w:lineRule="auto"/>
        <w:ind w:left="840" w:right="89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ListParagraph"/>
        <w:numPr>
          <w:ilvl w:val="0"/>
          <w:numId w:val="37"/>
        </w:numPr>
        <w:tabs>
          <w:tab w:pos="1370" w:val="left" w:leader="none"/>
        </w:tabs>
        <w:spacing w:line="269" w:lineRule="exact" w:before="0" w:after="0"/>
        <w:ind w:left="1369" w:right="0" w:hanging="530"/>
        <w:jc w:val="left"/>
        <w:rPr>
          <w:sz w:val="21"/>
        </w:rPr>
      </w:pPr>
      <w:r>
        <w:rPr>
          <w:spacing w:val="-3"/>
          <w:sz w:val="21"/>
        </w:rPr>
        <w:t>基金份额申购、赎回价格</w:t>
      </w:r>
    </w:p>
    <w:p>
      <w:pPr>
        <w:pStyle w:val="BodyText"/>
        <w:spacing w:before="6"/>
        <w:rPr>
          <w:sz w:val="15"/>
        </w:rPr>
      </w:pPr>
    </w:p>
    <w:p>
      <w:pPr>
        <w:pStyle w:val="BodyText"/>
        <w:spacing w:line="417" w:lineRule="auto"/>
        <w:ind w:left="840" w:right="891" w:firstLine="419"/>
        <w:jc w:val="both"/>
      </w:pPr>
      <w:r>
        <w:rPr>
          <w:spacing w:val="-9"/>
        </w:rPr>
        <w:t>基金管理人应当在基金合同、招募说明书等信息披露文件上载明基金份额申购、赎回价</w:t>
      </w:r>
      <w:r>
        <w:rPr>
          <w:spacing w:val="-12"/>
        </w:rPr>
        <w:t>格的计算方式及有关申购、赎回费率，并保证投资人能够在基金销售机构网站或营业网点查</w:t>
      </w:r>
      <w:r>
        <w:rPr>
          <w:spacing w:val="-6"/>
        </w:rPr>
        <w:t>阅或者复制前述信息资料。</w:t>
      </w:r>
    </w:p>
    <w:p>
      <w:pPr>
        <w:pStyle w:val="ListParagraph"/>
        <w:numPr>
          <w:ilvl w:val="0"/>
          <w:numId w:val="37"/>
        </w:numPr>
        <w:tabs>
          <w:tab w:pos="1370" w:val="left" w:leader="none"/>
        </w:tabs>
        <w:spacing w:line="269" w:lineRule="exact" w:before="0" w:after="0"/>
        <w:ind w:left="1369" w:right="0" w:hanging="530"/>
        <w:jc w:val="left"/>
        <w:rPr>
          <w:sz w:val="21"/>
        </w:rPr>
      </w:pPr>
      <w:r>
        <w:rPr>
          <w:spacing w:val="-3"/>
          <w:sz w:val="21"/>
        </w:rPr>
        <w:t>基金定期报告，包括基金年度报告、基金中期报告和基金季度报告</w:t>
      </w:r>
    </w:p>
    <w:p>
      <w:pPr>
        <w:pStyle w:val="BodyText"/>
        <w:spacing w:before="7"/>
        <w:rPr>
          <w:sz w:val="15"/>
        </w:rPr>
      </w:pPr>
    </w:p>
    <w:p>
      <w:pPr>
        <w:pStyle w:val="BodyText"/>
        <w:spacing w:line="417" w:lineRule="auto" w:before="1"/>
        <w:ind w:left="840" w:right="891" w:firstLine="419"/>
        <w:jc w:val="both"/>
      </w:pPr>
      <w:r>
        <w:rPr>
          <w:spacing w:val="-8"/>
        </w:rPr>
        <w:t>基金管理人应当在每年结束之日起三个月内，编制完成基金年度报告，将年度报告登载</w:t>
      </w:r>
      <w:r>
        <w:rPr>
          <w:spacing w:val="-12"/>
        </w:rPr>
        <w:t>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840" w:right="891" w:firstLine="419"/>
      </w:pPr>
      <w:r>
        <w:rPr>
          <w:spacing w:val="-8"/>
        </w:rPr>
        <w:t>基金管理人应当在上半年结束之日起两个月内，编制完成基金中期报告，将中期报告登</w:t>
      </w:r>
      <w:r>
        <w:rPr>
          <w:spacing w:val="-5"/>
        </w:rPr>
        <w:t>载在指定网站上，并将中期报告提示性公告登载在指定报刊上。</w:t>
      </w:r>
    </w:p>
    <w:p>
      <w:pPr>
        <w:pStyle w:val="BodyText"/>
        <w:spacing w:line="417" w:lineRule="auto"/>
        <w:ind w:left="840" w:right="837" w:firstLine="419"/>
      </w:pPr>
      <w:r>
        <w:rPr/>
        <w:t>基金管理人应当在季度结束之日起 </w:t>
      </w:r>
      <w:r>
        <w:rPr>
          <w:rFonts w:ascii="Times New Roman" w:eastAsia="Times New Roman"/>
        </w:rPr>
        <w:t>15 </w:t>
      </w:r>
      <w:r>
        <w:rPr/>
        <w:t>个工作日内，编制完成基金季度报告，将季度报告登载在指定网站上，并将季度报告提示性公告登载在指定报刊上。</w:t>
      </w:r>
    </w:p>
    <w:p>
      <w:pPr>
        <w:pStyle w:val="BodyText"/>
        <w:spacing w:line="417" w:lineRule="auto"/>
        <w:ind w:left="840" w:right="891" w:firstLine="419"/>
      </w:pPr>
      <w:r>
        <w:rPr>
          <w:spacing w:val="-7"/>
        </w:rPr>
        <w:t>基金合同生效不足 </w:t>
      </w:r>
      <w:r>
        <w:rPr>
          <w:rFonts w:ascii="Times New Roman" w:eastAsia="Times New Roman"/>
        </w:rPr>
        <w:t>2 </w:t>
      </w:r>
      <w:r>
        <w:rPr>
          <w:spacing w:val="-10"/>
        </w:rPr>
        <w:t>个月的，基金管理人可以不编制当期季度报告、中期报告或者年度报告。</w:t>
      </w:r>
    </w:p>
    <w:p>
      <w:pPr>
        <w:pStyle w:val="BodyText"/>
        <w:spacing w:line="417" w:lineRule="auto"/>
        <w:ind w:left="840" w:right="894" w:firstLine="419"/>
      </w:pPr>
      <w:r>
        <w:rPr/>
        <w:t>基金管理人应当在基金年度报告和中期报告中披露基金组合资产情况及其流动性风险分析等。</w:t>
      </w:r>
    </w:p>
    <w:p>
      <w:pPr>
        <w:pStyle w:val="BodyText"/>
        <w:spacing w:line="417" w:lineRule="auto"/>
        <w:ind w:left="840" w:right="891" w:firstLine="419"/>
        <w:jc w:val="both"/>
      </w:pPr>
      <w:r>
        <w:rPr>
          <w:spacing w:val="1"/>
        </w:rPr>
        <w:t>报告期内出现单一投资者持有基金份额比例达到或超过基金总份额 </w:t>
      </w:r>
      <w:r>
        <w:rPr>
          <w:rFonts w:ascii="Times New Roman" w:hAnsi="Times New Roman" w:eastAsia="Times New Roman"/>
        </w:rPr>
        <w:t>20%</w:t>
      </w:r>
      <w:r>
        <w:rPr>
          <w:spacing w:val="-3"/>
        </w:rPr>
        <w:t>的情形，为保</w:t>
      </w:r>
      <w:r>
        <w:rPr>
          <w:spacing w:val="-10"/>
        </w:rPr>
        <w:t>障其他投资者的权益，基金管理人至少应当在基金定期报告文件中“影响投资者决策的其他</w:t>
      </w:r>
      <w:r>
        <w:rPr>
          <w:spacing w:val="-12"/>
        </w:rPr>
        <w:t>重要信息”项下披露该投资者的类别、报告期末持有份额及占比、报告期内持有份额变化情</w:t>
      </w:r>
      <w:r>
        <w:rPr>
          <w:spacing w:val="-6"/>
        </w:rPr>
        <w:t>况及本基金的特有风险，中国证监会认定的特殊情形除外。</w:t>
      </w:r>
    </w:p>
    <w:p>
      <w:pPr>
        <w:pStyle w:val="ListParagraph"/>
        <w:numPr>
          <w:ilvl w:val="0"/>
          <w:numId w:val="37"/>
        </w:numPr>
        <w:tabs>
          <w:tab w:pos="1370" w:val="left" w:leader="none"/>
        </w:tabs>
        <w:spacing w:line="269" w:lineRule="exact" w:before="0" w:after="0"/>
        <w:ind w:left="1369" w:right="0" w:hanging="530"/>
        <w:jc w:val="left"/>
        <w:rPr>
          <w:sz w:val="21"/>
        </w:rPr>
      </w:pPr>
      <w:r>
        <w:rPr>
          <w:spacing w:val="-2"/>
          <w:sz w:val="21"/>
        </w:rPr>
        <w:t>临时报告</w:t>
      </w:r>
    </w:p>
    <w:p>
      <w:pPr>
        <w:spacing w:after="0" w:line="269" w:lineRule="exact"/>
        <w:jc w:val="left"/>
        <w:rPr>
          <w:sz w:val="21"/>
        </w:rPr>
        <w:sectPr>
          <w:footerReference w:type="default" r:id="rId169"/>
          <w:pgSz w:w="11910" w:h="16840"/>
          <w:pgMar w:footer="995" w:header="877" w:top="1100" w:bottom="1180" w:left="960" w:right="900"/>
          <w:pgNumType w:start="120"/>
        </w:sectPr>
      </w:pPr>
    </w:p>
    <w:p>
      <w:pPr>
        <w:pStyle w:val="BodyText"/>
        <w:spacing w:before="10"/>
        <w:rPr>
          <w:sz w:val="26"/>
        </w:rPr>
      </w:pPr>
    </w:p>
    <w:p>
      <w:pPr>
        <w:pStyle w:val="BodyText"/>
        <w:spacing w:line="417" w:lineRule="auto" w:before="78"/>
        <w:ind w:left="840" w:right="89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269" w:lineRule="exact"/>
        <w:ind w:left="1260"/>
      </w:pPr>
      <w:r>
        <w:rPr/>
        <w:t>前款所称重大事件，是指可能对基金份额持有人权益或者基金份额的价格产生重大影响</w:t>
      </w:r>
    </w:p>
    <w:p>
      <w:pPr>
        <w:pStyle w:val="BodyText"/>
        <w:spacing w:before="7"/>
        <w:rPr>
          <w:sz w:val="15"/>
        </w:rPr>
      </w:pPr>
    </w:p>
    <w:p>
      <w:pPr>
        <w:pStyle w:val="BodyText"/>
        <w:ind w:left="840"/>
      </w:pPr>
      <w:r>
        <w:rPr/>
        <w:t>的下列事件：</w:t>
      </w:r>
    </w:p>
    <w:p>
      <w:pPr>
        <w:pStyle w:val="BodyText"/>
        <w:spacing w:before="100"/>
        <w:ind w:left="1260"/>
      </w:pPr>
      <w:r>
        <w:rPr/>
        <w:t>1、基金份额持有人大会的召开及决定的事项；</w:t>
      </w:r>
    </w:p>
    <w:p>
      <w:pPr>
        <w:pStyle w:val="BodyText"/>
        <w:spacing w:before="139"/>
        <w:ind w:left="1260"/>
      </w:pPr>
      <w:r>
        <w:rPr/>
        <w:t>2、基金合同终止、基金清算；</w:t>
      </w:r>
    </w:p>
    <w:p>
      <w:pPr>
        <w:pStyle w:val="BodyText"/>
        <w:spacing w:before="139"/>
        <w:ind w:left="1260"/>
      </w:pPr>
      <w:r>
        <w:rPr/>
        <w:t>3、转换基金运作方式、基金合并；</w:t>
      </w:r>
    </w:p>
    <w:p>
      <w:pPr>
        <w:pStyle w:val="BodyText"/>
        <w:spacing w:before="142"/>
        <w:ind w:left="1260"/>
      </w:pPr>
      <w:r>
        <w:rPr/>
        <w:t>4、更换基金管理人、基金托管人、基金份额登记机构，基金改聘会计师事务所；</w:t>
      </w:r>
    </w:p>
    <w:p>
      <w:pPr>
        <w:pStyle w:val="BodyText"/>
        <w:spacing w:line="364" w:lineRule="auto" w:before="139"/>
        <w:ind w:left="840" w:right="894" w:firstLine="419"/>
      </w:pPr>
      <w:r>
        <w:rPr/>
        <w:t>5、基金管理人委托基金服务机构代为办理基金的份额登记、核算、估值等事项，基金托管人委托基金服务机构代为办理基金的核算、估值、复核等事项；</w:t>
      </w:r>
    </w:p>
    <w:p>
      <w:pPr>
        <w:pStyle w:val="BodyText"/>
        <w:spacing w:line="267" w:lineRule="exact"/>
        <w:ind w:left="1260"/>
      </w:pPr>
      <w:r>
        <w:rPr/>
        <w:t>6、基金管理人、基金托管人的法定名称、住所发生变更；</w:t>
      </w:r>
    </w:p>
    <w:p>
      <w:pPr>
        <w:pStyle w:val="BodyText"/>
        <w:spacing w:before="139"/>
        <w:ind w:left="1260"/>
      </w:pPr>
      <w:r>
        <w:rPr/>
        <w:t>7、基金管理人变更持有百分之五以上股权的股东、基金管理人的实际控制人变更；</w:t>
      </w:r>
    </w:p>
    <w:p>
      <w:pPr>
        <w:pStyle w:val="BodyText"/>
        <w:spacing w:before="141"/>
        <w:ind w:left="1260"/>
      </w:pPr>
      <w:r>
        <w:rPr/>
        <w:t>8、基金募集期延长；</w:t>
      </w:r>
    </w:p>
    <w:p>
      <w:pPr>
        <w:pStyle w:val="BodyText"/>
        <w:spacing w:line="364" w:lineRule="auto" w:before="139"/>
        <w:ind w:left="840" w:right="894" w:firstLine="419"/>
      </w:pPr>
      <w:r>
        <w:rPr/>
        <w:t>9、基金管理人的高级管理人员、基金经理和基金托管人专门基金托管部门负责人发生变动；</w:t>
      </w:r>
    </w:p>
    <w:p>
      <w:pPr>
        <w:pStyle w:val="BodyText"/>
        <w:spacing w:line="267" w:lineRule="exact"/>
        <w:ind w:left="1260"/>
      </w:pPr>
      <w:r>
        <w:rPr/>
        <w:t>10、基金管理人的董事在最近 12 个月内变更超过百分之五十，基金管理人、基金托管</w:t>
      </w:r>
    </w:p>
    <w:p>
      <w:pPr>
        <w:pStyle w:val="BodyText"/>
        <w:spacing w:line="364" w:lineRule="auto" w:before="142"/>
        <w:ind w:left="1260" w:right="2108" w:hanging="420"/>
      </w:pPr>
      <w:r>
        <w:rPr>
          <w:spacing w:val="-5"/>
        </w:rPr>
        <w:t>人专门基金托管部门的主要业务人员在最近 </w:t>
      </w:r>
      <w:r>
        <w:rPr/>
        <w:t>12</w:t>
      </w:r>
      <w:r>
        <w:rPr>
          <w:spacing w:val="-8"/>
        </w:rPr>
        <w:t> 个月内变动超过百分之三十； 11</w:t>
      </w:r>
      <w:r>
        <w:rPr>
          <w:spacing w:val="-4"/>
        </w:rPr>
        <w:t>、涉及基金管理业务、基金财产、基金托管业务的诉讼或仲裁；</w:t>
      </w:r>
    </w:p>
    <w:p>
      <w:pPr>
        <w:pStyle w:val="BodyText"/>
        <w:spacing w:line="364" w:lineRule="auto"/>
        <w:ind w:left="840" w:right="891" w:firstLine="419"/>
        <w:jc w:val="both"/>
      </w:pPr>
      <w:r>
        <w:rPr/>
        <w:t>12</w:t>
      </w:r>
      <w:r>
        <w:rPr>
          <w:spacing w:val="-12"/>
        </w:rPr>
        <w:t>、基金管理人或其高级管理人员、基金经理因基金管理业务相关行为受到重大行政处</w:t>
      </w:r>
      <w:r>
        <w:rPr>
          <w:spacing w:val="-13"/>
        </w:rPr>
        <w:t>罚、刑事处罚，基金托管人或其专门基金托管部门负责人因基金托管业务相关行为受到重大</w:t>
      </w:r>
      <w:r>
        <w:rPr>
          <w:spacing w:val="-6"/>
        </w:rPr>
        <w:t>行政处罚、刑事处罚；</w:t>
      </w:r>
    </w:p>
    <w:p>
      <w:pPr>
        <w:pStyle w:val="BodyText"/>
        <w:spacing w:line="364" w:lineRule="auto"/>
        <w:ind w:left="840" w:right="891" w:firstLine="419"/>
        <w:jc w:val="both"/>
      </w:pPr>
      <w:r>
        <w:rPr/>
        <w:t>13</w:t>
      </w:r>
      <w:r>
        <w:rPr>
          <w:spacing w:val="-10"/>
        </w:rPr>
        <w:t>、基金管理人运用基金财产买卖基金管理人、基金托管人及其控股股东、实际控制人</w:t>
      </w:r>
      <w:r>
        <w:rPr>
          <w:spacing w:val="-8"/>
        </w:rPr>
        <w:t>或者与其有重大利害关系的公司发行的证券或者承销期内承销的证券，或者从事其他重大关</w:t>
      </w:r>
      <w:r>
        <w:rPr>
          <w:spacing w:val="-5"/>
        </w:rPr>
        <w:t>联交易事项，中国证监会另有规定的情形除外；</w:t>
      </w:r>
    </w:p>
    <w:p>
      <w:pPr>
        <w:pStyle w:val="BodyText"/>
        <w:spacing w:line="267" w:lineRule="exact"/>
        <w:ind w:left="1260"/>
      </w:pPr>
      <w:r>
        <w:rPr/>
        <w:t>14、基金收益分配事项；</w:t>
      </w:r>
    </w:p>
    <w:p>
      <w:pPr>
        <w:pStyle w:val="BodyText"/>
        <w:spacing w:before="139"/>
        <w:ind w:left="1260"/>
      </w:pPr>
      <w:r>
        <w:rPr/>
        <w:t>15、管理费、托管费、申购费、赎回费等费用计提标准、计提方式和费率发生变更；</w:t>
      </w:r>
    </w:p>
    <w:p>
      <w:pPr>
        <w:pStyle w:val="BodyText"/>
        <w:spacing w:before="139"/>
        <w:ind w:left="1260"/>
      </w:pPr>
      <w:r>
        <w:rPr/>
        <w:t>16、基金份额净值计价错误达基金份额净值百分之零点五；</w:t>
      </w:r>
    </w:p>
    <w:p>
      <w:pPr>
        <w:pStyle w:val="BodyText"/>
        <w:spacing w:before="139"/>
        <w:ind w:left="1260"/>
      </w:pPr>
      <w:r>
        <w:rPr/>
        <w:t>17、本基金开始办理申购、赎回；</w:t>
      </w:r>
    </w:p>
    <w:p>
      <w:pPr>
        <w:pStyle w:val="BodyText"/>
        <w:spacing w:before="139"/>
        <w:ind w:left="1260"/>
      </w:pPr>
      <w:r>
        <w:rPr/>
        <w:t>18、本基金发生巨额赎回并延期办理；</w:t>
      </w:r>
    </w:p>
    <w:p>
      <w:pPr>
        <w:pStyle w:val="BodyText"/>
        <w:spacing w:before="139"/>
        <w:ind w:left="1260"/>
      </w:pPr>
      <w:r>
        <w:rPr/>
        <w:t>19、本基金连续发生巨额赎回并暂停接受赎回申请或延缓支付赎回款项；</w:t>
      </w:r>
    </w:p>
    <w:p>
      <w:pPr>
        <w:pStyle w:val="BodyText"/>
        <w:spacing w:before="141"/>
        <w:ind w:left="1260"/>
      </w:pPr>
      <w:r>
        <w:rPr/>
        <w:t>20、本基金暂停接受申购、赎回申请或重新接受申购、赎回申请；</w:t>
      </w:r>
    </w:p>
    <w:p>
      <w:pPr>
        <w:pStyle w:val="BodyText"/>
        <w:spacing w:before="139"/>
        <w:ind w:left="1260"/>
      </w:pPr>
      <w:r>
        <w:rPr/>
        <w:t>21、发生涉及基金申购、赎回事项调整或潜在影响投资者赎回等重大事项时；</w:t>
      </w:r>
    </w:p>
    <w:p>
      <w:pPr>
        <w:pStyle w:val="BodyText"/>
        <w:spacing w:before="139"/>
        <w:ind w:left="1260"/>
      </w:pPr>
      <w:r>
        <w:rPr/>
        <w:t>22、基金管理人采用摆动定价机制进行估值；</w:t>
      </w:r>
    </w:p>
    <w:p>
      <w:pPr>
        <w:spacing w:after="0"/>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firstLine="419"/>
      </w:pPr>
      <w:r>
        <w:rPr/>
        <w:t>23</w:t>
      </w:r>
      <w:r>
        <w:rPr>
          <w:spacing w:val="-12"/>
        </w:rPr>
        <w:t>、基金信息披露义务人认为可能对基金份额持有人权益或者基金份额的价格产生重大</w:t>
      </w:r>
      <w:r>
        <w:rPr>
          <w:spacing w:val="-6"/>
        </w:rPr>
        <w:t>影响的其他事项或中国证监会规定的其他事项。</w:t>
      </w:r>
    </w:p>
    <w:p>
      <w:pPr>
        <w:pStyle w:val="ListParagraph"/>
        <w:numPr>
          <w:ilvl w:val="0"/>
          <w:numId w:val="37"/>
        </w:numPr>
        <w:tabs>
          <w:tab w:pos="1370" w:val="left" w:leader="none"/>
        </w:tabs>
        <w:spacing w:line="269" w:lineRule="exact" w:before="0" w:after="0"/>
        <w:ind w:left="1369" w:right="0" w:hanging="530"/>
        <w:jc w:val="left"/>
        <w:rPr>
          <w:sz w:val="21"/>
        </w:rPr>
      </w:pPr>
      <w:r>
        <w:rPr>
          <w:spacing w:val="-2"/>
          <w:sz w:val="21"/>
        </w:rPr>
        <w:t>澄清公告</w:t>
      </w:r>
    </w:p>
    <w:p>
      <w:pPr>
        <w:pStyle w:val="BodyText"/>
        <w:spacing w:before="7"/>
        <w:rPr>
          <w:sz w:val="15"/>
        </w:rPr>
      </w:pPr>
    </w:p>
    <w:p>
      <w:pPr>
        <w:pStyle w:val="BodyText"/>
        <w:spacing w:line="417" w:lineRule="auto"/>
        <w:ind w:left="840" w:right="800" w:firstLine="419"/>
        <w:jc w:val="both"/>
      </w:pPr>
      <w:r>
        <w:rPr>
          <w:spacing w:val="-11"/>
        </w:rPr>
        <w:t>在本基金合同存续期限内，任何公共媒介中出现的或者在市场上流传的消息可能对基金份额价格产生误导性影响或者引起较大波动，以及可能损害基金份额持有人权益的，相关信</w:t>
      </w:r>
      <w:r>
        <w:rPr>
          <w:spacing w:val="-6"/>
        </w:rPr>
        <w:t>息披露义务人知悉后应当立即对该消息进行公开澄清，并将有关情况立即报告中国证监会。</w:t>
      </w:r>
    </w:p>
    <w:p>
      <w:pPr>
        <w:pStyle w:val="ListParagraph"/>
        <w:numPr>
          <w:ilvl w:val="0"/>
          <w:numId w:val="37"/>
        </w:numPr>
        <w:tabs>
          <w:tab w:pos="1370" w:val="left" w:leader="none"/>
        </w:tabs>
        <w:spacing w:line="269" w:lineRule="exact" w:before="0" w:after="0"/>
        <w:ind w:left="1369" w:right="0" w:hanging="530"/>
        <w:jc w:val="left"/>
        <w:rPr>
          <w:sz w:val="21"/>
        </w:rPr>
      </w:pPr>
      <w:r>
        <w:rPr>
          <w:spacing w:val="-3"/>
          <w:sz w:val="21"/>
        </w:rPr>
        <w:t>基金份额持有人大会决议</w:t>
      </w:r>
    </w:p>
    <w:p>
      <w:pPr>
        <w:pStyle w:val="BodyText"/>
        <w:spacing w:before="7"/>
        <w:rPr>
          <w:sz w:val="15"/>
        </w:rPr>
      </w:pPr>
    </w:p>
    <w:p>
      <w:pPr>
        <w:pStyle w:val="BodyText"/>
        <w:spacing w:line="417" w:lineRule="auto"/>
        <w:ind w:left="840" w:right="797" w:firstLine="419"/>
      </w:pPr>
      <w:r>
        <w:rPr>
          <w:spacing w:val="-3"/>
        </w:rPr>
        <w:t>基金份额持有人大会决定的事项，应当依法报国务院证券监督管理机构核准或者备案， </w:t>
      </w:r>
      <w:r>
        <w:rPr>
          <w:spacing w:val="-5"/>
        </w:rPr>
        <w:t>并予以公告。召开基金份额持有人大会的，召集人应当至少提前 </w:t>
      </w:r>
      <w:r>
        <w:rPr>
          <w:rFonts w:ascii="Times New Roman" w:eastAsia="Times New Roman"/>
        </w:rPr>
        <w:t>40 </w:t>
      </w:r>
      <w:r>
        <w:rPr>
          <w:spacing w:val="-3"/>
        </w:rPr>
        <w:t>日公告基金份额持有人大会的召开时间、会议形式、审议事项、议事程序和表决方式等事项。</w:t>
      </w:r>
    </w:p>
    <w:p>
      <w:pPr>
        <w:pStyle w:val="BodyText"/>
        <w:spacing w:line="417" w:lineRule="auto"/>
        <w:ind w:left="840" w:right="891" w:firstLine="419"/>
        <w:jc w:val="both"/>
      </w:pPr>
      <w:r>
        <w:rPr>
          <w:spacing w:val="-7"/>
        </w:rPr>
        <w:t>基金份额持有人依法自行召集基金份额持有人大会，本基金管理人、本基金托管人对基</w:t>
      </w:r>
      <w:r>
        <w:rPr>
          <w:spacing w:val="-9"/>
        </w:rPr>
        <w:t>金份额持有人大会决定的事项不依法履行信息披露义务的，召集人应当履行相关信息披露义务。</w:t>
      </w:r>
    </w:p>
    <w:p>
      <w:pPr>
        <w:pStyle w:val="ListParagraph"/>
        <w:numPr>
          <w:ilvl w:val="0"/>
          <w:numId w:val="37"/>
        </w:numPr>
        <w:tabs>
          <w:tab w:pos="1475" w:val="left" w:leader="none"/>
        </w:tabs>
        <w:spacing w:line="269" w:lineRule="exact" w:before="0" w:after="0"/>
        <w:ind w:left="1475" w:right="0" w:hanging="635"/>
        <w:jc w:val="left"/>
        <w:rPr>
          <w:sz w:val="21"/>
        </w:rPr>
      </w:pPr>
      <w:r>
        <w:rPr>
          <w:spacing w:val="-3"/>
          <w:sz w:val="21"/>
        </w:rPr>
        <w:t>中国证监会规定的其他信息。</w:t>
      </w:r>
    </w:p>
    <w:p>
      <w:pPr>
        <w:pStyle w:val="BodyText"/>
        <w:rPr>
          <w:sz w:val="22"/>
        </w:rPr>
      </w:pPr>
    </w:p>
    <w:p>
      <w:pPr>
        <w:pStyle w:val="BodyText"/>
        <w:spacing w:before="1"/>
        <w:rPr>
          <w:sz w:val="30"/>
        </w:rPr>
      </w:pPr>
    </w:p>
    <w:p>
      <w:pPr>
        <w:pStyle w:val="Heading4"/>
      </w:pPr>
      <w:r>
        <w:rPr/>
        <w:t>六、信息披露事务管理</w:t>
      </w:r>
    </w:p>
    <w:p>
      <w:pPr>
        <w:pStyle w:val="BodyText"/>
        <w:spacing w:before="7"/>
        <w:rPr>
          <w:b/>
          <w:sz w:val="15"/>
        </w:rPr>
      </w:pPr>
    </w:p>
    <w:p>
      <w:pPr>
        <w:pStyle w:val="BodyText"/>
        <w:spacing w:line="417" w:lineRule="auto"/>
        <w:ind w:left="840" w:right="89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840" w:right="89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840" w:right="89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840" w:right="785" w:firstLine="419"/>
      </w:pPr>
      <w:r>
        <w:rPr>
          <w:spacing w:val="-15"/>
        </w:rPr>
        <w:t>基金管理人、基金托管人应当在指定报刊中选择一家报刊披露本基金信息。基金管理人、</w:t>
      </w:r>
      <w:r>
        <w:rPr>
          <w:spacing w:val="-10"/>
        </w:rPr>
        <w:t>基金托管人应当向中国证监会基金电子披露网站报送拟披露的基金信息，并保证相关报送信</w:t>
      </w:r>
      <w:r>
        <w:rPr>
          <w:spacing w:val="-5"/>
        </w:rPr>
        <w:t>息的真实、准确、完整、及时。</w:t>
      </w:r>
    </w:p>
    <w:p>
      <w:pPr>
        <w:pStyle w:val="BodyText"/>
        <w:spacing w:line="417" w:lineRule="auto"/>
        <w:ind w:left="840" w:right="891" w:firstLine="419"/>
        <w:jc w:val="both"/>
      </w:pPr>
      <w:r>
        <w:rPr>
          <w:spacing w:val="-10"/>
        </w:rPr>
        <w:t>基金管理人、基金托管人除依法在指定报刊和网站上披露信息外，还可以根据需要在其</w:t>
      </w:r>
      <w:r>
        <w:rPr>
          <w:spacing w:val="-12"/>
        </w:rPr>
        <w:t>他公共媒介披露信息，但是其他公共媒介不得早于指定报刊和网站披露信息，并且在不同媒</w:t>
      </w:r>
      <w:r>
        <w:rPr>
          <w:spacing w:val="-6"/>
        </w:rPr>
        <w:t>介上披露同一信息的内容应当一致。</w:t>
      </w:r>
    </w:p>
    <w:p>
      <w:pPr>
        <w:spacing w:after="0" w:line="417" w:lineRule="auto"/>
        <w:jc w:val="both"/>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797" w:firstLine="419"/>
      </w:pPr>
      <w:r>
        <w:rPr>
          <w:spacing w:val="-10"/>
        </w:rPr>
        <w:t>基金管理人、基金托管人除按法律法规要求披露信息外、也可着眼于为投资者决策提供</w:t>
      </w:r>
      <w:r>
        <w:rPr>
          <w:spacing w:val="-12"/>
        </w:rPr>
        <w:t>有用信息的角度，在保证公平对待投资者、不误导投资者、不影响基金正常投资操作的前提</w:t>
      </w:r>
      <w:r>
        <w:rPr>
          <w:spacing w:val="-6"/>
        </w:rPr>
        <w:t>下，自主提升信息披露服务的质量。具体要求应当符合中国证监会及自律规则的相关规定。</w:t>
      </w:r>
      <w:r>
        <w:rPr>
          <w:spacing w:val="-4"/>
        </w:rPr>
        <w:t>前述自主披露如产生信息披露费用，该费用不得从基金财产中列支。</w:t>
      </w:r>
    </w:p>
    <w:p>
      <w:pPr>
        <w:pStyle w:val="BodyText"/>
        <w:spacing w:line="417" w:lineRule="auto"/>
        <w:ind w:left="840" w:right="89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rPr>
          <w:sz w:val="22"/>
        </w:rPr>
      </w:pPr>
    </w:p>
    <w:p>
      <w:pPr>
        <w:pStyle w:val="Heading4"/>
        <w:spacing w:before="186"/>
      </w:pPr>
      <w:r>
        <w:rPr/>
        <w:t>七、信息披露文件的存放与查阅</w:t>
      </w:r>
    </w:p>
    <w:p>
      <w:pPr>
        <w:pStyle w:val="BodyText"/>
        <w:spacing w:before="7"/>
        <w:rPr>
          <w:b/>
          <w:sz w:val="15"/>
        </w:rPr>
      </w:pPr>
    </w:p>
    <w:p>
      <w:pPr>
        <w:pStyle w:val="BodyText"/>
        <w:spacing w:line="417" w:lineRule="auto"/>
        <w:ind w:left="840" w:right="89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1260"/>
      </w:pPr>
      <w:r>
        <w:rPr/>
        <w:t>投资者也可直接在基金管理人的网站（</w:t>
      </w:r>
      <w:hyperlink r:id="rId7">
        <w:r>
          <w:rPr>
            <w:rFonts w:ascii="Times New Roman" w:eastAsia="Times New Roman"/>
          </w:rPr>
          <w:t>www.igwfmc.com</w:t>
        </w:r>
      </w:hyperlink>
      <w:r>
        <w:rPr/>
        <w:t>）查阅信息披露文件。</w:t>
      </w:r>
    </w:p>
    <w:p>
      <w:pPr>
        <w:pStyle w:val="BodyText"/>
        <w:spacing w:before="6"/>
        <w:rPr>
          <w:sz w:val="15"/>
        </w:rPr>
      </w:pPr>
    </w:p>
    <w:p>
      <w:pPr>
        <w:pStyle w:val="BodyText"/>
        <w:spacing w:line="417" w:lineRule="auto" w:before="1"/>
        <w:ind w:left="840" w:right="891" w:firstLine="419"/>
      </w:pPr>
      <w:r>
        <w:rPr>
          <w:spacing w:val="-8"/>
        </w:rPr>
        <w:t>投资者按上述方式所获得的文件及其复印件，基金管理人和基金托管人保证文本的内容</w:t>
      </w:r>
      <w:r>
        <w:rPr>
          <w:spacing w:val="-5"/>
        </w:rPr>
        <w:t>与所公告的内容完全一致。</w:t>
      </w:r>
    </w:p>
    <w:p>
      <w:pPr>
        <w:pStyle w:val="BodyText"/>
        <w:spacing w:line="269" w:lineRule="exact"/>
        <w:ind w:left="840"/>
      </w:pPr>
      <w:r>
        <w:rPr/>
        <w:t>八、本基金信息披露事项以法律法规规定及本章节约定的内容为准。</w:t>
      </w:r>
    </w:p>
    <w:p>
      <w:pPr>
        <w:spacing w:after="0" w:line="269" w:lineRule="exact"/>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51"/>
      </w:pPr>
      <w:bookmarkStart w:name="_TOC_250007" w:id="17"/>
      <w:bookmarkEnd w:id="17"/>
      <w:r>
        <w:rPr/>
        <w:t>十七、风险揭示</w:t>
      </w:r>
    </w:p>
    <w:p>
      <w:pPr>
        <w:pStyle w:val="BodyText"/>
        <w:rPr>
          <w:rFonts w:ascii="黑体"/>
          <w:b/>
          <w:sz w:val="20"/>
        </w:rPr>
      </w:pPr>
    </w:p>
    <w:p>
      <w:pPr>
        <w:pStyle w:val="BodyText"/>
        <w:spacing w:before="4"/>
        <w:rPr>
          <w:rFonts w:ascii="黑体"/>
          <w:b/>
          <w:sz w:val="16"/>
        </w:rPr>
      </w:pPr>
    </w:p>
    <w:p>
      <w:pPr>
        <w:pStyle w:val="Heading4"/>
        <w:spacing w:before="72"/>
      </w:pPr>
      <w:r>
        <w:rPr/>
        <w:t>一、市场风险</w:t>
      </w:r>
    </w:p>
    <w:p>
      <w:pPr>
        <w:pStyle w:val="BodyText"/>
        <w:spacing w:before="7"/>
        <w:rPr>
          <w:b/>
          <w:sz w:val="15"/>
        </w:rPr>
      </w:pPr>
    </w:p>
    <w:p>
      <w:pPr>
        <w:pStyle w:val="BodyText"/>
        <w:spacing w:line="417" w:lineRule="auto"/>
        <w:ind w:left="840" w:right="895" w:firstLine="419"/>
      </w:pPr>
      <w:r>
        <w:rPr>
          <w:spacing w:val="-9"/>
        </w:rPr>
        <w:t>证券市场价格受到经济因素、政治因素、投资心理和交易制度等各种因素的影响，导致</w:t>
      </w:r>
      <w:r>
        <w:rPr>
          <w:spacing w:val="-5"/>
        </w:rPr>
        <w:t>基金收益水平变化，产生风险，主要包括：</w:t>
      </w:r>
    </w:p>
    <w:p>
      <w:pPr>
        <w:pStyle w:val="BodyText"/>
        <w:spacing w:line="269" w:lineRule="exact"/>
        <w:ind w:left="840"/>
      </w:pPr>
      <w:r>
        <w:rPr>
          <w:rFonts w:ascii="Times New Roman" w:eastAsia="Times New Roman"/>
        </w:rPr>
        <w:t>1</w:t>
      </w:r>
      <w:r>
        <w:rPr/>
        <w:t>、政策风险</w:t>
      </w:r>
    </w:p>
    <w:p>
      <w:pPr>
        <w:pStyle w:val="BodyText"/>
        <w:spacing w:before="7"/>
        <w:rPr>
          <w:sz w:val="15"/>
        </w:rPr>
      </w:pPr>
    </w:p>
    <w:p>
      <w:pPr>
        <w:pStyle w:val="BodyText"/>
        <w:spacing w:line="417" w:lineRule="auto"/>
        <w:ind w:left="840" w:right="892" w:firstLine="419"/>
      </w:pPr>
      <w:r>
        <w:rPr>
          <w:spacing w:val="-5"/>
        </w:rPr>
        <w:t>因国家宏观政策</w:t>
      </w:r>
      <w:r>
        <w:rPr>
          <w:spacing w:val="-3"/>
        </w:rPr>
        <w:t>（</w:t>
      </w:r>
      <w:r>
        <w:rPr>
          <w:spacing w:val="-8"/>
        </w:rPr>
        <w:t>如货币政策、财政政策、行业政策、地区发展政策等</w:t>
      </w:r>
      <w:r>
        <w:rPr>
          <w:spacing w:val="-17"/>
        </w:rPr>
        <w:t>）</w:t>
      </w:r>
      <w:r>
        <w:rPr>
          <w:spacing w:val="-5"/>
        </w:rPr>
        <w:t>发生变化，导</w:t>
      </w:r>
      <w:r>
        <w:rPr>
          <w:spacing w:val="-4"/>
        </w:rPr>
        <w:t>致市场价格波动而产生风险。</w:t>
      </w:r>
    </w:p>
    <w:p>
      <w:pPr>
        <w:pStyle w:val="BodyText"/>
        <w:spacing w:line="269" w:lineRule="exact"/>
        <w:ind w:left="840"/>
      </w:pPr>
      <w:r>
        <w:rPr>
          <w:rFonts w:ascii="Times New Roman" w:eastAsia="Times New Roman"/>
        </w:rPr>
        <w:t>2</w:t>
      </w:r>
      <w:r>
        <w:rPr/>
        <w:t>、经济周期风险</w:t>
      </w:r>
    </w:p>
    <w:p>
      <w:pPr>
        <w:pStyle w:val="BodyText"/>
        <w:spacing w:before="7"/>
        <w:rPr>
          <w:sz w:val="15"/>
        </w:rPr>
      </w:pPr>
    </w:p>
    <w:p>
      <w:pPr>
        <w:pStyle w:val="BodyText"/>
        <w:spacing w:line="417" w:lineRule="auto"/>
        <w:ind w:left="840" w:right="891" w:firstLine="419"/>
      </w:pPr>
      <w:r>
        <w:rPr>
          <w:spacing w:val="-9"/>
        </w:rPr>
        <w:t>随经济运行的周期性变化，证券市场的收益水平也呈周期性变化。基金投资于债券与上</w:t>
      </w:r>
      <w:r>
        <w:rPr>
          <w:spacing w:val="-5"/>
        </w:rPr>
        <w:t>市公司的股票，收益水平也会随之变化，从而产生风险。</w:t>
      </w:r>
    </w:p>
    <w:p>
      <w:pPr>
        <w:pStyle w:val="BodyText"/>
        <w:spacing w:line="269" w:lineRule="exact"/>
        <w:ind w:left="840"/>
      </w:pPr>
      <w:r>
        <w:rPr>
          <w:rFonts w:ascii="Times New Roman" w:eastAsia="Times New Roman"/>
        </w:rPr>
        <w:t>3</w:t>
      </w:r>
      <w:r>
        <w:rPr/>
        <w:t>、利率风险</w:t>
      </w:r>
    </w:p>
    <w:p>
      <w:pPr>
        <w:pStyle w:val="BodyText"/>
        <w:spacing w:before="6"/>
        <w:rPr>
          <w:sz w:val="15"/>
        </w:rPr>
      </w:pPr>
    </w:p>
    <w:p>
      <w:pPr>
        <w:pStyle w:val="BodyText"/>
        <w:spacing w:line="417" w:lineRule="auto" w:before="1"/>
        <w:ind w:left="840" w:right="891" w:firstLine="419"/>
        <w:jc w:val="both"/>
      </w:pPr>
      <w:r>
        <w:rPr>
          <w:spacing w:val="-7"/>
        </w:rPr>
        <w:t>金融市场利率的波动会导致证券市场价格和收益率的变动。利率直接影响着债券的价格</w:t>
      </w:r>
      <w:r>
        <w:rPr>
          <w:spacing w:val="-12"/>
        </w:rPr>
        <w:t>和收益率，影响着企业的融资成本和利润。基金投资于债券和股票，其收益水平会受到利率</w:t>
      </w:r>
      <w:r>
        <w:rPr>
          <w:spacing w:val="-6"/>
        </w:rPr>
        <w:t>变化的影响。</w:t>
      </w:r>
    </w:p>
    <w:p>
      <w:pPr>
        <w:pStyle w:val="BodyText"/>
        <w:ind w:left="840"/>
      </w:pPr>
      <w:r>
        <w:rPr>
          <w:rFonts w:ascii="Times New Roman" w:eastAsia="Times New Roman"/>
        </w:rPr>
        <w:t>4</w:t>
      </w:r>
      <w:r>
        <w:rPr/>
        <w:t>、上市公司经营风险</w:t>
      </w:r>
    </w:p>
    <w:p>
      <w:pPr>
        <w:pStyle w:val="BodyText"/>
        <w:spacing w:before="6"/>
        <w:rPr>
          <w:sz w:val="15"/>
        </w:rPr>
      </w:pPr>
    </w:p>
    <w:p>
      <w:pPr>
        <w:pStyle w:val="BodyText"/>
        <w:spacing w:line="417" w:lineRule="auto"/>
        <w:ind w:left="840" w:right="797" w:firstLine="419"/>
      </w:pPr>
      <w:r>
        <w:rPr>
          <w:spacing w:val="-3"/>
        </w:rPr>
        <w:t>上市公司的经营好坏受多种因素影响，如管理能力、财务状况、市场前景、行业竞争、</w:t>
      </w:r>
      <w:r>
        <w:rPr>
          <w:spacing w:val="-10"/>
        </w:rPr>
        <w:t>人员素质等，这些都会导致企业的盈利发生变化。如果基金所投资的上市公司经营不善，其</w:t>
      </w:r>
      <w:r>
        <w:rPr>
          <w:spacing w:val="-11"/>
        </w:rPr>
        <w:t>股票价格可能下跌，或者能够用于分配的利润减少，使基金投资收益下降。虽然基金可以通</w:t>
      </w:r>
      <w:r>
        <w:rPr>
          <w:spacing w:val="-6"/>
        </w:rPr>
        <w:t>过投资多样化来分散这种非系统风险，但不能完全规避。</w:t>
      </w:r>
    </w:p>
    <w:p>
      <w:pPr>
        <w:pStyle w:val="BodyText"/>
        <w:ind w:left="840"/>
      </w:pPr>
      <w:r>
        <w:rPr>
          <w:rFonts w:ascii="Times New Roman" w:eastAsia="Times New Roman"/>
        </w:rPr>
        <w:t>5</w:t>
      </w:r>
      <w:r>
        <w:rPr/>
        <w:t>、购买力风险</w:t>
      </w:r>
    </w:p>
    <w:p>
      <w:pPr>
        <w:pStyle w:val="BodyText"/>
        <w:spacing w:before="7"/>
        <w:rPr>
          <w:sz w:val="15"/>
        </w:rPr>
      </w:pPr>
    </w:p>
    <w:p>
      <w:pPr>
        <w:pStyle w:val="BodyText"/>
        <w:spacing w:line="417" w:lineRule="auto"/>
        <w:ind w:left="840" w:right="891" w:firstLine="419"/>
      </w:pPr>
      <w:r>
        <w:rPr>
          <w:spacing w:val="-9"/>
        </w:rPr>
        <w:t>基金的利润将主要通过现金形式来分配，而现金可能因为通货膨胀的影响而导致购买力</w:t>
      </w:r>
      <w:r>
        <w:rPr>
          <w:spacing w:val="-5"/>
        </w:rPr>
        <w:t>下降，从而使基金的实际收益下降。</w:t>
      </w:r>
    </w:p>
    <w:p>
      <w:pPr>
        <w:pStyle w:val="BodyText"/>
        <w:rPr>
          <w:sz w:val="20"/>
        </w:rPr>
      </w:pPr>
    </w:p>
    <w:p>
      <w:pPr>
        <w:pStyle w:val="BodyText"/>
        <w:spacing w:before="6"/>
        <w:rPr>
          <w:sz w:val="16"/>
        </w:rPr>
      </w:pPr>
    </w:p>
    <w:p>
      <w:pPr>
        <w:pStyle w:val="Heading4"/>
      </w:pPr>
      <w:r>
        <w:rPr/>
        <w:t>二、流动性风险</w:t>
      </w:r>
    </w:p>
    <w:p>
      <w:pPr>
        <w:pStyle w:val="BodyText"/>
        <w:spacing w:before="7"/>
        <w:rPr>
          <w:b/>
          <w:sz w:val="15"/>
        </w:rPr>
      </w:pPr>
    </w:p>
    <w:p>
      <w:pPr>
        <w:pStyle w:val="BodyText"/>
        <w:spacing w:line="417" w:lineRule="auto"/>
        <w:ind w:left="840" w:right="891" w:firstLine="419"/>
        <w:jc w:val="both"/>
      </w:pPr>
      <w:r>
        <w:rPr>
          <w:spacing w:val="-10"/>
        </w:rPr>
        <w:t>本基金属于开放式基金，在基金的所有开放日，基金管理人都有义务接受投资者的申购</w:t>
      </w:r>
      <w:r>
        <w:rPr>
          <w:spacing w:val="-12"/>
        </w:rPr>
        <w:t>和赎回。由于股票市场波动性较大，在市场下跌时经常出现交易量急剧减少的情况，如果在</w:t>
      </w:r>
      <w:r>
        <w:rPr>
          <w:spacing w:val="-6"/>
        </w:rPr>
        <w:t>这时出现较大数额的基金赎回申请，则使基金财产变现困难，基金面临流动性风险。</w:t>
      </w:r>
    </w:p>
    <w:p>
      <w:pPr>
        <w:spacing w:after="0" w:line="417" w:lineRule="auto"/>
        <w:jc w:val="both"/>
        <w:sectPr>
          <w:pgSz w:w="11910" w:h="16840"/>
          <w:pgMar w:header="877" w:footer="995" w:top="1100" w:bottom="1180" w:left="960" w:right="900"/>
        </w:sectPr>
      </w:pPr>
    </w:p>
    <w:p>
      <w:pPr>
        <w:pStyle w:val="BodyText"/>
        <w:spacing w:before="4"/>
        <w:rPr>
          <w:sz w:val="27"/>
        </w:rPr>
      </w:pPr>
    </w:p>
    <w:p>
      <w:pPr>
        <w:pStyle w:val="Heading4"/>
        <w:spacing w:before="71"/>
      </w:pPr>
      <w:r>
        <w:rPr/>
        <w:t>三、管理风险</w:t>
      </w:r>
    </w:p>
    <w:p>
      <w:pPr>
        <w:pStyle w:val="BodyText"/>
        <w:spacing w:before="7"/>
        <w:rPr>
          <w:b/>
          <w:sz w:val="15"/>
        </w:rPr>
      </w:pPr>
    </w:p>
    <w:p>
      <w:pPr>
        <w:pStyle w:val="BodyText"/>
        <w:spacing w:line="417" w:lineRule="auto"/>
        <w:ind w:left="840" w:right="891" w:firstLine="419"/>
        <w:jc w:val="both"/>
      </w:pPr>
      <w:r>
        <w:rPr>
          <w:spacing w:val="-8"/>
        </w:rPr>
        <w:t>在基金管理运作过程中基金管理人的知识、经验、判断、决策、技能等，会影响其对信</w:t>
      </w:r>
      <w:r>
        <w:rPr>
          <w:spacing w:val="-10"/>
        </w:rPr>
        <w:t>息的占有和对经济形势、证券价格走势的判断，从而影响基金收益水平。因此，本基金的收益水平与基金管理人的管理水平、管理手段和管理技术等相关性较大。因此本基金可能因为</w:t>
      </w:r>
      <w:r>
        <w:rPr>
          <w:spacing w:val="-5"/>
        </w:rPr>
        <w:t>基金管理人的因素而影响基金收益水平。</w:t>
      </w:r>
    </w:p>
    <w:p>
      <w:pPr>
        <w:pStyle w:val="BodyText"/>
        <w:rPr>
          <w:sz w:val="20"/>
        </w:rPr>
      </w:pPr>
    </w:p>
    <w:p>
      <w:pPr>
        <w:pStyle w:val="BodyText"/>
        <w:spacing w:before="6"/>
        <w:rPr>
          <w:sz w:val="16"/>
        </w:rPr>
      </w:pPr>
    </w:p>
    <w:p>
      <w:pPr>
        <w:pStyle w:val="Heading4"/>
      </w:pPr>
      <w:r>
        <w:rPr/>
        <w:t>四、科创板股票投资风险</w:t>
      </w:r>
    </w:p>
    <w:p>
      <w:pPr>
        <w:pStyle w:val="BodyText"/>
        <w:spacing w:before="7"/>
        <w:rPr>
          <w:b/>
          <w:sz w:val="15"/>
        </w:rPr>
      </w:pPr>
    </w:p>
    <w:p>
      <w:pPr>
        <w:pStyle w:val="BodyText"/>
        <w:spacing w:line="417" w:lineRule="auto" w:before="1"/>
        <w:ind w:left="840" w:right="891" w:firstLine="419"/>
        <w:jc w:val="both"/>
      </w:pPr>
      <w:r>
        <w:rPr>
          <w:spacing w:val="-9"/>
        </w:rPr>
        <w:t>本基金可以投资科创板股票，会面临科创板机制下因投资标的、市场制度以及交易规则</w:t>
      </w:r>
      <w:r>
        <w:rPr>
          <w:spacing w:val="-11"/>
        </w:rPr>
        <w:t>等差异带来的特有风险，包括但不限于市场风险、流动性风险、退市风险、集中度风险、系</w:t>
      </w:r>
      <w:r>
        <w:rPr>
          <w:spacing w:val="-13"/>
        </w:rPr>
        <w:t>统性风险、政策风险等。基金可根据投资策略需要或市场环境的变化，选择将部分基金资产</w:t>
      </w:r>
      <w:r>
        <w:rPr>
          <w:spacing w:val="-10"/>
        </w:rPr>
        <w:t>投资于科创板股票或选择不将基金资产投资于科创板股票，基金资产并非必然投资于科创板股票。</w:t>
      </w:r>
    </w:p>
    <w:p>
      <w:pPr>
        <w:pStyle w:val="BodyText"/>
        <w:spacing w:line="268" w:lineRule="exact"/>
        <w:ind w:left="1260"/>
      </w:pPr>
      <w:r>
        <w:rPr>
          <w:spacing w:val="-3"/>
        </w:rPr>
        <w:t>投资科创板股票存在的风险包括：</w:t>
      </w:r>
    </w:p>
    <w:p>
      <w:pPr>
        <w:pStyle w:val="BodyText"/>
        <w:spacing w:before="6"/>
        <w:rPr>
          <w:sz w:val="15"/>
        </w:rPr>
      </w:pPr>
    </w:p>
    <w:p>
      <w:pPr>
        <w:pStyle w:val="ListParagraph"/>
        <w:numPr>
          <w:ilvl w:val="0"/>
          <w:numId w:val="38"/>
        </w:numPr>
        <w:tabs>
          <w:tab w:pos="1790" w:val="left" w:leader="none"/>
        </w:tabs>
        <w:spacing w:line="240" w:lineRule="auto" w:before="0" w:after="0"/>
        <w:ind w:left="1789" w:right="0" w:hanging="530"/>
        <w:jc w:val="left"/>
        <w:rPr>
          <w:sz w:val="21"/>
        </w:rPr>
      </w:pPr>
      <w:r>
        <w:rPr>
          <w:spacing w:val="-2"/>
          <w:sz w:val="21"/>
        </w:rPr>
        <w:t>市场风险</w:t>
      </w:r>
    </w:p>
    <w:p>
      <w:pPr>
        <w:pStyle w:val="BodyText"/>
        <w:spacing w:before="7"/>
        <w:rPr>
          <w:sz w:val="15"/>
        </w:rPr>
      </w:pPr>
    </w:p>
    <w:p>
      <w:pPr>
        <w:pStyle w:val="BodyText"/>
        <w:spacing w:line="417" w:lineRule="auto"/>
        <w:ind w:left="840" w:right="790" w:firstLine="419"/>
        <w:jc w:val="both"/>
      </w:pPr>
      <w:r>
        <w:rPr>
          <w:spacing w:val="-8"/>
        </w:rPr>
        <w:t>科创板个股集中来自新一代信息技术、高端装备、新材料、新能源、节能环保及生物医</w:t>
      </w:r>
      <w:r>
        <w:rPr>
          <w:spacing w:val="-10"/>
        </w:rPr>
        <w:t>药等高新技术和战略新兴产业领域。大多数企业为初创型公司，企业未来盈利、现金流、估</w:t>
      </w:r>
      <w:r>
        <w:rPr>
          <w:spacing w:val="-17"/>
        </w:rPr>
        <w:t>值均存在不确定性，与传统二级市场投资存在差异，整体投资难度加大，个股市场风险加大。</w:t>
      </w:r>
    </w:p>
    <w:p>
      <w:pPr>
        <w:pStyle w:val="BodyText"/>
        <w:spacing w:line="417" w:lineRule="auto"/>
        <w:ind w:left="840" w:right="891" w:firstLine="419"/>
        <w:jc w:val="both"/>
      </w:pPr>
      <w:r>
        <w:rPr/>
        <w:t>科创板个股上市后的前五日无涨跌停限制，第六日开始涨跌幅限制在正负 </w:t>
      </w:r>
      <w:r>
        <w:rPr>
          <w:rFonts w:ascii="Times New Roman" w:eastAsia="Times New Roman"/>
        </w:rPr>
        <w:t>20%</w:t>
      </w:r>
      <w:r>
        <w:rPr/>
        <w:t>以内， 个股波动幅度较其他股票加大，市场风险随之上升。</w:t>
      </w:r>
    </w:p>
    <w:p>
      <w:pPr>
        <w:pStyle w:val="ListParagraph"/>
        <w:numPr>
          <w:ilvl w:val="0"/>
          <w:numId w:val="38"/>
        </w:numPr>
        <w:tabs>
          <w:tab w:pos="1790" w:val="left" w:leader="none"/>
        </w:tabs>
        <w:spacing w:line="269" w:lineRule="exact" w:before="0" w:after="0"/>
        <w:ind w:left="1789" w:right="0" w:hanging="530"/>
        <w:jc w:val="left"/>
        <w:rPr>
          <w:sz w:val="21"/>
        </w:rPr>
      </w:pPr>
      <w:r>
        <w:rPr>
          <w:spacing w:val="-3"/>
          <w:sz w:val="21"/>
        </w:rPr>
        <w:t>流动性风险</w:t>
      </w:r>
    </w:p>
    <w:p>
      <w:pPr>
        <w:pStyle w:val="BodyText"/>
        <w:spacing w:before="6"/>
        <w:rPr>
          <w:sz w:val="15"/>
        </w:rPr>
      </w:pPr>
    </w:p>
    <w:p>
      <w:pPr>
        <w:pStyle w:val="BodyText"/>
        <w:spacing w:line="417" w:lineRule="auto" w:before="1"/>
        <w:ind w:left="840" w:right="891" w:firstLine="419"/>
        <w:jc w:val="both"/>
      </w:pPr>
      <w:r>
        <w:rPr>
          <w:spacing w:val="-9"/>
        </w:rPr>
        <w:t>科创板整体投资门槛较高，个人投资者必须满足一定条件才可参与，二级市场上个人投</w:t>
      </w:r>
      <w:r>
        <w:rPr>
          <w:spacing w:val="-12"/>
        </w:rPr>
        <w:t>资者参与度相对较低，若机构投资者对科创板股票形成一致性预期，基金组合存在无法及时</w:t>
      </w:r>
      <w:r>
        <w:rPr>
          <w:spacing w:val="-6"/>
        </w:rPr>
        <w:t>变现及其他相关流动性风险。</w:t>
      </w:r>
    </w:p>
    <w:p>
      <w:pPr>
        <w:pStyle w:val="ListParagraph"/>
        <w:numPr>
          <w:ilvl w:val="0"/>
          <w:numId w:val="38"/>
        </w:numPr>
        <w:tabs>
          <w:tab w:pos="1790" w:val="left" w:leader="none"/>
        </w:tabs>
        <w:spacing w:line="240" w:lineRule="auto" w:before="0" w:after="0"/>
        <w:ind w:left="1789" w:right="0" w:hanging="530"/>
        <w:jc w:val="left"/>
        <w:rPr>
          <w:sz w:val="21"/>
        </w:rPr>
      </w:pPr>
      <w:r>
        <w:rPr>
          <w:spacing w:val="-2"/>
          <w:sz w:val="21"/>
        </w:rPr>
        <w:t>退市风险</w:t>
      </w:r>
    </w:p>
    <w:p>
      <w:pPr>
        <w:pStyle w:val="BodyText"/>
        <w:spacing w:before="6"/>
        <w:rPr>
          <w:sz w:val="15"/>
        </w:rPr>
      </w:pPr>
    </w:p>
    <w:p>
      <w:pPr>
        <w:pStyle w:val="BodyText"/>
        <w:spacing w:line="417" w:lineRule="auto" w:before="1"/>
        <w:ind w:left="840" w:right="891" w:firstLine="419"/>
      </w:pPr>
      <w:r>
        <w:rPr>
          <w:spacing w:val="-11"/>
        </w:rPr>
        <w:t>科创板试点注册制，对经营状况不佳或财务数据造假的企业实行严格的退市制度，科创</w:t>
      </w:r>
      <w:r>
        <w:rPr>
          <w:spacing w:val="-6"/>
        </w:rPr>
        <w:t>板个股存在退市风险。</w:t>
      </w:r>
    </w:p>
    <w:p>
      <w:pPr>
        <w:pStyle w:val="ListParagraph"/>
        <w:numPr>
          <w:ilvl w:val="0"/>
          <w:numId w:val="38"/>
        </w:numPr>
        <w:tabs>
          <w:tab w:pos="1790" w:val="left" w:leader="none"/>
        </w:tabs>
        <w:spacing w:line="269" w:lineRule="exact" w:before="0" w:after="0"/>
        <w:ind w:left="1789" w:right="0" w:hanging="530"/>
        <w:jc w:val="left"/>
        <w:rPr>
          <w:sz w:val="21"/>
        </w:rPr>
      </w:pPr>
      <w:r>
        <w:rPr>
          <w:spacing w:val="-3"/>
          <w:sz w:val="21"/>
        </w:rPr>
        <w:t>集中度风险</w:t>
      </w:r>
    </w:p>
    <w:p>
      <w:pPr>
        <w:pStyle w:val="BodyText"/>
        <w:spacing w:before="6"/>
        <w:rPr>
          <w:sz w:val="15"/>
        </w:rPr>
      </w:pPr>
    </w:p>
    <w:p>
      <w:pPr>
        <w:pStyle w:val="BodyText"/>
        <w:spacing w:line="417" w:lineRule="auto"/>
        <w:ind w:left="840" w:right="891" w:firstLine="419"/>
      </w:pPr>
      <w:r>
        <w:rPr>
          <w:spacing w:val="-10"/>
        </w:rPr>
        <w:t>科创板为新设板块，初期可投标的较少，投资者容易集中投资于少量个股，市场可能存</w:t>
      </w:r>
      <w:r>
        <w:rPr>
          <w:spacing w:val="-5"/>
        </w:rPr>
        <w:t>在高集中度状况，整体存在集中度风险。</w:t>
      </w:r>
    </w:p>
    <w:p>
      <w:pPr>
        <w:pStyle w:val="ListParagraph"/>
        <w:numPr>
          <w:ilvl w:val="0"/>
          <w:numId w:val="38"/>
        </w:numPr>
        <w:tabs>
          <w:tab w:pos="1790" w:val="left" w:leader="none"/>
        </w:tabs>
        <w:spacing w:line="240" w:lineRule="auto" w:before="0" w:after="0"/>
        <w:ind w:left="1789" w:right="0" w:hanging="530"/>
        <w:jc w:val="left"/>
        <w:rPr>
          <w:sz w:val="21"/>
        </w:rPr>
      </w:pPr>
      <w:r>
        <w:rPr>
          <w:spacing w:val="-3"/>
          <w:sz w:val="21"/>
        </w:rPr>
        <w:t>系统性风险</w:t>
      </w:r>
    </w:p>
    <w:p>
      <w:pPr>
        <w:spacing w:after="0" w:line="240" w:lineRule="auto"/>
        <w:jc w:val="left"/>
        <w:rPr>
          <w:sz w:val="21"/>
        </w:rPr>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797" w:firstLine="419"/>
      </w:pPr>
      <w:r>
        <w:rPr/>
        <w:t>科创板企业均为市场认可度较高的科技创新企业，在企业经营及盈利模式上存在趋同， 所以科创板个股相关性较高，市场表现不佳时，系统性风险将更为显著。</w:t>
      </w:r>
    </w:p>
    <w:p>
      <w:pPr>
        <w:pStyle w:val="ListParagraph"/>
        <w:numPr>
          <w:ilvl w:val="0"/>
          <w:numId w:val="38"/>
        </w:numPr>
        <w:tabs>
          <w:tab w:pos="1790" w:val="left" w:leader="none"/>
        </w:tabs>
        <w:spacing w:line="269" w:lineRule="exact" w:before="0" w:after="0"/>
        <w:ind w:left="1789" w:right="0" w:hanging="530"/>
        <w:jc w:val="left"/>
        <w:rPr>
          <w:sz w:val="21"/>
        </w:rPr>
      </w:pPr>
      <w:r>
        <w:rPr>
          <w:spacing w:val="-2"/>
          <w:sz w:val="21"/>
        </w:rPr>
        <w:t>政策风险</w:t>
      </w:r>
    </w:p>
    <w:p>
      <w:pPr>
        <w:pStyle w:val="BodyText"/>
        <w:spacing w:before="7"/>
        <w:rPr>
          <w:sz w:val="15"/>
        </w:rPr>
      </w:pPr>
    </w:p>
    <w:p>
      <w:pPr>
        <w:pStyle w:val="BodyText"/>
        <w:spacing w:line="417" w:lineRule="auto"/>
        <w:ind w:left="840" w:right="891" w:firstLine="419"/>
      </w:pPr>
      <w:r>
        <w:rPr>
          <w:spacing w:val="-6"/>
        </w:rPr>
        <w:t>国家对高新技术产业扶持力度及重视程度的变化会对科创板企业带来较大影响，国际经</w:t>
      </w:r>
      <w:r>
        <w:rPr>
          <w:spacing w:val="-4"/>
        </w:rPr>
        <w:t>济形势变化对战略新兴产业及科创板个股也会带来政策影响。</w:t>
      </w:r>
    </w:p>
    <w:p>
      <w:pPr>
        <w:pStyle w:val="BodyText"/>
        <w:rPr>
          <w:sz w:val="20"/>
        </w:rPr>
      </w:pPr>
    </w:p>
    <w:p>
      <w:pPr>
        <w:pStyle w:val="BodyText"/>
        <w:spacing w:before="6"/>
        <w:rPr>
          <w:sz w:val="16"/>
        </w:rPr>
      </w:pPr>
    </w:p>
    <w:p>
      <w:pPr>
        <w:pStyle w:val="Heading4"/>
        <w:spacing w:before="1"/>
      </w:pPr>
      <w:r>
        <w:rPr/>
        <w:t>五、存托凭证投资风险</w:t>
      </w:r>
    </w:p>
    <w:p>
      <w:pPr>
        <w:pStyle w:val="BodyText"/>
        <w:spacing w:before="7"/>
        <w:rPr>
          <w:b/>
          <w:sz w:val="15"/>
        </w:rPr>
      </w:pPr>
    </w:p>
    <w:p>
      <w:pPr>
        <w:pStyle w:val="BodyText"/>
        <w:spacing w:line="417" w:lineRule="auto"/>
        <w:ind w:left="840" w:right="891" w:firstLine="419"/>
        <w:jc w:val="both"/>
      </w:pPr>
      <w:r>
        <w:rPr>
          <w:spacing w:val="-10"/>
        </w:rPr>
        <w:t>本基金的投资范围包括存托凭证，除与其他仅投资于沪深市场股票的基金所面临的共同</w:t>
      </w:r>
      <w:r>
        <w:rPr>
          <w:spacing w:val="-12"/>
        </w:rPr>
        <w:t>风险外，本基金还将面临中国存托凭证价格大幅波动甚至出现较大亏损的风险，以及与中国</w:t>
      </w:r>
      <w:r>
        <w:rPr>
          <w:spacing w:val="-13"/>
        </w:rPr>
        <w:t>存托凭证发行机制相关的风险，包括存托凭证持有人与境外基础证券发行人的股东在法律地</w:t>
      </w:r>
      <w:r>
        <w:rPr>
          <w:spacing w:val="-11"/>
        </w:rPr>
        <w:t>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w:t>
      </w:r>
      <w:r>
        <w:rPr>
          <w:spacing w:val="-13"/>
        </w:rPr>
        <w:t>风险；已在境外上市的基础证券发行人，在持续信息披露监管方面与境内可能存在差异的风</w:t>
      </w:r>
      <w:r>
        <w:rPr>
          <w:spacing w:val="-6"/>
        </w:rPr>
        <w:t>险；境内外证券交易机制、法律制度、监管环境差异可能导致的其他风险。</w:t>
      </w:r>
    </w:p>
    <w:p>
      <w:pPr>
        <w:pStyle w:val="BodyText"/>
        <w:rPr>
          <w:sz w:val="20"/>
        </w:rPr>
      </w:pPr>
    </w:p>
    <w:p>
      <w:pPr>
        <w:pStyle w:val="BodyText"/>
        <w:spacing w:before="5"/>
        <w:rPr>
          <w:sz w:val="16"/>
        </w:rPr>
      </w:pPr>
    </w:p>
    <w:p>
      <w:pPr>
        <w:pStyle w:val="Heading4"/>
        <w:spacing w:before="1"/>
      </w:pPr>
      <w:r>
        <w:rPr/>
        <w:t>六、其他风险</w:t>
      </w:r>
    </w:p>
    <w:p>
      <w:pPr>
        <w:pStyle w:val="BodyText"/>
        <w:spacing w:before="6"/>
        <w:rPr>
          <w:b/>
          <w:sz w:val="15"/>
        </w:rPr>
      </w:pPr>
    </w:p>
    <w:p>
      <w:pPr>
        <w:pStyle w:val="BodyText"/>
        <w:ind w:left="1260"/>
      </w:pPr>
      <w:r>
        <w:rPr>
          <w:rFonts w:ascii="Times New Roman" w:eastAsia="Times New Roman"/>
        </w:rPr>
        <w:t>1</w:t>
      </w:r>
      <w:r>
        <w:rPr/>
        <w:t>、因技术因素而产生的风险，如电脑系统出现问题产生的风险；</w:t>
      </w:r>
    </w:p>
    <w:p>
      <w:pPr>
        <w:pStyle w:val="BodyText"/>
        <w:spacing w:before="7"/>
        <w:rPr>
          <w:sz w:val="15"/>
        </w:rPr>
      </w:pPr>
    </w:p>
    <w:p>
      <w:pPr>
        <w:pStyle w:val="BodyText"/>
        <w:ind w:left="1260"/>
      </w:pPr>
      <w:r>
        <w:rPr>
          <w:rFonts w:ascii="Times New Roman" w:eastAsia="Times New Roman"/>
        </w:rPr>
        <w:t>2</w:t>
      </w:r>
      <w:r>
        <w:rPr/>
        <w:t>、因基金业务快速发展但在人员配备、内控等方面不完善而产生的风险；</w:t>
      </w:r>
    </w:p>
    <w:p>
      <w:pPr>
        <w:pStyle w:val="BodyText"/>
        <w:spacing w:before="7"/>
        <w:rPr>
          <w:sz w:val="15"/>
        </w:rPr>
      </w:pPr>
    </w:p>
    <w:p>
      <w:pPr>
        <w:pStyle w:val="BodyText"/>
        <w:ind w:left="1260"/>
      </w:pPr>
      <w:r>
        <w:rPr>
          <w:rFonts w:ascii="Times New Roman" w:eastAsia="Times New Roman"/>
        </w:rPr>
        <w:t>3</w:t>
      </w:r>
      <w:r>
        <w:rPr/>
        <w:t>、因人为因素而产生的风险，如内幕交易、欺诈行为等产生的风险；</w:t>
      </w:r>
    </w:p>
    <w:p>
      <w:pPr>
        <w:pStyle w:val="BodyText"/>
        <w:spacing w:before="6"/>
        <w:rPr>
          <w:sz w:val="15"/>
        </w:rPr>
      </w:pPr>
    </w:p>
    <w:p>
      <w:pPr>
        <w:pStyle w:val="BodyText"/>
        <w:spacing w:before="1"/>
        <w:ind w:left="1260"/>
      </w:pPr>
      <w:r>
        <w:rPr>
          <w:rFonts w:ascii="Times New Roman" w:eastAsia="Times New Roman"/>
        </w:rPr>
        <w:t>4</w:t>
      </w:r>
      <w:r>
        <w:rPr/>
        <w:t>、对主要业务人员如基金经理的依赖而可能产生的风险；</w:t>
      </w:r>
    </w:p>
    <w:p>
      <w:pPr>
        <w:pStyle w:val="BodyText"/>
        <w:spacing w:before="7"/>
        <w:rPr>
          <w:sz w:val="15"/>
        </w:rPr>
      </w:pPr>
    </w:p>
    <w:p>
      <w:pPr>
        <w:pStyle w:val="BodyText"/>
        <w:ind w:left="1260"/>
      </w:pPr>
      <w:r>
        <w:rPr>
          <w:rFonts w:ascii="Times New Roman" w:eastAsia="Times New Roman"/>
        </w:rPr>
        <w:t>5</w:t>
      </w:r>
      <w:r>
        <w:rPr/>
        <w:t>、因业务竞争压力可能产生的风险；</w:t>
      </w:r>
    </w:p>
    <w:p>
      <w:pPr>
        <w:pStyle w:val="BodyText"/>
        <w:spacing w:before="7"/>
        <w:rPr>
          <w:sz w:val="15"/>
        </w:rPr>
      </w:pPr>
    </w:p>
    <w:p>
      <w:pPr>
        <w:pStyle w:val="BodyText"/>
        <w:spacing w:line="417" w:lineRule="auto"/>
        <w:ind w:left="840" w:right="894" w:firstLine="419"/>
      </w:pPr>
      <w:r>
        <w:rPr>
          <w:rFonts w:ascii="Times New Roman" w:eastAsia="Times New Roman"/>
        </w:rPr>
        <w:t>6</w:t>
      </w:r>
      <w:r>
        <w:rPr/>
        <w:t>、战争、自然灾害等不可抗力可能导致基金财产损失并影响基金收益水平，从而带来风险；</w:t>
      </w:r>
    </w:p>
    <w:p>
      <w:pPr>
        <w:pStyle w:val="BodyText"/>
        <w:spacing w:line="269" w:lineRule="exact"/>
        <w:ind w:left="1260"/>
      </w:pPr>
      <w:r>
        <w:rPr>
          <w:rFonts w:ascii="Times New Roman" w:eastAsia="Times New Roman"/>
        </w:rPr>
        <w:t>7</w:t>
      </w:r>
      <w:r>
        <w:rPr/>
        <w:t>、其他意外导致的风险。</w:t>
      </w:r>
    </w:p>
    <w:p>
      <w:pPr>
        <w:spacing w:after="0" w:line="269" w:lineRule="exact"/>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62"/>
      </w:pPr>
      <w:bookmarkStart w:name="_TOC_250006" w:id="18"/>
      <w:bookmarkEnd w:id="18"/>
      <w:r>
        <w:rPr/>
        <w:t>十八、基金合同的变更、终止与清算</w:t>
      </w:r>
    </w:p>
    <w:p>
      <w:pPr>
        <w:pStyle w:val="BodyText"/>
        <w:spacing w:before="12"/>
        <w:rPr>
          <w:rFonts w:ascii="黑体"/>
          <w:b/>
          <w:sz w:val="41"/>
        </w:rPr>
      </w:pPr>
    </w:p>
    <w:p>
      <w:pPr>
        <w:pStyle w:val="Heading4"/>
      </w:pPr>
      <w:r>
        <w:rPr/>
        <w:t>一、《基金合同》的变更</w:t>
      </w:r>
    </w:p>
    <w:p>
      <w:pPr>
        <w:pStyle w:val="BodyText"/>
        <w:spacing w:before="6"/>
        <w:rPr>
          <w:b/>
          <w:sz w:val="15"/>
        </w:rPr>
      </w:pPr>
    </w:p>
    <w:p>
      <w:pPr>
        <w:pStyle w:val="BodyText"/>
        <w:spacing w:before="1"/>
        <w:ind w:left="1260"/>
      </w:pPr>
      <w:r>
        <w:rPr>
          <w:rFonts w:ascii="Times New Roman" w:eastAsia="Times New Roman"/>
        </w:rPr>
        <w:t>1</w:t>
      </w:r>
      <w:r>
        <w:rPr/>
        <w:t>、以下变更基金合同的事项应经基金份额持有人大会决议通过：</w:t>
      </w:r>
    </w:p>
    <w:p>
      <w:pPr>
        <w:pStyle w:val="BodyText"/>
        <w:spacing w:before="6"/>
        <w:rPr>
          <w:sz w:val="15"/>
        </w:rPr>
      </w:pPr>
    </w:p>
    <w:p>
      <w:pPr>
        <w:pStyle w:val="ListParagraph"/>
        <w:numPr>
          <w:ilvl w:val="0"/>
          <w:numId w:val="39"/>
        </w:numPr>
        <w:tabs>
          <w:tab w:pos="1790" w:val="left" w:leader="none"/>
        </w:tabs>
        <w:spacing w:line="240" w:lineRule="auto" w:before="0" w:after="0"/>
        <w:ind w:left="1789" w:right="0" w:hanging="530"/>
        <w:jc w:val="left"/>
        <w:rPr>
          <w:sz w:val="21"/>
        </w:rPr>
      </w:pPr>
      <w:r>
        <w:rPr>
          <w:spacing w:val="-15"/>
          <w:sz w:val="21"/>
        </w:rPr>
        <w:t>终止《基金合同》；</w:t>
      </w:r>
    </w:p>
    <w:p>
      <w:pPr>
        <w:pStyle w:val="BodyText"/>
        <w:spacing w:before="7"/>
        <w:rPr>
          <w:sz w:val="15"/>
        </w:rPr>
      </w:pPr>
    </w:p>
    <w:p>
      <w:pPr>
        <w:pStyle w:val="ListParagraph"/>
        <w:numPr>
          <w:ilvl w:val="0"/>
          <w:numId w:val="39"/>
        </w:numPr>
        <w:tabs>
          <w:tab w:pos="1790" w:val="left" w:leader="none"/>
        </w:tabs>
        <w:spacing w:line="240" w:lineRule="auto" w:before="0" w:after="0"/>
        <w:ind w:left="1789" w:right="0" w:hanging="530"/>
        <w:jc w:val="left"/>
        <w:rPr>
          <w:sz w:val="21"/>
        </w:rPr>
      </w:pPr>
      <w:r>
        <w:rPr>
          <w:spacing w:val="-3"/>
          <w:sz w:val="21"/>
        </w:rPr>
        <w:t>更换基金管理人；</w:t>
      </w:r>
    </w:p>
    <w:p>
      <w:pPr>
        <w:pStyle w:val="BodyText"/>
        <w:spacing w:before="7"/>
        <w:rPr>
          <w:sz w:val="15"/>
        </w:rPr>
      </w:pPr>
    </w:p>
    <w:p>
      <w:pPr>
        <w:pStyle w:val="ListParagraph"/>
        <w:numPr>
          <w:ilvl w:val="0"/>
          <w:numId w:val="39"/>
        </w:numPr>
        <w:tabs>
          <w:tab w:pos="1790" w:val="left" w:leader="none"/>
        </w:tabs>
        <w:spacing w:line="240" w:lineRule="auto" w:before="1" w:after="0"/>
        <w:ind w:left="1789" w:right="0" w:hanging="530"/>
        <w:jc w:val="left"/>
        <w:rPr>
          <w:sz w:val="21"/>
        </w:rPr>
      </w:pPr>
      <w:r>
        <w:rPr>
          <w:spacing w:val="-3"/>
          <w:sz w:val="21"/>
        </w:rPr>
        <w:t>更换基金托管人；</w:t>
      </w:r>
    </w:p>
    <w:p>
      <w:pPr>
        <w:pStyle w:val="BodyText"/>
        <w:spacing w:before="6"/>
        <w:rPr>
          <w:sz w:val="15"/>
        </w:rPr>
      </w:pPr>
    </w:p>
    <w:p>
      <w:pPr>
        <w:pStyle w:val="ListParagraph"/>
        <w:numPr>
          <w:ilvl w:val="0"/>
          <w:numId w:val="39"/>
        </w:numPr>
        <w:tabs>
          <w:tab w:pos="1790" w:val="left" w:leader="none"/>
        </w:tabs>
        <w:spacing w:line="240" w:lineRule="auto" w:before="0" w:after="0"/>
        <w:ind w:left="1789" w:right="0" w:hanging="530"/>
        <w:jc w:val="left"/>
        <w:rPr>
          <w:sz w:val="21"/>
        </w:rPr>
      </w:pPr>
      <w:r>
        <w:rPr>
          <w:spacing w:val="-3"/>
          <w:sz w:val="21"/>
        </w:rPr>
        <w:t>转换基金运作方式；</w:t>
      </w:r>
    </w:p>
    <w:p>
      <w:pPr>
        <w:pStyle w:val="BodyText"/>
        <w:spacing w:before="7"/>
        <w:rPr>
          <w:sz w:val="15"/>
        </w:rPr>
      </w:pPr>
    </w:p>
    <w:p>
      <w:pPr>
        <w:pStyle w:val="ListParagraph"/>
        <w:numPr>
          <w:ilvl w:val="0"/>
          <w:numId w:val="39"/>
        </w:numPr>
        <w:tabs>
          <w:tab w:pos="1790" w:val="left" w:leader="none"/>
        </w:tabs>
        <w:spacing w:line="240" w:lineRule="auto" w:before="0" w:after="0"/>
        <w:ind w:left="1789" w:right="0" w:hanging="530"/>
        <w:jc w:val="left"/>
        <w:rPr>
          <w:sz w:val="21"/>
        </w:rPr>
      </w:pPr>
      <w:r>
        <w:rPr>
          <w:spacing w:val="-3"/>
          <w:sz w:val="21"/>
        </w:rPr>
        <w:t>提高基金管理人、基金托管人的报酬标准；</w:t>
      </w:r>
    </w:p>
    <w:p>
      <w:pPr>
        <w:pStyle w:val="BodyText"/>
        <w:spacing w:before="7"/>
        <w:rPr>
          <w:sz w:val="15"/>
        </w:rPr>
      </w:pPr>
    </w:p>
    <w:p>
      <w:pPr>
        <w:pStyle w:val="ListParagraph"/>
        <w:numPr>
          <w:ilvl w:val="0"/>
          <w:numId w:val="39"/>
        </w:numPr>
        <w:tabs>
          <w:tab w:pos="1790" w:val="left" w:leader="none"/>
        </w:tabs>
        <w:spacing w:line="240" w:lineRule="auto" w:before="0" w:after="0"/>
        <w:ind w:left="1789" w:right="0" w:hanging="530"/>
        <w:jc w:val="left"/>
        <w:rPr>
          <w:sz w:val="21"/>
        </w:rPr>
      </w:pPr>
      <w:r>
        <w:rPr>
          <w:spacing w:val="-3"/>
          <w:sz w:val="21"/>
        </w:rPr>
        <w:t>变更基金类别；</w:t>
      </w:r>
    </w:p>
    <w:p>
      <w:pPr>
        <w:pStyle w:val="BodyText"/>
        <w:spacing w:before="6"/>
        <w:rPr>
          <w:sz w:val="15"/>
        </w:rPr>
      </w:pPr>
    </w:p>
    <w:p>
      <w:pPr>
        <w:pStyle w:val="ListParagraph"/>
        <w:numPr>
          <w:ilvl w:val="0"/>
          <w:numId w:val="39"/>
        </w:numPr>
        <w:tabs>
          <w:tab w:pos="1790" w:val="left" w:leader="none"/>
        </w:tabs>
        <w:spacing w:line="240" w:lineRule="auto" w:before="0" w:after="0"/>
        <w:ind w:left="1789" w:right="0" w:hanging="530"/>
        <w:jc w:val="left"/>
        <w:rPr>
          <w:sz w:val="21"/>
        </w:rPr>
      </w:pPr>
      <w:r>
        <w:rPr>
          <w:spacing w:val="-3"/>
          <w:sz w:val="21"/>
        </w:rPr>
        <w:t>变更基金投资目标、范围或策略；</w:t>
      </w:r>
    </w:p>
    <w:p>
      <w:pPr>
        <w:pStyle w:val="BodyText"/>
        <w:spacing w:before="7"/>
        <w:rPr>
          <w:sz w:val="15"/>
        </w:rPr>
      </w:pPr>
    </w:p>
    <w:p>
      <w:pPr>
        <w:pStyle w:val="ListParagraph"/>
        <w:numPr>
          <w:ilvl w:val="0"/>
          <w:numId w:val="39"/>
        </w:numPr>
        <w:tabs>
          <w:tab w:pos="1790" w:val="left" w:leader="none"/>
        </w:tabs>
        <w:spacing w:line="240" w:lineRule="auto" w:before="0" w:after="0"/>
        <w:ind w:left="1789" w:right="0" w:hanging="530"/>
        <w:jc w:val="left"/>
        <w:rPr>
          <w:sz w:val="21"/>
        </w:rPr>
      </w:pPr>
      <w:r>
        <w:rPr>
          <w:spacing w:val="-3"/>
          <w:sz w:val="21"/>
        </w:rPr>
        <w:t>变更基金份额持有人大会程序；</w:t>
      </w:r>
    </w:p>
    <w:p>
      <w:pPr>
        <w:pStyle w:val="BodyText"/>
        <w:spacing w:before="7"/>
        <w:rPr>
          <w:sz w:val="15"/>
        </w:rPr>
      </w:pPr>
    </w:p>
    <w:p>
      <w:pPr>
        <w:pStyle w:val="ListParagraph"/>
        <w:numPr>
          <w:ilvl w:val="0"/>
          <w:numId w:val="39"/>
        </w:numPr>
        <w:tabs>
          <w:tab w:pos="1790" w:val="left" w:leader="none"/>
        </w:tabs>
        <w:spacing w:line="240" w:lineRule="auto" w:before="0" w:after="0"/>
        <w:ind w:left="1789" w:right="0" w:hanging="530"/>
        <w:jc w:val="left"/>
        <w:rPr>
          <w:sz w:val="21"/>
        </w:rPr>
      </w:pPr>
      <w:r>
        <w:rPr>
          <w:spacing w:val="-3"/>
          <w:sz w:val="21"/>
        </w:rPr>
        <w:t>对基金当事人权利和义务产生重大影响的事项；</w:t>
      </w:r>
    </w:p>
    <w:p>
      <w:pPr>
        <w:pStyle w:val="BodyText"/>
        <w:spacing w:before="7"/>
        <w:rPr>
          <w:sz w:val="15"/>
        </w:rPr>
      </w:pPr>
    </w:p>
    <w:p>
      <w:pPr>
        <w:pStyle w:val="BodyText"/>
        <w:spacing w:line="417" w:lineRule="auto"/>
        <w:ind w:left="840" w:right="891" w:firstLine="419"/>
        <w:jc w:val="both"/>
      </w:pPr>
      <w:r>
        <w:rPr>
          <w:rFonts w:ascii="Times New Roman" w:eastAsia="Times New Roman"/>
        </w:rPr>
        <w:t>2</w:t>
      </w:r>
      <w:r>
        <w:rPr>
          <w:spacing w:val="-3"/>
        </w:rPr>
        <w:t>、基金合同变更的内容对基金合同当事人权利、义务产生重大影响的，应经基金份额</w:t>
      </w:r>
      <w:r>
        <w:rPr>
          <w:spacing w:val="-9"/>
        </w:rPr>
        <w:t>持有人大会决议同意，并报中国证监会核准或备案。但如因相应的法律、法规发生变动并属</w:t>
      </w:r>
      <w:r>
        <w:rPr>
          <w:spacing w:val="-10"/>
        </w:rPr>
        <w:t>于基金合同必须遵照进行修改的情形，或者基金合同另有规定的，可不经基金份额持有人大</w:t>
      </w:r>
      <w:r>
        <w:rPr>
          <w:spacing w:val="-5"/>
        </w:rPr>
        <w:t>会决议，而经基金管理人和基金托管人同意后修改，并报证监会备案。</w:t>
      </w:r>
    </w:p>
    <w:p>
      <w:pPr>
        <w:pStyle w:val="BodyText"/>
        <w:spacing w:line="417" w:lineRule="auto"/>
        <w:ind w:left="840" w:right="894" w:firstLine="419"/>
      </w:pPr>
      <w:r>
        <w:rPr>
          <w:rFonts w:ascii="Times New Roman" w:eastAsia="Times New Roman"/>
        </w:rPr>
        <w:t>3</w:t>
      </w:r>
      <w:r>
        <w:rPr/>
        <w:t>、依现行有效的有关法律法规，对《基金合同》的变更自中国证监会核准或出具无异议意见之日起生效。</w:t>
      </w:r>
    </w:p>
    <w:p>
      <w:pPr>
        <w:pStyle w:val="BodyText"/>
        <w:spacing w:line="417" w:lineRule="auto"/>
        <w:ind w:left="840" w:right="891" w:firstLine="419"/>
        <w:jc w:val="both"/>
      </w:pPr>
      <w:r>
        <w:rPr>
          <w:rFonts w:ascii="Times New Roman" w:eastAsia="Times New Roman"/>
        </w:rPr>
        <w:t>4</w:t>
      </w:r>
      <w:r>
        <w:rPr>
          <w:spacing w:val="-6"/>
        </w:rPr>
        <w:t>、除依本《基金合同》和</w:t>
      </w:r>
      <w:r>
        <w:rPr>
          <w:rFonts w:ascii="Times New Roman" w:eastAsia="Times New Roman"/>
        </w:rPr>
        <w:t>/</w:t>
      </w:r>
      <w:r>
        <w:rPr>
          <w:spacing w:val="-6"/>
        </w:rPr>
        <w:t>或依现行有效的有关法律法规，对《基金合同》的变更须基金份额持有人大会决议通过和</w:t>
      </w:r>
      <w:r>
        <w:rPr>
          <w:rFonts w:ascii="Times New Roman" w:eastAsia="Times New Roman"/>
        </w:rPr>
        <w:t>/</w:t>
      </w:r>
      <w:r>
        <w:rPr/>
        <w:t>或须报中国证监会核准以外的情形，经基金管理人和基金托</w:t>
      </w:r>
      <w:r>
        <w:rPr>
          <w:spacing w:val="-3"/>
        </w:rPr>
        <w:t>管人同意可对《基金合同》进行变更后公布，并报中国证监会备案。</w:t>
      </w:r>
    </w:p>
    <w:p>
      <w:pPr>
        <w:pStyle w:val="BodyText"/>
        <w:rPr>
          <w:sz w:val="20"/>
        </w:rPr>
      </w:pPr>
    </w:p>
    <w:p>
      <w:pPr>
        <w:pStyle w:val="BodyText"/>
        <w:spacing w:before="6"/>
        <w:rPr>
          <w:sz w:val="16"/>
        </w:rPr>
      </w:pPr>
    </w:p>
    <w:p>
      <w:pPr>
        <w:pStyle w:val="Heading4"/>
      </w:pPr>
      <w:r>
        <w:rPr/>
        <w:t>二、《基金合同》的终止</w:t>
      </w:r>
    </w:p>
    <w:p>
      <w:pPr>
        <w:pStyle w:val="BodyText"/>
        <w:spacing w:before="7"/>
        <w:rPr>
          <w:b/>
          <w:sz w:val="15"/>
        </w:rPr>
      </w:pPr>
    </w:p>
    <w:p>
      <w:pPr>
        <w:pStyle w:val="BodyText"/>
        <w:ind w:left="1260"/>
      </w:pPr>
      <w:r>
        <w:rPr/>
        <w:t>有下列情形之一的，基金合同应当终止：</w:t>
      </w:r>
    </w:p>
    <w:p>
      <w:pPr>
        <w:pStyle w:val="BodyText"/>
        <w:spacing w:before="6"/>
        <w:rPr>
          <w:sz w:val="15"/>
        </w:rPr>
      </w:pPr>
    </w:p>
    <w:p>
      <w:pPr>
        <w:pStyle w:val="BodyText"/>
        <w:ind w:left="126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840" w:right="83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1260"/>
      </w:pPr>
      <w:r>
        <w:rPr>
          <w:rFonts w:ascii="Times New Roman" w:eastAsia="Times New Roman"/>
        </w:rPr>
        <w:t>3</w:t>
      </w:r>
      <w:r>
        <w:rPr/>
        <w:t>、《基金合同》约定的其他情形；</w:t>
      </w:r>
    </w:p>
    <w:p>
      <w:pPr>
        <w:spacing w:after="0"/>
        <w:sectPr>
          <w:pgSz w:w="11910" w:h="16840"/>
          <w:pgMar w:header="877" w:footer="995" w:top="1100" w:bottom="1180" w:left="960" w:right="900"/>
        </w:sectPr>
      </w:pPr>
    </w:p>
    <w:p>
      <w:pPr>
        <w:pStyle w:val="BodyText"/>
        <w:spacing w:before="10"/>
        <w:rPr>
          <w:sz w:val="26"/>
        </w:rPr>
      </w:pPr>
    </w:p>
    <w:p>
      <w:pPr>
        <w:pStyle w:val="BodyText"/>
        <w:spacing w:before="78"/>
        <w:ind w:left="1260"/>
      </w:pPr>
      <w:r>
        <w:rPr>
          <w:rFonts w:ascii="Times New Roman" w:eastAsia="Times New Roman"/>
        </w:rPr>
        <w:t>4</w:t>
      </w:r>
      <w:r>
        <w:rPr/>
        <w:t>、相关法律法规和中国证监会规定的其他情况。</w:t>
      </w:r>
    </w:p>
    <w:p>
      <w:pPr>
        <w:pStyle w:val="BodyText"/>
        <w:rPr>
          <w:sz w:val="22"/>
        </w:rPr>
      </w:pPr>
    </w:p>
    <w:p>
      <w:pPr>
        <w:pStyle w:val="BodyText"/>
        <w:spacing w:before="1"/>
        <w:rPr>
          <w:sz w:val="30"/>
        </w:rPr>
      </w:pPr>
    </w:p>
    <w:p>
      <w:pPr>
        <w:pStyle w:val="Heading4"/>
      </w:pPr>
      <w:r>
        <w:rPr/>
        <w:t>三、基金财产的清算</w:t>
      </w:r>
    </w:p>
    <w:p>
      <w:pPr>
        <w:pStyle w:val="BodyText"/>
        <w:spacing w:before="6"/>
        <w:rPr>
          <w:b/>
          <w:sz w:val="15"/>
        </w:rPr>
      </w:pPr>
    </w:p>
    <w:p>
      <w:pPr>
        <w:pStyle w:val="BodyText"/>
        <w:spacing w:line="417" w:lineRule="auto" w:before="1"/>
        <w:ind w:left="840" w:right="800" w:firstLine="419"/>
        <w:jc w:val="both"/>
      </w:pPr>
      <w:r>
        <w:rPr>
          <w:rFonts w:ascii="Times New Roman" w:eastAsia="Times New Roman"/>
        </w:rPr>
        <w:t>1</w:t>
      </w:r>
      <w:r>
        <w:rPr>
          <w:spacing w:val="-5"/>
        </w:rPr>
        <w:t>、基金财产清算小组：自出现基金合同终止事由之日起 </w:t>
      </w:r>
      <w:r>
        <w:rPr>
          <w:rFonts w:ascii="Times New Roman" w:eastAsia="Times New Roman"/>
        </w:rPr>
        <w:t>30 </w:t>
      </w:r>
      <w:r>
        <w:rPr>
          <w:spacing w:val="-3"/>
        </w:rPr>
        <w:t>个工作日内成立清算小组， 基金管理人组织基金财产清算小组并在中国证监会的监督下进行基金清算。</w:t>
      </w:r>
    </w:p>
    <w:p>
      <w:pPr>
        <w:pStyle w:val="BodyText"/>
        <w:spacing w:line="417" w:lineRule="auto"/>
        <w:ind w:left="840" w:right="891" w:firstLine="419"/>
        <w:jc w:val="both"/>
      </w:pPr>
      <w:r>
        <w:rPr>
          <w:rFonts w:ascii="Times New Roman" w:eastAsia="Times New Roman"/>
        </w:rPr>
        <w:t>2</w:t>
      </w:r>
      <w:r>
        <w:rPr>
          <w:spacing w:val="-3"/>
        </w:rPr>
        <w:t>、基金财产清算小组组成：基金财产清算小组成员由基金管理人、基金托管人、具有</w:t>
      </w:r>
      <w:r>
        <w:rPr>
          <w:spacing w:val="-10"/>
        </w:rPr>
        <w:t>从事证券、期货相关业务资格的注册会计师、律师以及中国证监会指定的人员组成。基金财</w:t>
      </w:r>
      <w:r>
        <w:rPr>
          <w:spacing w:val="-5"/>
        </w:rPr>
        <w:t>产清算小组可以聘用必要的工作人员。</w:t>
      </w:r>
    </w:p>
    <w:p>
      <w:pPr>
        <w:pStyle w:val="BodyText"/>
        <w:spacing w:line="417" w:lineRule="auto"/>
        <w:ind w:left="840" w:right="896"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1260"/>
      </w:pPr>
      <w:r>
        <w:rPr>
          <w:rFonts w:ascii="Times New Roman" w:eastAsia="Times New Roman"/>
        </w:rPr>
        <w:t>4</w:t>
      </w:r>
      <w:r>
        <w:rPr/>
        <w:t>、基金财产清算程序：</w:t>
      </w:r>
    </w:p>
    <w:p>
      <w:pPr>
        <w:pStyle w:val="BodyText"/>
        <w:spacing w:before="6"/>
        <w:rPr>
          <w:sz w:val="15"/>
        </w:rPr>
      </w:pPr>
    </w:p>
    <w:p>
      <w:pPr>
        <w:pStyle w:val="ListParagraph"/>
        <w:numPr>
          <w:ilvl w:val="0"/>
          <w:numId w:val="40"/>
        </w:numPr>
        <w:tabs>
          <w:tab w:pos="1790" w:val="left" w:leader="none"/>
        </w:tabs>
        <w:spacing w:line="240" w:lineRule="auto" w:before="0" w:after="0"/>
        <w:ind w:left="1789" w:right="0" w:hanging="530"/>
        <w:jc w:val="left"/>
        <w:rPr>
          <w:sz w:val="21"/>
        </w:rPr>
      </w:pPr>
      <w:r>
        <w:rPr>
          <w:spacing w:val="-3"/>
          <w:sz w:val="21"/>
        </w:rPr>
        <w:t>基金合同终止后，由基金财产清算小组统一接管基金；</w:t>
      </w:r>
    </w:p>
    <w:p>
      <w:pPr>
        <w:pStyle w:val="BodyText"/>
        <w:spacing w:before="7"/>
        <w:rPr>
          <w:sz w:val="15"/>
        </w:rPr>
      </w:pPr>
    </w:p>
    <w:p>
      <w:pPr>
        <w:pStyle w:val="ListParagraph"/>
        <w:numPr>
          <w:ilvl w:val="0"/>
          <w:numId w:val="40"/>
        </w:numPr>
        <w:tabs>
          <w:tab w:pos="1790" w:val="left" w:leader="none"/>
        </w:tabs>
        <w:spacing w:line="240" w:lineRule="auto" w:before="0" w:after="0"/>
        <w:ind w:left="1789" w:right="0" w:hanging="530"/>
        <w:jc w:val="left"/>
        <w:rPr>
          <w:sz w:val="21"/>
        </w:rPr>
      </w:pPr>
      <w:r>
        <w:rPr>
          <w:spacing w:val="-3"/>
          <w:sz w:val="21"/>
        </w:rPr>
        <w:t>对基金财产和债权债务进行清理和确认；</w:t>
      </w:r>
    </w:p>
    <w:p>
      <w:pPr>
        <w:pStyle w:val="BodyText"/>
        <w:spacing w:before="6"/>
        <w:rPr>
          <w:sz w:val="15"/>
        </w:rPr>
      </w:pPr>
    </w:p>
    <w:p>
      <w:pPr>
        <w:pStyle w:val="ListParagraph"/>
        <w:numPr>
          <w:ilvl w:val="0"/>
          <w:numId w:val="40"/>
        </w:numPr>
        <w:tabs>
          <w:tab w:pos="1790" w:val="left" w:leader="none"/>
        </w:tabs>
        <w:spacing w:line="240" w:lineRule="auto" w:before="1" w:after="0"/>
        <w:ind w:left="178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40"/>
        </w:numPr>
        <w:tabs>
          <w:tab w:pos="1790" w:val="left" w:leader="none"/>
        </w:tabs>
        <w:spacing w:line="240" w:lineRule="auto" w:before="0" w:after="0"/>
        <w:ind w:left="1789" w:right="0" w:hanging="530"/>
        <w:jc w:val="left"/>
        <w:rPr>
          <w:sz w:val="21"/>
        </w:rPr>
      </w:pPr>
      <w:r>
        <w:rPr>
          <w:spacing w:val="-3"/>
          <w:sz w:val="21"/>
        </w:rPr>
        <w:t>对基金财产进行分配；</w:t>
      </w:r>
    </w:p>
    <w:p>
      <w:pPr>
        <w:pStyle w:val="BodyText"/>
        <w:spacing w:before="6"/>
        <w:rPr>
          <w:sz w:val="15"/>
        </w:rPr>
      </w:pPr>
    </w:p>
    <w:p>
      <w:pPr>
        <w:pStyle w:val="ListParagraph"/>
        <w:numPr>
          <w:ilvl w:val="0"/>
          <w:numId w:val="40"/>
        </w:numPr>
        <w:tabs>
          <w:tab w:pos="1790" w:val="left" w:leader="none"/>
        </w:tabs>
        <w:spacing w:line="240" w:lineRule="auto" w:before="1" w:after="0"/>
        <w:ind w:left="1789" w:right="0" w:hanging="530"/>
        <w:jc w:val="left"/>
        <w:rPr>
          <w:sz w:val="21"/>
        </w:rPr>
      </w:pPr>
      <w:r>
        <w:rPr>
          <w:spacing w:val="-3"/>
          <w:sz w:val="21"/>
        </w:rPr>
        <w:t>制作清算报告；</w:t>
      </w:r>
    </w:p>
    <w:p>
      <w:pPr>
        <w:pStyle w:val="BodyText"/>
        <w:spacing w:before="6"/>
        <w:rPr>
          <w:sz w:val="15"/>
        </w:rPr>
      </w:pPr>
    </w:p>
    <w:p>
      <w:pPr>
        <w:pStyle w:val="ListParagraph"/>
        <w:numPr>
          <w:ilvl w:val="0"/>
          <w:numId w:val="40"/>
        </w:numPr>
        <w:tabs>
          <w:tab w:pos="1790" w:val="left" w:leader="none"/>
        </w:tabs>
        <w:spacing w:line="417" w:lineRule="auto" w:before="0" w:after="0"/>
        <w:ind w:left="840" w:right="89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40"/>
        </w:numPr>
        <w:tabs>
          <w:tab w:pos="1790" w:val="left" w:leader="none"/>
        </w:tabs>
        <w:spacing w:line="269" w:lineRule="exact" w:before="0" w:after="0"/>
        <w:ind w:left="1789" w:right="0" w:hanging="530"/>
        <w:jc w:val="left"/>
        <w:rPr>
          <w:sz w:val="21"/>
        </w:rPr>
      </w:pPr>
      <w:r>
        <w:rPr>
          <w:spacing w:val="-3"/>
          <w:sz w:val="21"/>
        </w:rPr>
        <w:t>将清算报告报中国证监会备案并公告。</w:t>
      </w:r>
    </w:p>
    <w:p>
      <w:pPr>
        <w:pStyle w:val="BodyText"/>
        <w:spacing w:before="7"/>
        <w:rPr>
          <w:sz w:val="15"/>
        </w:rPr>
      </w:pPr>
    </w:p>
    <w:p>
      <w:pPr>
        <w:pStyle w:val="BodyText"/>
        <w:ind w:left="1260"/>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rPr>
          <w:sz w:val="15"/>
        </w:rPr>
      </w:pPr>
    </w:p>
    <w:p>
      <w:pPr>
        <w:pStyle w:val="BodyText"/>
        <w:ind w:left="1262"/>
      </w:pPr>
      <w:r>
        <w:rPr>
          <w:rFonts w:ascii="Times New Roman" w:eastAsia="Times New Roman"/>
        </w:rPr>
        <w:t>6</w:t>
      </w:r>
      <w:r>
        <w:rPr/>
        <w:t>、清算费用</w:t>
      </w:r>
    </w:p>
    <w:p>
      <w:pPr>
        <w:pStyle w:val="BodyText"/>
        <w:spacing w:before="7"/>
        <w:rPr>
          <w:sz w:val="15"/>
        </w:rPr>
      </w:pPr>
    </w:p>
    <w:p>
      <w:pPr>
        <w:pStyle w:val="BodyText"/>
        <w:spacing w:line="417" w:lineRule="auto"/>
        <w:ind w:left="840" w:right="89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1260"/>
      </w:pPr>
      <w:r>
        <w:rPr>
          <w:rFonts w:ascii="Times New Roman" w:eastAsia="Times New Roman"/>
        </w:rPr>
        <w:t>7</w:t>
      </w:r>
      <w:r>
        <w:rPr/>
        <w:t>、基金财产清算剩余资产的分配</w:t>
      </w:r>
    </w:p>
    <w:p>
      <w:pPr>
        <w:pStyle w:val="BodyText"/>
        <w:spacing w:before="7"/>
        <w:rPr>
          <w:sz w:val="15"/>
        </w:rPr>
      </w:pPr>
    </w:p>
    <w:p>
      <w:pPr>
        <w:pStyle w:val="BodyText"/>
        <w:spacing w:line="417" w:lineRule="auto"/>
        <w:ind w:left="840" w:right="891" w:firstLine="419"/>
      </w:pPr>
      <w:r>
        <w:rPr>
          <w:spacing w:val="-10"/>
        </w:rPr>
        <w:t>依据基金财产清算的分配方案，将基金财产清算后的全部剩余资产扣除基金财产清算费</w:t>
      </w:r>
      <w:r>
        <w:rPr>
          <w:spacing w:val="-5"/>
        </w:rPr>
        <w:t>用后，按基金份额持有人持有的基金份额比例进行分配。</w:t>
      </w:r>
    </w:p>
    <w:p>
      <w:pPr>
        <w:pStyle w:val="BodyText"/>
        <w:spacing w:line="269" w:lineRule="exact"/>
        <w:ind w:left="1260"/>
      </w:pPr>
      <w:r>
        <w:rPr>
          <w:rFonts w:ascii="Times New Roman" w:eastAsia="Times New Roman"/>
        </w:rPr>
        <w:t>8</w:t>
      </w:r>
      <w:r>
        <w:rPr/>
        <w:t>、基金财产清算的公告</w:t>
      </w:r>
    </w:p>
    <w:p>
      <w:pPr>
        <w:pStyle w:val="BodyText"/>
        <w:spacing w:before="6"/>
        <w:rPr>
          <w:sz w:val="15"/>
        </w:rPr>
      </w:pPr>
    </w:p>
    <w:p>
      <w:pPr>
        <w:pStyle w:val="BodyText"/>
        <w:spacing w:line="417" w:lineRule="auto" w:before="1"/>
        <w:ind w:left="840" w:right="891" w:firstLine="419"/>
        <w:jc w:val="both"/>
      </w:pPr>
      <w:r>
        <w:rPr>
          <w:spacing w:val="-13"/>
        </w:rPr>
        <w:t>基金财产清算报告在《基金合同》终止并报中国证监会备案后 </w:t>
      </w:r>
      <w:r>
        <w:rPr>
          <w:rFonts w:ascii="Times New Roman" w:eastAsia="Times New Roman"/>
        </w:rPr>
        <w:t>5 </w:t>
      </w:r>
      <w:r>
        <w:rPr>
          <w:spacing w:val="-3"/>
        </w:rPr>
        <w:t>个工作日内由基金财产</w:t>
      </w:r>
      <w:r>
        <w:rPr>
          <w:spacing w:val="-11"/>
        </w:rPr>
        <w:t>清算小组公告，基金财产清算小组应当将清算报告登载在指定网站上，并将清算报告提示性</w:t>
      </w:r>
      <w:r>
        <w:rPr>
          <w:spacing w:val="-13"/>
        </w:rPr>
        <w:t>公告登载在指定报刊上；清算过程中的有关重大事项须及时公告；基金财产清算报告经具有</w:t>
      </w:r>
    </w:p>
    <w:p>
      <w:pPr>
        <w:spacing w:after="0" w:line="417" w:lineRule="auto"/>
        <w:jc w:val="both"/>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pPr>
      <w:r>
        <w:rPr>
          <w:spacing w:val="-12"/>
        </w:rPr>
        <w:t>证券、期货相关业务资格的会计师事务所审计并由律师事务所出具法律意见书后报中国证监</w:t>
      </w:r>
      <w:r>
        <w:rPr>
          <w:spacing w:val="-6"/>
        </w:rPr>
        <w:t>会备案并公告。</w:t>
      </w:r>
    </w:p>
    <w:p>
      <w:pPr>
        <w:pStyle w:val="BodyText"/>
        <w:spacing w:line="269" w:lineRule="exact"/>
        <w:ind w:left="1260"/>
      </w:pPr>
      <w:r>
        <w:rPr>
          <w:rFonts w:ascii="Times New Roman" w:eastAsia="Times New Roman"/>
        </w:rPr>
        <w:t>9</w:t>
      </w:r>
      <w:r>
        <w:rPr/>
        <w:t>、基金财产清算账册及文件的保存</w:t>
      </w:r>
    </w:p>
    <w:p>
      <w:pPr>
        <w:pStyle w:val="BodyText"/>
        <w:spacing w:before="7"/>
        <w:rPr>
          <w:sz w:val="15"/>
        </w:rPr>
      </w:pPr>
    </w:p>
    <w:p>
      <w:pPr>
        <w:pStyle w:val="BodyText"/>
        <w:ind w:left="1260"/>
      </w:pPr>
      <w:r>
        <w:rPr/>
        <w:t>基金财产清算账册及有关文件由基金托管人保存 </w:t>
      </w:r>
      <w:r>
        <w:rPr>
          <w:rFonts w:ascii="Times New Roman" w:eastAsia="Times New Roman"/>
        </w:rPr>
        <w:t>15 </w:t>
      </w:r>
      <w:r>
        <w:rPr/>
        <w:t>年以上。</w:t>
      </w:r>
    </w:p>
    <w:p>
      <w:pPr>
        <w:spacing w:after="0"/>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58"/>
      </w:pPr>
      <w:bookmarkStart w:name="_TOC_250005" w:id="19"/>
      <w:bookmarkEnd w:id="19"/>
      <w:r>
        <w:rPr/>
        <w:t>十九、基金合同的内容摘要</w:t>
      </w:r>
    </w:p>
    <w:p>
      <w:pPr>
        <w:pStyle w:val="BodyText"/>
        <w:spacing w:before="12"/>
        <w:rPr>
          <w:rFonts w:ascii="黑体"/>
          <w:b/>
          <w:sz w:val="41"/>
        </w:rPr>
      </w:pPr>
    </w:p>
    <w:p>
      <w:pPr>
        <w:pStyle w:val="Heading4"/>
      </w:pPr>
      <w:r>
        <w:rPr/>
        <w:t>一、基金份额持有人、基金管理人和基金托管人的权利、义务</w:t>
      </w:r>
    </w:p>
    <w:p>
      <w:pPr>
        <w:pStyle w:val="BodyText"/>
        <w:spacing w:before="6"/>
        <w:rPr>
          <w:b/>
          <w:sz w:val="15"/>
        </w:rPr>
      </w:pPr>
    </w:p>
    <w:p>
      <w:pPr>
        <w:pStyle w:val="BodyText"/>
        <w:spacing w:before="1"/>
        <w:ind w:left="840"/>
      </w:pPr>
      <w:r>
        <w:rPr/>
        <w:t>（一）基金份额持有人的权利与义务</w:t>
      </w:r>
    </w:p>
    <w:p>
      <w:pPr>
        <w:pStyle w:val="BodyText"/>
        <w:spacing w:before="6"/>
        <w:rPr>
          <w:sz w:val="15"/>
        </w:rPr>
      </w:pPr>
    </w:p>
    <w:p>
      <w:pPr>
        <w:pStyle w:val="BodyText"/>
        <w:spacing w:line="417" w:lineRule="auto"/>
        <w:ind w:left="840" w:right="891" w:firstLine="419"/>
        <w:jc w:val="both"/>
      </w:pPr>
      <w:r>
        <w:rPr>
          <w:spacing w:val="-7"/>
        </w:rPr>
        <w:t>基金投资者购买本基金基金份额的行为即视为对《基金合同》的承认和接受，基金投资</w:t>
      </w:r>
      <w:r>
        <w:rPr>
          <w:spacing w:val="-12"/>
        </w:rPr>
        <w:t>者自取得依据《基金合同》募集的基金份额，即成为本基金份额持有人和《基金合同》的当</w:t>
      </w:r>
      <w:r>
        <w:rPr>
          <w:spacing w:val="-11"/>
        </w:rPr>
        <w:t>事人，直至其不再持有本基金的基金份额。基金份额持有人作为本《基金合同》当事人并不</w:t>
      </w:r>
      <w:r>
        <w:rPr>
          <w:spacing w:val="-6"/>
        </w:rPr>
        <w:t>以在《基金合同》上书面签章为必要条件。</w:t>
      </w:r>
    </w:p>
    <w:p>
      <w:pPr>
        <w:pStyle w:val="BodyText"/>
        <w:ind w:left="1260"/>
      </w:pPr>
      <w:r>
        <w:rPr/>
        <w:t>每份基金份额具有同等的合法权益。</w:t>
      </w:r>
    </w:p>
    <w:p>
      <w:pPr>
        <w:pStyle w:val="BodyText"/>
        <w:spacing w:before="7"/>
        <w:rPr>
          <w:sz w:val="15"/>
        </w:rPr>
      </w:pPr>
    </w:p>
    <w:p>
      <w:pPr>
        <w:pStyle w:val="BodyText"/>
        <w:spacing w:line="417" w:lineRule="auto"/>
        <w:ind w:left="840" w:right="89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1"/>
        </w:numPr>
        <w:tabs>
          <w:tab w:pos="1790" w:val="left" w:leader="none"/>
        </w:tabs>
        <w:spacing w:line="269" w:lineRule="exact" w:before="0" w:after="0"/>
        <w:ind w:left="1789" w:right="0" w:hanging="530"/>
        <w:jc w:val="left"/>
        <w:rPr>
          <w:sz w:val="21"/>
        </w:rPr>
      </w:pPr>
      <w:r>
        <w:rPr>
          <w:spacing w:val="-3"/>
          <w:sz w:val="21"/>
        </w:rPr>
        <w:t>分享基金财产收益；</w:t>
      </w:r>
    </w:p>
    <w:p>
      <w:pPr>
        <w:pStyle w:val="BodyText"/>
        <w:spacing w:before="7"/>
        <w:rPr>
          <w:sz w:val="15"/>
        </w:rPr>
      </w:pPr>
    </w:p>
    <w:p>
      <w:pPr>
        <w:pStyle w:val="ListParagraph"/>
        <w:numPr>
          <w:ilvl w:val="0"/>
          <w:numId w:val="41"/>
        </w:numPr>
        <w:tabs>
          <w:tab w:pos="1790" w:val="left" w:leader="none"/>
        </w:tabs>
        <w:spacing w:line="240" w:lineRule="auto" w:before="0" w:after="0"/>
        <w:ind w:left="1789" w:right="0" w:hanging="530"/>
        <w:jc w:val="left"/>
        <w:rPr>
          <w:sz w:val="21"/>
        </w:rPr>
      </w:pPr>
      <w:r>
        <w:rPr>
          <w:spacing w:val="-3"/>
          <w:sz w:val="21"/>
        </w:rPr>
        <w:t>参与分配清算后的剩余基金财产；</w:t>
      </w:r>
    </w:p>
    <w:p>
      <w:pPr>
        <w:pStyle w:val="BodyText"/>
        <w:spacing w:before="7"/>
        <w:rPr>
          <w:sz w:val="15"/>
        </w:rPr>
      </w:pPr>
    </w:p>
    <w:p>
      <w:pPr>
        <w:pStyle w:val="ListParagraph"/>
        <w:numPr>
          <w:ilvl w:val="0"/>
          <w:numId w:val="41"/>
        </w:numPr>
        <w:tabs>
          <w:tab w:pos="1790" w:val="left" w:leader="none"/>
        </w:tabs>
        <w:spacing w:line="240" w:lineRule="auto" w:before="0" w:after="0"/>
        <w:ind w:left="1789" w:right="0" w:hanging="530"/>
        <w:jc w:val="left"/>
        <w:rPr>
          <w:sz w:val="21"/>
        </w:rPr>
      </w:pPr>
      <w:r>
        <w:rPr>
          <w:spacing w:val="-3"/>
          <w:sz w:val="21"/>
        </w:rPr>
        <w:t>依法申请赎回其持有的基金份额；</w:t>
      </w:r>
    </w:p>
    <w:p>
      <w:pPr>
        <w:pStyle w:val="BodyText"/>
        <w:spacing w:before="7"/>
        <w:rPr>
          <w:sz w:val="15"/>
        </w:rPr>
      </w:pPr>
    </w:p>
    <w:p>
      <w:pPr>
        <w:pStyle w:val="ListParagraph"/>
        <w:numPr>
          <w:ilvl w:val="0"/>
          <w:numId w:val="41"/>
        </w:numPr>
        <w:tabs>
          <w:tab w:pos="1790" w:val="left" w:leader="none"/>
        </w:tabs>
        <w:spacing w:line="240" w:lineRule="auto" w:before="0" w:after="0"/>
        <w:ind w:left="1789" w:right="0" w:hanging="530"/>
        <w:jc w:val="left"/>
        <w:rPr>
          <w:sz w:val="21"/>
        </w:rPr>
      </w:pPr>
      <w:r>
        <w:rPr>
          <w:spacing w:val="-3"/>
          <w:sz w:val="21"/>
        </w:rPr>
        <w:t>按照规定要求召开基金份额持有人大会；</w:t>
      </w:r>
    </w:p>
    <w:p>
      <w:pPr>
        <w:pStyle w:val="BodyText"/>
        <w:spacing w:before="6"/>
        <w:rPr>
          <w:sz w:val="15"/>
        </w:rPr>
      </w:pPr>
    </w:p>
    <w:p>
      <w:pPr>
        <w:pStyle w:val="ListParagraph"/>
        <w:numPr>
          <w:ilvl w:val="0"/>
          <w:numId w:val="41"/>
        </w:numPr>
        <w:tabs>
          <w:tab w:pos="1790" w:val="left" w:leader="none"/>
        </w:tabs>
        <w:spacing w:line="417" w:lineRule="auto" w:before="0" w:after="0"/>
        <w:ind w:left="840" w:right="893"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1"/>
        </w:numPr>
        <w:tabs>
          <w:tab w:pos="1790" w:val="left" w:leader="none"/>
        </w:tabs>
        <w:spacing w:line="269" w:lineRule="exact" w:before="0" w:after="0"/>
        <w:ind w:left="1789" w:right="0" w:hanging="530"/>
        <w:jc w:val="left"/>
        <w:rPr>
          <w:sz w:val="21"/>
        </w:rPr>
      </w:pPr>
      <w:r>
        <w:rPr>
          <w:spacing w:val="-3"/>
          <w:sz w:val="21"/>
        </w:rPr>
        <w:t>查阅或者复制公开披露的基金信息资料；</w:t>
      </w:r>
    </w:p>
    <w:p>
      <w:pPr>
        <w:pStyle w:val="BodyText"/>
        <w:spacing w:before="7"/>
        <w:rPr>
          <w:sz w:val="15"/>
        </w:rPr>
      </w:pPr>
    </w:p>
    <w:p>
      <w:pPr>
        <w:pStyle w:val="ListParagraph"/>
        <w:numPr>
          <w:ilvl w:val="0"/>
          <w:numId w:val="41"/>
        </w:numPr>
        <w:tabs>
          <w:tab w:pos="1790" w:val="left" w:leader="none"/>
        </w:tabs>
        <w:spacing w:line="240" w:lineRule="auto" w:before="0" w:after="0"/>
        <w:ind w:left="1789" w:right="0" w:hanging="530"/>
        <w:jc w:val="left"/>
        <w:rPr>
          <w:sz w:val="21"/>
        </w:rPr>
      </w:pPr>
      <w:r>
        <w:rPr>
          <w:spacing w:val="-3"/>
          <w:sz w:val="21"/>
        </w:rPr>
        <w:t>监督基金管理人的投资运作；</w:t>
      </w:r>
    </w:p>
    <w:p>
      <w:pPr>
        <w:pStyle w:val="BodyText"/>
        <w:spacing w:before="7"/>
        <w:rPr>
          <w:sz w:val="15"/>
        </w:rPr>
      </w:pPr>
    </w:p>
    <w:p>
      <w:pPr>
        <w:pStyle w:val="ListParagraph"/>
        <w:numPr>
          <w:ilvl w:val="0"/>
          <w:numId w:val="41"/>
        </w:numPr>
        <w:tabs>
          <w:tab w:pos="1790" w:val="left" w:leader="none"/>
        </w:tabs>
        <w:spacing w:line="417" w:lineRule="auto" w:before="0" w:after="0"/>
        <w:ind w:left="840" w:right="893" w:firstLine="419"/>
        <w:jc w:val="left"/>
        <w:rPr>
          <w:sz w:val="21"/>
        </w:rPr>
      </w:pPr>
      <w:r>
        <w:rPr>
          <w:spacing w:val="-3"/>
          <w:sz w:val="21"/>
        </w:rPr>
        <w:t>对基金管理人、基金托管人、基金份额发售机构损害其合法权益的行为依法提起诉讼；</w:t>
      </w:r>
    </w:p>
    <w:p>
      <w:pPr>
        <w:pStyle w:val="ListParagraph"/>
        <w:numPr>
          <w:ilvl w:val="0"/>
          <w:numId w:val="41"/>
        </w:numPr>
        <w:tabs>
          <w:tab w:pos="1790" w:val="left" w:leader="none"/>
        </w:tabs>
        <w:spacing w:line="240" w:lineRule="auto" w:before="0" w:after="0"/>
        <w:ind w:left="1789" w:right="0" w:hanging="530"/>
        <w:jc w:val="left"/>
        <w:rPr>
          <w:sz w:val="21"/>
        </w:rPr>
      </w:pPr>
      <w:r>
        <w:rPr>
          <w:spacing w:val="-3"/>
          <w:sz w:val="21"/>
        </w:rPr>
        <w:t>法律法规和《基金合同》规定的其他权利。</w:t>
      </w:r>
    </w:p>
    <w:p>
      <w:pPr>
        <w:pStyle w:val="BodyText"/>
        <w:spacing w:before="7"/>
        <w:rPr>
          <w:sz w:val="15"/>
        </w:rPr>
      </w:pPr>
    </w:p>
    <w:p>
      <w:pPr>
        <w:pStyle w:val="BodyText"/>
        <w:spacing w:line="417" w:lineRule="auto"/>
        <w:ind w:left="840" w:right="894"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2"/>
        </w:numPr>
        <w:tabs>
          <w:tab w:pos="1790" w:val="left" w:leader="none"/>
        </w:tabs>
        <w:spacing w:line="269" w:lineRule="exact" w:before="0" w:after="0"/>
        <w:ind w:left="1789" w:right="0" w:hanging="530"/>
        <w:jc w:val="left"/>
        <w:rPr>
          <w:sz w:val="21"/>
        </w:rPr>
      </w:pPr>
      <w:r>
        <w:rPr>
          <w:spacing w:val="-15"/>
          <w:sz w:val="21"/>
        </w:rPr>
        <w:t>遵守《基金合同》；</w:t>
      </w:r>
    </w:p>
    <w:p>
      <w:pPr>
        <w:pStyle w:val="BodyText"/>
        <w:spacing w:before="7"/>
        <w:rPr>
          <w:sz w:val="15"/>
        </w:rPr>
      </w:pPr>
    </w:p>
    <w:p>
      <w:pPr>
        <w:pStyle w:val="ListParagraph"/>
        <w:numPr>
          <w:ilvl w:val="0"/>
          <w:numId w:val="42"/>
        </w:numPr>
        <w:tabs>
          <w:tab w:pos="1790" w:val="left" w:leader="none"/>
        </w:tabs>
        <w:spacing w:line="240" w:lineRule="auto" w:before="0" w:after="0"/>
        <w:ind w:left="1789" w:right="0" w:hanging="530"/>
        <w:jc w:val="left"/>
        <w:rPr>
          <w:sz w:val="21"/>
        </w:rPr>
      </w:pPr>
      <w:r>
        <w:rPr>
          <w:spacing w:val="-3"/>
          <w:sz w:val="21"/>
        </w:rPr>
        <w:t>缴纳基金认购、申购、赎回款项及法律法规和《基金合同》所规定的费用；</w:t>
      </w:r>
    </w:p>
    <w:p>
      <w:pPr>
        <w:pStyle w:val="BodyText"/>
        <w:spacing w:before="6"/>
        <w:rPr>
          <w:sz w:val="15"/>
        </w:rPr>
      </w:pPr>
    </w:p>
    <w:p>
      <w:pPr>
        <w:pStyle w:val="ListParagraph"/>
        <w:numPr>
          <w:ilvl w:val="0"/>
          <w:numId w:val="42"/>
        </w:numPr>
        <w:tabs>
          <w:tab w:pos="1790" w:val="left" w:leader="none"/>
        </w:tabs>
        <w:spacing w:line="240" w:lineRule="auto" w:before="0" w:after="0"/>
        <w:ind w:left="1789" w:right="0" w:hanging="530"/>
        <w:jc w:val="left"/>
        <w:rPr>
          <w:sz w:val="21"/>
        </w:rPr>
      </w:pPr>
      <w:r>
        <w:rPr>
          <w:spacing w:val="-3"/>
          <w:sz w:val="21"/>
        </w:rPr>
        <w:t>在持有的基金份额范围内，承担基金亏损或者《基金合同》终止的有限责任；</w:t>
      </w:r>
    </w:p>
    <w:p>
      <w:pPr>
        <w:pStyle w:val="BodyText"/>
        <w:spacing w:before="7"/>
        <w:rPr>
          <w:sz w:val="15"/>
        </w:rPr>
      </w:pPr>
    </w:p>
    <w:p>
      <w:pPr>
        <w:pStyle w:val="ListParagraph"/>
        <w:numPr>
          <w:ilvl w:val="0"/>
          <w:numId w:val="42"/>
        </w:numPr>
        <w:tabs>
          <w:tab w:pos="1790" w:val="left" w:leader="none"/>
        </w:tabs>
        <w:spacing w:line="240" w:lineRule="auto" w:before="1" w:after="0"/>
        <w:ind w:left="1789" w:right="0" w:hanging="530"/>
        <w:jc w:val="left"/>
        <w:rPr>
          <w:sz w:val="21"/>
        </w:rPr>
      </w:pPr>
      <w:r>
        <w:rPr>
          <w:spacing w:val="-3"/>
          <w:sz w:val="21"/>
        </w:rPr>
        <w:t>不从事任何有损基金及其他《基金合同》当事人合法权益的活动；</w:t>
      </w:r>
    </w:p>
    <w:p>
      <w:pPr>
        <w:pStyle w:val="BodyText"/>
        <w:spacing w:before="6"/>
        <w:rPr>
          <w:sz w:val="15"/>
        </w:rPr>
      </w:pPr>
    </w:p>
    <w:p>
      <w:pPr>
        <w:pStyle w:val="ListParagraph"/>
        <w:numPr>
          <w:ilvl w:val="0"/>
          <w:numId w:val="42"/>
        </w:numPr>
        <w:tabs>
          <w:tab w:pos="1790" w:val="left" w:leader="none"/>
        </w:tabs>
        <w:spacing w:line="240" w:lineRule="auto" w:before="0" w:after="0"/>
        <w:ind w:left="1789" w:right="0" w:hanging="530"/>
        <w:jc w:val="left"/>
        <w:rPr>
          <w:sz w:val="21"/>
        </w:rPr>
      </w:pPr>
      <w:r>
        <w:rPr>
          <w:spacing w:val="-3"/>
          <w:sz w:val="21"/>
        </w:rPr>
        <w:t>返还在基金交易过程中因任何原因，自基金管理人、基金托管人及基金管理人的</w:t>
      </w:r>
    </w:p>
    <w:p>
      <w:pPr>
        <w:spacing w:after="0" w:line="240" w:lineRule="auto"/>
        <w:jc w:val="left"/>
        <w:rPr>
          <w:sz w:val="21"/>
        </w:rPr>
        <w:sectPr>
          <w:footerReference w:type="default" r:id="rId170"/>
          <w:pgSz w:w="11910" w:h="16840"/>
          <w:pgMar w:footer="995" w:header="877" w:top="1100" w:bottom="1180" w:left="960" w:right="900"/>
        </w:sectPr>
      </w:pPr>
    </w:p>
    <w:p>
      <w:pPr>
        <w:pStyle w:val="BodyText"/>
        <w:spacing w:before="4"/>
        <w:rPr>
          <w:sz w:val="27"/>
        </w:rPr>
      </w:pPr>
    </w:p>
    <w:p>
      <w:pPr>
        <w:pStyle w:val="BodyText"/>
        <w:spacing w:before="71"/>
        <w:ind w:left="840"/>
      </w:pPr>
      <w:r>
        <w:rPr/>
        <w:t>代理人处获得的不当得利；</w:t>
      </w:r>
    </w:p>
    <w:p>
      <w:pPr>
        <w:pStyle w:val="BodyText"/>
        <w:spacing w:before="7"/>
        <w:rPr>
          <w:sz w:val="15"/>
        </w:rPr>
      </w:pPr>
    </w:p>
    <w:p>
      <w:pPr>
        <w:pStyle w:val="ListParagraph"/>
        <w:numPr>
          <w:ilvl w:val="0"/>
          <w:numId w:val="42"/>
        </w:numPr>
        <w:tabs>
          <w:tab w:pos="1790" w:val="left" w:leader="none"/>
        </w:tabs>
        <w:spacing w:line="240" w:lineRule="auto" w:before="0" w:after="0"/>
        <w:ind w:left="1789" w:right="0" w:hanging="530"/>
        <w:jc w:val="left"/>
        <w:rPr>
          <w:sz w:val="21"/>
        </w:rPr>
      </w:pPr>
      <w:r>
        <w:rPr>
          <w:spacing w:val="-3"/>
          <w:sz w:val="21"/>
        </w:rPr>
        <w:t>法律法规和《基金合同》规定的其他义务。</w:t>
      </w:r>
    </w:p>
    <w:p>
      <w:pPr>
        <w:pStyle w:val="BodyText"/>
        <w:spacing w:before="7"/>
        <w:rPr>
          <w:sz w:val="15"/>
        </w:rPr>
      </w:pPr>
    </w:p>
    <w:p>
      <w:pPr>
        <w:pStyle w:val="BodyText"/>
        <w:ind w:left="840"/>
      </w:pPr>
      <w:r>
        <w:rPr/>
        <w:t>（二）基金管理人的权利与义务</w:t>
      </w:r>
    </w:p>
    <w:p>
      <w:pPr>
        <w:pStyle w:val="BodyText"/>
        <w:spacing w:before="6"/>
        <w:rPr>
          <w:sz w:val="15"/>
        </w:rPr>
      </w:pPr>
    </w:p>
    <w:p>
      <w:pPr>
        <w:pStyle w:val="BodyText"/>
        <w:spacing w:before="1"/>
        <w:ind w:left="1260"/>
      </w:pPr>
      <w:r>
        <w:rPr>
          <w:rFonts w:ascii="Times New Roman" w:eastAsia="Times New Roman"/>
        </w:rPr>
        <w:t>1</w:t>
      </w:r>
      <w:r>
        <w:rPr/>
        <w:t>、根据《基金法》、《运作办法》及其他有关规定，基金管理人的权利包括但不限于：</w:t>
      </w:r>
    </w:p>
    <w:p>
      <w:pPr>
        <w:pStyle w:val="BodyText"/>
        <w:spacing w:before="6"/>
        <w:rPr>
          <w:sz w:val="15"/>
        </w:rPr>
      </w:pPr>
    </w:p>
    <w:p>
      <w:pPr>
        <w:pStyle w:val="ListParagraph"/>
        <w:numPr>
          <w:ilvl w:val="0"/>
          <w:numId w:val="43"/>
        </w:numPr>
        <w:tabs>
          <w:tab w:pos="1790" w:val="left" w:leader="none"/>
        </w:tabs>
        <w:spacing w:line="240" w:lineRule="auto" w:before="0" w:after="0"/>
        <w:ind w:left="1789" w:right="0" w:hanging="530"/>
        <w:jc w:val="left"/>
        <w:rPr>
          <w:sz w:val="21"/>
        </w:rPr>
      </w:pPr>
      <w:r>
        <w:rPr>
          <w:spacing w:val="-3"/>
          <w:sz w:val="21"/>
        </w:rPr>
        <w:t>依法募集基金；</w:t>
      </w:r>
    </w:p>
    <w:p>
      <w:pPr>
        <w:pStyle w:val="BodyText"/>
        <w:spacing w:before="7"/>
        <w:rPr>
          <w:sz w:val="15"/>
        </w:rPr>
      </w:pPr>
    </w:p>
    <w:p>
      <w:pPr>
        <w:pStyle w:val="ListParagraph"/>
        <w:numPr>
          <w:ilvl w:val="0"/>
          <w:numId w:val="43"/>
        </w:numPr>
        <w:tabs>
          <w:tab w:pos="1790" w:val="left" w:leader="none"/>
        </w:tabs>
        <w:spacing w:line="417" w:lineRule="auto" w:before="0" w:after="0"/>
        <w:ind w:left="840" w:right="894" w:firstLine="419"/>
        <w:jc w:val="left"/>
        <w:rPr>
          <w:sz w:val="21"/>
        </w:rPr>
      </w:pPr>
      <w:r>
        <w:rPr>
          <w:spacing w:val="-3"/>
          <w:sz w:val="21"/>
        </w:rPr>
        <w:t>自《基金合同》生效之日起，根据法律法规和《基金合同》独立运用并管理基金财产，包括依照有关规定行使因基金财产投资于证券所产生的权利；</w:t>
      </w:r>
    </w:p>
    <w:p>
      <w:pPr>
        <w:pStyle w:val="ListParagraph"/>
        <w:numPr>
          <w:ilvl w:val="0"/>
          <w:numId w:val="43"/>
        </w:numPr>
        <w:tabs>
          <w:tab w:pos="1790" w:val="left" w:leader="none"/>
        </w:tabs>
        <w:spacing w:line="417" w:lineRule="auto" w:before="0" w:after="0"/>
        <w:ind w:left="840" w:right="894" w:firstLine="419"/>
        <w:jc w:val="left"/>
        <w:rPr>
          <w:sz w:val="21"/>
        </w:rPr>
      </w:pPr>
      <w:r>
        <w:rPr>
          <w:spacing w:val="-3"/>
          <w:sz w:val="21"/>
        </w:rPr>
        <w:t>依《基金合同》约定获得基金管理费、其他法定收入和其他法律法规允许或监管部门批准的约定收入；</w:t>
      </w:r>
    </w:p>
    <w:p>
      <w:pPr>
        <w:pStyle w:val="ListParagraph"/>
        <w:numPr>
          <w:ilvl w:val="0"/>
          <w:numId w:val="43"/>
        </w:numPr>
        <w:tabs>
          <w:tab w:pos="1790" w:val="left" w:leader="none"/>
        </w:tabs>
        <w:spacing w:line="269" w:lineRule="exact" w:before="0" w:after="0"/>
        <w:ind w:left="1789" w:right="0" w:hanging="530"/>
        <w:jc w:val="left"/>
        <w:rPr>
          <w:sz w:val="21"/>
        </w:rPr>
      </w:pPr>
      <w:r>
        <w:rPr>
          <w:spacing w:val="-3"/>
          <w:sz w:val="21"/>
        </w:rPr>
        <w:t>销售基金份额；</w:t>
      </w:r>
    </w:p>
    <w:p>
      <w:pPr>
        <w:pStyle w:val="BodyText"/>
        <w:spacing w:before="7"/>
        <w:rPr>
          <w:sz w:val="15"/>
        </w:rPr>
      </w:pPr>
    </w:p>
    <w:p>
      <w:pPr>
        <w:pStyle w:val="ListParagraph"/>
        <w:numPr>
          <w:ilvl w:val="0"/>
          <w:numId w:val="43"/>
        </w:numPr>
        <w:tabs>
          <w:tab w:pos="1790" w:val="left" w:leader="none"/>
        </w:tabs>
        <w:spacing w:line="240" w:lineRule="auto" w:before="0" w:after="0"/>
        <w:ind w:left="1789" w:right="0" w:hanging="530"/>
        <w:jc w:val="left"/>
        <w:rPr>
          <w:sz w:val="21"/>
        </w:rPr>
      </w:pPr>
      <w:r>
        <w:rPr>
          <w:spacing w:val="-3"/>
          <w:sz w:val="21"/>
        </w:rPr>
        <w:t>召集基金份额持有人大会；</w:t>
      </w:r>
    </w:p>
    <w:p>
      <w:pPr>
        <w:pStyle w:val="BodyText"/>
        <w:spacing w:before="7"/>
        <w:rPr>
          <w:sz w:val="15"/>
        </w:rPr>
      </w:pPr>
    </w:p>
    <w:p>
      <w:pPr>
        <w:pStyle w:val="ListParagraph"/>
        <w:numPr>
          <w:ilvl w:val="0"/>
          <w:numId w:val="43"/>
        </w:numPr>
        <w:tabs>
          <w:tab w:pos="1790" w:val="left" w:leader="none"/>
        </w:tabs>
        <w:spacing w:line="417" w:lineRule="auto" w:before="0" w:after="0"/>
        <w:ind w:left="840" w:right="89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43"/>
        </w:numPr>
        <w:tabs>
          <w:tab w:pos="1790" w:val="left" w:leader="none"/>
        </w:tabs>
        <w:spacing w:line="240" w:lineRule="auto" w:before="0" w:after="0"/>
        <w:ind w:left="1789" w:right="0" w:hanging="530"/>
        <w:jc w:val="left"/>
        <w:rPr>
          <w:sz w:val="21"/>
        </w:rPr>
      </w:pPr>
      <w:r>
        <w:rPr>
          <w:spacing w:val="-3"/>
          <w:sz w:val="21"/>
        </w:rPr>
        <w:t>在基金托管人更换时，提名新的基金托管人；</w:t>
      </w:r>
    </w:p>
    <w:p>
      <w:pPr>
        <w:pStyle w:val="BodyText"/>
        <w:spacing w:before="6"/>
        <w:rPr>
          <w:sz w:val="15"/>
        </w:rPr>
      </w:pPr>
    </w:p>
    <w:p>
      <w:pPr>
        <w:pStyle w:val="ListParagraph"/>
        <w:numPr>
          <w:ilvl w:val="0"/>
          <w:numId w:val="43"/>
        </w:numPr>
        <w:tabs>
          <w:tab w:pos="1790" w:val="left" w:leader="none"/>
        </w:tabs>
        <w:spacing w:line="240" w:lineRule="auto" w:before="1" w:after="0"/>
        <w:ind w:left="1789" w:right="0" w:hanging="530"/>
        <w:jc w:val="left"/>
        <w:rPr>
          <w:sz w:val="21"/>
        </w:rPr>
      </w:pPr>
      <w:r>
        <w:rPr>
          <w:spacing w:val="-3"/>
          <w:sz w:val="21"/>
        </w:rPr>
        <w:t>选择、委托、更换基金代销机构，对基金代销机构的相关行为进行监督和处理；</w:t>
      </w:r>
    </w:p>
    <w:p>
      <w:pPr>
        <w:pStyle w:val="BodyText"/>
        <w:spacing w:before="6"/>
        <w:rPr>
          <w:sz w:val="15"/>
        </w:rPr>
      </w:pPr>
    </w:p>
    <w:p>
      <w:pPr>
        <w:pStyle w:val="ListParagraph"/>
        <w:numPr>
          <w:ilvl w:val="0"/>
          <w:numId w:val="43"/>
        </w:numPr>
        <w:tabs>
          <w:tab w:pos="1790" w:val="left" w:leader="none"/>
        </w:tabs>
        <w:spacing w:line="240" w:lineRule="auto" w:before="0" w:after="0"/>
        <w:ind w:left="1789" w:right="0" w:hanging="530"/>
        <w:jc w:val="left"/>
        <w:rPr>
          <w:sz w:val="21"/>
        </w:rPr>
      </w:pPr>
      <w:r>
        <w:rPr>
          <w:spacing w:val="-3"/>
          <w:sz w:val="21"/>
        </w:rPr>
        <w:t>依据《基金合同》及有关法律法规决定基金收益的分配方案；</w:t>
      </w:r>
    </w:p>
    <w:p>
      <w:pPr>
        <w:pStyle w:val="BodyText"/>
        <w:spacing w:before="7"/>
        <w:rPr>
          <w:sz w:val="15"/>
        </w:rPr>
      </w:pPr>
    </w:p>
    <w:p>
      <w:pPr>
        <w:pStyle w:val="ListParagraph"/>
        <w:numPr>
          <w:ilvl w:val="0"/>
          <w:numId w:val="43"/>
        </w:numPr>
        <w:tabs>
          <w:tab w:pos="1895" w:val="left" w:leader="none"/>
        </w:tabs>
        <w:spacing w:line="240" w:lineRule="auto" w:before="0" w:after="0"/>
        <w:ind w:left="1895" w:right="0" w:hanging="635"/>
        <w:jc w:val="left"/>
        <w:rPr>
          <w:sz w:val="21"/>
        </w:rPr>
      </w:pPr>
      <w:r>
        <w:rPr>
          <w:spacing w:val="-3"/>
          <w:sz w:val="21"/>
        </w:rPr>
        <w:t>在《基金合同》约定的范围内，拒绝或暂停受理申购与赎回申请；</w:t>
      </w:r>
    </w:p>
    <w:p>
      <w:pPr>
        <w:pStyle w:val="BodyText"/>
        <w:spacing w:before="7"/>
        <w:rPr>
          <w:sz w:val="15"/>
        </w:rPr>
      </w:pPr>
    </w:p>
    <w:p>
      <w:pPr>
        <w:pStyle w:val="ListParagraph"/>
        <w:numPr>
          <w:ilvl w:val="0"/>
          <w:numId w:val="43"/>
        </w:numPr>
        <w:tabs>
          <w:tab w:pos="1886" w:val="left" w:leader="none"/>
        </w:tabs>
        <w:spacing w:line="240" w:lineRule="auto" w:before="0" w:after="0"/>
        <w:ind w:left="1885" w:right="0" w:hanging="626"/>
        <w:jc w:val="left"/>
        <w:rPr>
          <w:sz w:val="21"/>
        </w:rPr>
      </w:pPr>
      <w:r>
        <w:rPr>
          <w:spacing w:val="-13"/>
          <w:sz w:val="21"/>
        </w:rPr>
        <w:t>在符合有关法律法规和《基金合同》的前提下，制订和调整开放式基金业务规则；</w:t>
      </w:r>
    </w:p>
    <w:p>
      <w:pPr>
        <w:pStyle w:val="BodyText"/>
        <w:spacing w:before="6"/>
        <w:rPr>
          <w:sz w:val="15"/>
        </w:rPr>
      </w:pPr>
    </w:p>
    <w:p>
      <w:pPr>
        <w:pStyle w:val="ListParagraph"/>
        <w:numPr>
          <w:ilvl w:val="0"/>
          <w:numId w:val="43"/>
        </w:numPr>
        <w:tabs>
          <w:tab w:pos="1895" w:val="left" w:leader="none"/>
        </w:tabs>
        <w:spacing w:line="417" w:lineRule="auto" w:before="1" w:after="0"/>
        <w:ind w:left="840" w:right="89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43"/>
        </w:numPr>
        <w:tabs>
          <w:tab w:pos="1895" w:val="left" w:leader="none"/>
        </w:tabs>
        <w:spacing w:line="240" w:lineRule="auto" w:before="0" w:after="0"/>
        <w:ind w:left="1895" w:right="0" w:hanging="635"/>
        <w:jc w:val="left"/>
        <w:rPr>
          <w:sz w:val="21"/>
        </w:rPr>
      </w:pPr>
      <w:r>
        <w:rPr>
          <w:spacing w:val="-3"/>
          <w:sz w:val="21"/>
        </w:rPr>
        <w:t>在法律法规允许的前提下，为基金的利益依法为基金进行融资；</w:t>
      </w:r>
    </w:p>
    <w:p>
      <w:pPr>
        <w:pStyle w:val="BodyText"/>
        <w:spacing w:before="6"/>
        <w:rPr>
          <w:sz w:val="15"/>
        </w:rPr>
      </w:pPr>
    </w:p>
    <w:p>
      <w:pPr>
        <w:pStyle w:val="ListParagraph"/>
        <w:numPr>
          <w:ilvl w:val="0"/>
          <w:numId w:val="43"/>
        </w:numPr>
        <w:tabs>
          <w:tab w:pos="1895" w:val="left" w:leader="none"/>
        </w:tabs>
        <w:spacing w:line="417" w:lineRule="auto" w:before="1" w:after="0"/>
        <w:ind w:left="840" w:right="89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43"/>
        </w:numPr>
        <w:tabs>
          <w:tab w:pos="1895" w:val="left" w:leader="none"/>
        </w:tabs>
        <w:spacing w:line="269" w:lineRule="exact" w:before="0" w:after="0"/>
        <w:ind w:left="1895" w:right="0" w:hanging="635"/>
        <w:jc w:val="left"/>
        <w:rPr>
          <w:sz w:val="21"/>
        </w:rPr>
      </w:pPr>
      <w:r>
        <w:rPr>
          <w:spacing w:val="-3"/>
          <w:sz w:val="21"/>
        </w:rPr>
        <w:t>选择、更换律师、审计师、证券经纪商或其他为基金提供服务的外部机构；</w:t>
      </w:r>
    </w:p>
    <w:p>
      <w:pPr>
        <w:pStyle w:val="BodyText"/>
        <w:spacing w:before="6"/>
        <w:rPr>
          <w:sz w:val="15"/>
        </w:rPr>
      </w:pPr>
    </w:p>
    <w:p>
      <w:pPr>
        <w:pStyle w:val="ListParagraph"/>
        <w:numPr>
          <w:ilvl w:val="0"/>
          <w:numId w:val="43"/>
        </w:numPr>
        <w:tabs>
          <w:tab w:pos="1895" w:val="left" w:leader="none"/>
        </w:tabs>
        <w:spacing w:line="240" w:lineRule="auto" w:before="0" w:after="0"/>
        <w:ind w:left="1895" w:right="0" w:hanging="635"/>
        <w:jc w:val="left"/>
        <w:rPr>
          <w:sz w:val="21"/>
        </w:rPr>
      </w:pPr>
      <w:r>
        <w:rPr>
          <w:spacing w:val="-3"/>
          <w:sz w:val="21"/>
        </w:rPr>
        <w:t>法律法规和《基金合同》规定的其他权利。</w:t>
      </w:r>
    </w:p>
    <w:p>
      <w:pPr>
        <w:pStyle w:val="BodyText"/>
        <w:spacing w:before="7"/>
        <w:rPr>
          <w:sz w:val="15"/>
        </w:rPr>
      </w:pPr>
    </w:p>
    <w:p>
      <w:pPr>
        <w:pStyle w:val="BodyText"/>
        <w:ind w:left="1260"/>
      </w:pPr>
      <w:r>
        <w:rPr>
          <w:rFonts w:ascii="Times New Roman" w:eastAsia="Times New Roman"/>
        </w:rPr>
        <w:t>2</w:t>
      </w:r>
      <w:r>
        <w:rPr/>
        <w:t>、根据《基金法》、《运作办法》及其他有关规定，基金管理人的义务包括但不限于：</w:t>
      </w:r>
    </w:p>
    <w:p>
      <w:pPr>
        <w:pStyle w:val="BodyText"/>
        <w:spacing w:before="7"/>
        <w:rPr>
          <w:sz w:val="15"/>
        </w:rPr>
      </w:pPr>
    </w:p>
    <w:p>
      <w:pPr>
        <w:pStyle w:val="ListParagraph"/>
        <w:numPr>
          <w:ilvl w:val="0"/>
          <w:numId w:val="44"/>
        </w:numPr>
        <w:tabs>
          <w:tab w:pos="1790" w:val="left" w:leader="none"/>
        </w:tabs>
        <w:spacing w:line="240" w:lineRule="auto" w:before="0" w:after="0"/>
        <w:ind w:left="1789" w:right="0" w:hanging="530"/>
        <w:jc w:val="left"/>
        <w:rPr>
          <w:sz w:val="21"/>
        </w:rPr>
      </w:pPr>
      <w:r>
        <w:rPr>
          <w:spacing w:val="-3"/>
          <w:sz w:val="21"/>
        </w:rPr>
        <w:t>办理基金备案手续；</w:t>
      </w:r>
    </w:p>
    <w:p>
      <w:pPr>
        <w:pStyle w:val="BodyText"/>
        <w:spacing w:before="7"/>
        <w:rPr>
          <w:sz w:val="15"/>
        </w:rPr>
      </w:pPr>
    </w:p>
    <w:p>
      <w:pPr>
        <w:pStyle w:val="ListParagraph"/>
        <w:numPr>
          <w:ilvl w:val="0"/>
          <w:numId w:val="44"/>
        </w:numPr>
        <w:tabs>
          <w:tab w:pos="1790" w:val="left" w:leader="none"/>
        </w:tabs>
        <w:spacing w:line="240" w:lineRule="auto" w:before="0" w:after="0"/>
        <w:ind w:left="1789" w:right="0" w:hanging="530"/>
        <w:jc w:val="left"/>
        <w:rPr>
          <w:sz w:val="21"/>
        </w:rPr>
      </w:pPr>
      <w:r>
        <w:rPr>
          <w:spacing w:val="-3"/>
          <w:sz w:val="21"/>
        </w:rPr>
        <w:t>自基金合同生效之日起</w:t>
      </w:r>
      <w:r>
        <w:rPr>
          <w:rFonts w:ascii="Times New Roman" w:eastAsia="Times New Roman"/>
          <w:sz w:val="21"/>
        </w:rPr>
        <w:t>,</w:t>
      </w:r>
      <w:r>
        <w:rPr>
          <w:spacing w:val="-3"/>
          <w:sz w:val="21"/>
        </w:rPr>
        <w:t>以诚实信用、勤勉尽责的原则管理和运用基金财产；</w:t>
      </w:r>
    </w:p>
    <w:p>
      <w:pPr>
        <w:pStyle w:val="BodyText"/>
        <w:spacing w:before="6"/>
        <w:rPr>
          <w:sz w:val="15"/>
        </w:rPr>
      </w:pPr>
    </w:p>
    <w:p>
      <w:pPr>
        <w:pStyle w:val="ListParagraph"/>
        <w:numPr>
          <w:ilvl w:val="0"/>
          <w:numId w:val="44"/>
        </w:numPr>
        <w:tabs>
          <w:tab w:pos="1790" w:val="left" w:leader="none"/>
        </w:tabs>
        <w:spacing w:line="240" w:lineRule="auto" w:before="1" w:after="0"/>
        <w:ind w:left="1789" w:right="0" w:hanging="530"/>
        <w:jc w:val="left"/>
        <w:rPr>
          <w:sz w:val="21"/>
        </w:rPr>
      </w:pPr>
      <w:r>
        <w:rPr>
          <w:spacing w:val="-3"/>
          <w:sz w:val="21"/>
        </w:rPr>
        <w:t>配备足够的具有专业资格的人员进行基金投资分析、决策，以专业化的经营方式</w:t>
      </w:r>
    </w:p>
    <w:p>
      <w:pPr>
        <w:spacing w:after="0" w:line="240" w:lineRule="auto"/>
        <w:jc w:val="left"/>
        <w:rPr>
          <w:sz w:val="21"/>
        </w:rPr>
        <w:sectPr>
          <w:footerReference w:type="default" r:id="rId171"/>
          <w:pgSz w:w="11910" w:h="16840"/>
          <w:pgMar w:footer="995" w:header="877" w:top="1100" w:bottom="1180" w:left="960" w:right="900"/>
          <w:pgNumType w:start="131"/>
        </w:sectPr>
      </w:pPr>
    </w:p>
    <w:p>
      <w:pPr>
        <w:pStyle w:val="BodyText"/>
        <w:spacing w:before="4"/>
        <w:rPr>
          <w:sz w:val="27"/>
        </w:rPr>
      </w:pPr>
    </w:p>
    <w:p>
      <w:pPr>
        <w:pStyle w:val="BodyText"/>
        <w:spacing w:before="71"/>
        <w:ind w:left="840"/>
      </w:pPr>
      <w:r>
        <w:rPr/>
        <w:t>管理和运作基金财产；</w:t>
      </w:r>
    </w:p>
    <w:p>
      <w:pPr>
        <w:pStyle w:val="BodyText"/>
        <w:spacing w:before="7"/>
        <w:rPr>
          <w:sz w:val="15"/>
        </w:rPr>
      </w:pPr>
    </w:p>
    <w:p>
      <w:pPr>
        <w:pStyle w:val="ListParagraph"/>
        <w:numPr>
          <w:ilvl w:val="0"/>
          <w:numId w:val="44"/>
        </w:numPr>
        <w:tabs>
          <w:tab w:pos="1790" w:val="left" w:leader="none"/>
        </w:tabs>
        <w:spacing w:line="417" w:lineRule="auto" w:before="0" w:after="0"/>
        <w:ind w:left="840" w:right="891" w:firstLine="419"/>
        <w:jc w:val="both"/>
        <w:rPr>
          <w:sz w:val="21"/>
        </w:rPr>
      </w:pPr>
      <w:r>
        <w:rPr>
          <w:spacing w:val="-3"/>
          <w:sz w:val="21"/>
        </w:rPr>
        <w:t>依法募集基金，办理或者委托经国务院证券监督管理机构认定的其他机构代为办</w:t>
      </w:r>
      <w:r>
        <w:rPr>
          <w:spacing w:val="-6"/>
          <w:sz w:val="21"/>
        </w:rPr>
        <w:t>理基金份额的发售、申购、赎回和登记事宜；如认为基金代销机构违反本《基金合同》、基</w:t>
      </w:r>
      <w:r>
        <w:rPr>
          <w:spacing w:val="-9"/>
          <w:sz w:val="21"/>
        </w:rPr>
        <w:t>金销售与服务代理协议及国家有关法律规定，应呈报中国证监会和其他监管部门，并采取必</w:t>
      </w:r>
      <w:r>
        <w:rPr>
          <w:spacing w:val="-5"/>
          <w:sz w:val="21"/>
        </w:rPr>
        <w:t>要措施保护基金投资者的利益；</w:t>
      </w:r>
    </w:p>
    <w:p>
      <w:pPr>
        <w:pStyle w:val="ListParagraph"/>
        <w:numPr>
          <w:ilvl w:val="0"/>
          <w:numId w:val="44"/>
        </w:numPr>
        <w:tabs>
          <w:tab w:pos="1790" w:val="left" w:leader="none"/>
        </w:tabs>
        <w:spacing w:line="417" w:lineRule="auto" w:before="0" w:after="0"/>
        <w:ind w:left="840" w:right="894" w:firstLine="419"/>
        <w:jc w:val="both"/>
        <w:rPr>
          <w:sz w:val="21"/>
        </w:rPr>
      </w:pPr>
      <w:r>
        <w:rPr>
          <w:spacing w:val="-3"/>
          <w:sz w:val="21"/>
        </w:rPr>
        <w:t>建立健全内部风险控制、监察与稽核、财务管理及人事管理等制度，保证所管理的基金财产和基金管理人的财产相互独立</w:t>
      </w:r>
      <w:r>
        <w:rPr>
          <w:rFonts w:ascii="Times New Roman" w:eastAsia="Times New Roman"/>
          <w:sz w:val="21"/>
        </w:rPr>
        <w:t>,</w:t>
      </w:r>
      <w:r>
        <w:rPr>
          <w:spacing w:val="-1"/>
          <w:sz w:val="21"/>
        </w:rPr>
        <w:t>对所管理的不同基金分别管理，分别记账，进行证券投资；</w:t>
      </w:r>
    </w:p>
    <w:p>
      <w:pPr>
        <w:pStyle w:val="ListParagraph"/>
        <w:numPr>
          <w:ilvl w:val="0"/>
          <w:numId w:val="44"/>
        </w:numPr>
        <w:tabs>
          <w:tab w:pos="1787" w:val="left" w:leader="none"/>
        </w:tabs>
        <w:spacing w:line="417" w:lineRule="auto" w:before="0" w:after="0"/>
        <w:ind w:left="840" w:right="896" w:firstLine="419"/>
        <w:jc w:val="left"/>
        <w:rPr>
          <w:sz w:val="21"/>
        </w:rPr>
      </w:pPr>
      <w:r>
        <w:rPr>
          <w:spacing w:val="-19"/>
          <w:sz w:val="21"/>
        </w:rPr>
        <w:t>除依据《基金法》、《基金合同》及其他有关规定外</w:t>
      </w:r>
      <w:r>
        <w:rPr>
          <w:rFonts w:ascii="Times New Roman" w:eastAsia="Times New Roman"/>
          <w:spacing w:val="-3"/>
          <w:sz w:val="21"/>
        </w:rPr>
        <w:t>,</w:t>
      </w:r>
      <w:r>
        <w:rPr>
          <w:spacing w:val="-3"/>
          <w:sz w:val="21"/>
        </w:rPr>
        <w:t>不得利用基金资产为自己及任何第三人谋取利益，不得委托第三人运作基金财产；</w:t>
      </w:r>
    </w:p>
    <w:p>
      <w:pPr>
        <w:pStyle w:val="ListParagraph"/>
        <w:numPr>
          <w:ilvl w:val="0"/>
          <w:numId w:val="44"/>
        </w:numPr>
        <w:tabs>
          <w:tab w:pos="1790" w:val="left" w:leader="none"/>
        </w:tabs>
        <w:spacing w:line="269" w:lineRule="exact" w:before="0" w:after="0"/>
        <w:ind w:left="178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44"/>
        </w:numPr>
        <w:tabs>
          <w:tab w:pos="1790" w:val="left" w:leader="none"/>
        </w:tabs>
        <w:spacing w:line="417" w:lineRule="auto" w:before="0" w:after="0"/>
        <w:ind w:left="840" w:right="89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44"/>
        </w:numPr>
        <w:tabs>
          <w:tab w:pos="1790" w:val="left" w:leader="none"/>
        </w:tabs>
        <w:spacing w:line="240" w:lineRule="auto" w:before="0" w:after="0"/>
        <w:ind w:left="1789" w:right="0" w:hanging="530"/>
        <w:jc w:val="left"/>
        <w:rPr>
          <w:sz w:val="21"/>
        </w:rPr>
      </w:pPr>
      <w:r>
        <w:rPr>
          <w:spacing w:val="-3"/>
          <w:sz w:val="21"/>
        </w:rPr>
        <w:t>进行基金会计核算并编制基金财务会计报告；</w:t>
      </w:r>
    </w:p>
    <w:p>
      <w:pPr>
        <w:pStyle w:val="BodyText"/>
        <w:spacing w:before="7"/>
        <w:rPr>
          <w:sz w:val="15"/>
        </w:rPr>
      </w:pPr>
    </w:p>
    <w:p>
      <w:pPr>
        <w:pStyle w:val="ListParagraph"/>
        <w:numPr>
          <w:ilvl w:val="0"/>
          <w:numId w:val="44"/>
        </w:numPr>
        <w:tabs>
          <w:tab w:pos="1895" w:val="left" w:leader="none"/>
        </w:tabs>
        <w:spacing w:line="240" w:lineRule="auto" w:before="0" w:after="0"/>
        <w:ind w:left="1895" w:right="0" w:hanging="635"/>
        <w:jc w:val="left"/>
        <w:rPr>
          <w:sz w:val="21"/>
        </w:rPr>
      </w:pPr>
      <w:r>
        <w:rPr>
          <w:spacing w:val="-3"/>
          <w:sz w:val="21"/>
        </w:rPr>
        <w:t>编制季度报告、中期报告和年度报告；</w:t>
      </w:r>
    </w:p>
    <w:p>
      <w:pPr>
        <w:pStyle w:val="BodyText"/>
        <w:spacing w:before="6"/>
        <w:rPr>
          <w:sz w:val="15"/>
        </w:rPr>
      </w:pPr>
    </w:p>
    <w:p>
      <w:pPr>
        <w:pStyle w:val="ListParagraph"/>
        <w:numPr>
          <w:ilvl w:val="0"/>
          <w:numId w:val="44"/>
        </w:numPr>
        <w:tabs>
          <w:tab w:pos="1886" w:val="left" w:leader="none"/>
        </w:tabs>
        <w:spacing w:line="240" w:lineRule="auto" w:before="1" w:after="0"/>
        <w:ind w:left="1885" w:right="0" w:hanging="626"/>
        <w:jc w:val="left"/>
        <w:rPr>
          <w:sz w:val="21"/>
        </w:rPr>
      </w:pPr>
      <w:r>
        <w:rPr>
          <w:spacing w:val="-17"/>
          <w:sz w:val="21"/>
        </w:rPr>
        <w:t>严格按照《基金法》、《基金合同》及其他有关规定，履行信息披露及报告义务；</w:t>
      </w:r>
    </w:p>
    <w:p>
      <w:pPr>
        <w:pStyle w:val="BodyText"/>
        <w:spacing w:before="6"/>
        <w:rPr>
          <w:sz w:val="15"/>
        </w:rPr>
      </w:pPr>
    </w:p>
    <w:p>
      <w:pPr>
        <w:pStyle w:val="ListParagraph"/>
        <w:numPr>
          <w:ilvl w:val="0"/>
          <w:numId w:val="44"/>
        </w:numPr>
        <w:tabs>
          <w:tab w:pos="1895" w:val="left" w:leader="none"/>
        </w:tabs>
        <w:spacing w:line="417" w:lineRule="auto" w:before="0" w:after="0"/>
        <w:ind w:left="840" w:right="89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44"/>
        </w:numPr>
        <w:tabs>
          <w:tab w:pos="1895" w:val="left" w:leader="none"/>
        </w:tabs>
        <w:spacing w:line="269" w:lineRule="exact" w:before="0" w:after="0"/>
        <w:ind w:left="1895" w:right="0" w:hanging="635"/>
        <w:jc w:val="left"/>
        <w:rPr>
          <w:sz w:val="21"/>
        </w:rPr>
      </w:pPr>
      <w:r>
        <w:rPr>
          <w:spacing w:val="-3"/>
          <w:sz w:val="21"/>
        </w:rPr>
        <w:t>按《基金合同》规定向基金份额持有人分配基金收益；</w:t>
      </w:r>
    </w:p>
    <w:p>
      <w:pPr>
        <w:pStyle w:val="BodyText"/>
        <w:spacing w:before="7"/>
        <w:rPr>
          <w:sz w:val="15"/>
        </w:rPr>
      </w:pPr>
    </w:p>
    <w:p>
      <w:pPr>
        <w:pStyle w:val="ListParagraph"/>
        <w:numPr>
          <w:ilvl w:val="0"/>
          <w:numId w:val="44"/>
        </w:numPr>
        <w:tabs>
          <w:tab w:pos="1895" w:val="left" w:leader="none"/>
        </w:tabs>
        <w:spacing w:line="240" w:lineRule="auto" w:before="0" w:after="0"/>
        <w:ind w:left="1895" w:right="0" w:hanging="635"/>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44"/>
        </w:numPr>
        <w:tabs>
          <w:tab w:pos="1895" w:val="left" w:leader="none"/>
        </w:tabs>
        <w:spacing w:line="417" w:lineRule="auto" w:before="1" w:after="0"/>
        <w:ind w:left="840" w:right="89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44"/>
        </w:numPr>
        <w:tabs>
          <w:tab w:pos="1895" w:val="left" w:leader="none"/>
        </w:tabs>
        <w:spacing w:line="269" w:lineRule="exact" w:before="0" w:after="0"/>
        <w:ind w:left="189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3"/>
        <w:rPr>
          <w:rFonts w:ascii="Times New Roman"/>
          <w:sz w:val="17"/>
        </w:rPr>
      </w:pPr>
    </w:p>
    <w:p>
      <w:pPr>
        <w:pStyle w:val="BodyText"/>
        <w:ind w:left="840"/>
      </w:pPr>
      <w:r>
        <w:rPr/>
        <w:t>年以上；</w:t>
      </w:r>
    </w:p>
    <w:p>
      <w:pPr>
        <w:pStyle w:val="BodyText"/>
        <w:spacing w:before="7"/>
        <w:rPr>
          <w:sz w:val="15"/>
        </w:rPr>
      </w:pPr>
    </w:p>
    <w:p>
      <w:pPr>
        <w:pStyle w:val="ListParagraph"/>
        <w:numPr>
          <w:ilvl w:val="0"/>
          <w:numId w:val="44"/>
        </w:numPr>
        <w:tabs>
          <w:tab w:pos="1895" w:val="left" w:leader="none"/>
        </w:tabs>
        <w:spacing w:line="417" w:lineRule="auto" w:before="0" w:after="0"/>
        <w:ind w:left="840" w:right="89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44"/>
        </w:numPr>
        <w:tabs>
          <w:tab w:pos="1893" w:val="left" w:leader="none"/>
        </w:tabs>
        <w:spacing w:line="240" w:lineRule="auto" w:before="0" w:after="0"/>
        <w:ind w:left="1892" w:right="0" w:hanging="633"/>
        <w:jc w:val="left"/>
        <w:rPr>
          <w:sz w:val="21"/>
        </w:rPr>
      </w:pPr>
      <w:r>
        <w:rPr>
          <w:spacing w:val="-3"/>
          <w:sz w:val="21"/>
        </w:rPr>
        <w:t>组织并参加基金财产清算小组</w:t>
      </w:r>
      <w:r>
        <w:rPr>
          <w:rFonts w:ascii="Times New Roman" w:eastAsia="Times New Roman"/>
          <w:sz w:val="21"/>
        </w:rPr>
        <w:t>,</w:t>
      </w:r>
      <w:r>
        <w:rPr>
          <w:spacing w:val="-6"/>
          <w:sz w:val="21"/>
        </w:rPr>
        <w:t>参与基金财产的保管、清理、估价、变现和分配；</w:t>
      </w:r>
    </w:p>
    <w:p>
      <w:pPr>
        <w:pStyle w:val="BodyText"/>
        <w:spacing w:before="6"/>
        <w:rPr>
          <w:sz w:val="15"/>
        </w:rPr>
      </w:pPr>
    </w:p>
    <w:p>
      <w:pPr>
        <w:pStyle w:val="ListParagraph"/>
        <w:numPr>
          <w:ilvl w:val="0"/>
          <w:numId w:val="44"/>
        </w:numPr>
        <w:tabs>
          <w:tab w:pos="1893" w:val="left" w:leader="none"/>
        </w:tabs>
        <w:spacing w:line="240" w:lineRule="auto" w:before="0" w:after="0"/>
        <w:ind w:left="1892" w:right="0" w:hanging="633"/>
        <w:jc w:val="left"/>
        <w:rPr>
          <w:sz w:val="21"/>
        </w:rPr>
      </w:pPr>
      <w:r>
        <w:rPr>
          <w:spacing w:val="-10"/>
          <w:sz w:val="21"/>
        </w:rPr>
        <w:t>面临解散、依法被撤销或者被依法宣告破产时，及时报告中国证监会并通知基金</w:t>
      </w:r>
    </w:p>
    <w:p>
      <w:pPr>
        <w:spacing w:after="0" w:line="240" w:lineRule="auto"/>
        <w:jc w:val="left"/>
        <w:rPr>
          <w:sz w:val="21"/>
        </w:rPr>
        <w:sectPr>
          <w:pgSz w:w="11910" w:h="16840"/>
          <w:pgMar w:header="877" w:footer="995" w:top="1100" w:bottom="1180" w:left="960" w:right="900"/>
        </w:sectPr>
      </w:pPr>
    </w:p>
    <w:p>
      <w:pPr>
        <w:pStyle w:val="BodyText"/>
        <w:spacing w:before="4"/>
        <w:rPr>
          <w:sz w:val="27"/>
        </w:rPr>
      </w:pPr>
    </w:p>
    <w:p>
      <w:pPr>
        <w:pStyle w:val="BodyText"/>
        <w:spacing w:before="71"/>
        <w:ind w:left="840"/>
      </w:pPr>
      <w:r>
        <w:rPr/>
        <w:t>托管人；</w:t>
      </w:r>
    </w:p>
    <w:p>
      <w:pPr>
        <w:pStyle w:val="BodyText"/>
        <w:spacing w:before="7"/>
        <w:rPr>
          <w:sz w:val="15"/>
        </w:rPr>
      </w:pPr>
    </w:p>
    <w:p>
      <w:pPr>
        <w:pStyle w:val="ListParagraph"/>
        <w:numPr>
          <w:ilvl w:val="0"/>
          <w:numId w:val="44"/>
        </w:numPr>
        <w:tabs>
          <w:tab w:pos="1895" w:val="left" w:leader="none"/>
        </w:tabs>
        <w:spacing w:line="417" w:lineRule="auto" w:before="0" w:after="0"/>
        <w:ind w:left="840" w:right="89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44"/>
        </w:numPr>
        <w:tabs>
          <w:tab w:pos="1895" w:val="left" w:leader="none"/>
        </w:tabs>
        <w:spacing w:line="417" w:lineRule="auto" w:before="0" w:after="0"/>
        <w:ind w:left="840" w:right="891" w:firstLine="419"/>
        <w:jc w:val="left"/>
        <w:rPr>
          <w:sz w:val="21"/>
        </w:rPr>
      </w:pPr>
      <w:r>
        <w:rPr>
          <w:spacing w:val="-5"/>
          <w:sz w:val="21"/>
        </w:rPr>
        <w:t>监督基金托管人按法律法规和合同规定履行自己的义务，基金托管人违反基金 </w:t>
      </w:r>
      <w:r>
        <w:rPr>
          <w:spacing w:val="-4"/>
          <w:sz w:val="21"/>
        </w:rPr>
        <w:t>合同造成基金财产损失时，基金管理人应为基金份额持有人利益向基金托管人追偿；</w:t>
      </w:r>
    </w:p>
    <w:p>
      <w:pPr>
        <w:pStyle w:val="ListParagraph"/>
        <w:numPr>
          <w:ilvl w:val="0"/>
          <w:numId w:val="44"/>
        </w:numPr>
        <w:tabs>
          <w:tab w:pos="1893" w:val="left" w:leader="none"/>
        </w:tabs>
        <w:spacing w:line="269" w:lineRule="exact" w:before="0" w:after="0"/>
        <w:ind w:left="1892" w:right="0" w:hanging="633"/>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44"/>
        </w:numPr>
        <w:tabs>
          <w:tab w:pos="1895" w:val="left" w:leader="none"/>
        </w:tabs>
        <w:spacing w:line="417" w:lineRule="auto" w:before="1" w:after="0"/>
        <w:ind w:left="840" w:right="893" w:firstLine="419"/>
        <w:jc w:val="both"/>
        <w:rPr>
          <w:sz w:val="21"/>
        </w:rPr>
      </w:pPr>
      <w:r>
        <w:rPr>
          <w:spacing w:val="-8"/>
          <w:sz w:val="21"/>
        </w:rPr>
        <w:t>基金管理人在募集期间未能达到基金的备案条件，《基金合同》不能生效，基金</w:t>
      </w:r>
      <w:r>
        <w:rPr>
          <w:spacing w:val="-6"/>
          <w:sz w:val="21"/>
        </w:rPr>
        <w:t>管理人承担全部募集费用，将已募集资金并加计银行同期存款利息在募集期结束后 </w:t>
      </w:r>
      <w:r>
        <w:rPr>
          <w:rFonts w:ascii="Times New Roman" w:eastAsia="Times New Roman"/>
          <w:sz w:val="21"/>
        </w:rPr>
        <w:t>30</w:t>
      </w:r>
      <w:r>
        <w:rPr>
          <w:rFonts w:ascii="Times New Roman" w:eastAsia="Times New Roman"/>
          <w:spacing w:val="26"/>
          <w:sz w:val="21"/>
        </w:rPr>
        <w:t> </w:t>
      </w:r>
      <w:r>
        <w:rPr>
          <w:spacing w:val="-3"/>
          <w:sz w:val="21"/>
        </w:rPr>
        <w:t>天内退还基金认购人；</w:t>
      </w:r>
    </w:p>
    <w:p>
      <w:pPr>
        <w:pStyle w:val="ListParagraph"/>
        <w:numPr>
          <w:ilvl w:val="0"/>
          <w:numId w:val="44"/>
        </w:numPr>
        <w:tabs>
          <w:tab w:pos="1895" w:val="left" w:leader="none"/>
        </w:tabs>
        <w:spacing w:line="240" w:lineRule="auto" w:before="0" w:after="0"/>
        <w:ind w:left="1895" w:right="0" w:hanging="635"/>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4"/>
        </w:numPr>
        <w:tabs>
          <w:tab w:pos="1895" w:val="left" w:leader="none"/>
        </w:tabs>
        <w:spacing w:line="240" w:lineRule="auto" w:before="0" w:after="0"/>
        <w:ind w:left="1895" w:right="0" w:hanging="635"/>
        <w:jc w:val="left"/>
        <w:rPr>
          <w:sz w:val="21"/>
        </w:rPr>
      </w:pPr>
      <w:r>
        <w:rPr>
          <w:spacing w:val="-3"/>
          <w:sz w:val="21"/>
        </w:rPr>
        <w:t>法律法规和《基金合同》规定的其他义务。</w:t>
      </w:r>
    </w:p>
    <w:p>
      <w:pPr>
        <w:pStyle w:val="BodyText"/>
        <w:spacing w:before="7"/>
        <w:rPr>
          <w:sz w:val="15"/>
        </w:rPr>
      </w:pPr>
    </w:p>
    <w:p>
      <w:pPr>
        <w:pStyle w:val="BodyText"/>
        <w:ind w:left="840"/>
      </w:pPr>
      <w:r>
        <w:rPr/>
        <w:t>（三）基金托管人的权利与义务</w:t>
      </w:r>
    </w:p>
    <w:p>
      <w:pPr>
        <w:pStyle w:val="BodyText"/>
        <w:spacing w:before="7"/>
        <w:rPr>
          <w:sz w:val="15"/>
        </w:rPr>
      </w:pPr>
    </w:p>
    <w:p>
      <w:pPr>
        <w:pStyle w:val="BodyText"/>
        <w:ind w:left="1260"/>
      </w:pPr>
      <w:r>
        <w:rPr>
          <w:rFonts w:ascii="Times New Roman" w:eastAsia="Times New Roman"/>
        </w:rPr>
        <w:t>1</w:t>
      </w:r>
      <w:r>
        <w:rPr/>
        <w:t>、根据《基金法》、《运作办法》及其他有关规定，基金托管人的权利包括但不限于：</w:t>
      </w:r>
    </w:p>
    <w:p>
      <w:pPr>
        <w:pStyle w:val="BodyText"/>
        <w:spacing w:before="6"/>
        <w:rPr>
          <w:sz w:val="15"/>
        </w:rPr>
      </w:pPr>
    </w:p>
    <w:p>
      <w:pPr>
        <w:pStyle w:val="ListParagraph"/>
        <w:numPr>
          <w:ilvl w:val="0"/>
          <w:numId w:val="45"/>
        </w:numPr>
        <w:tabs>
          <w:tab w:pos="1790" w:val="left" w:leader="none"/>
        </w:tabs>
        <w:spacing w:line="240" w:lineRule="auto" w:before="1" w:after="0"/>
        <w:ind w:left="1789" w:right="0" w:hanging="530"/>
        <w:jc w:val="left"/>
        <w:rPr>
          <w:sz w:val="21"/>
        </w:rPr>
      </w:pPr>
      <w:r>
        <w:rPr>
          <w:spacing w:val="-8"/>
          <w:sz w:val="21"/>
        </w:rPr>
        <w:t>自本基金合同生效之日起，依法律法规和《基金合同》的规定安全保管基金资产；</w:t>
      </w:r>
    </w:p>
    <w:p>
      <w:pPr>
        <w:pStyle w:val="BodyText"/>
        <w:spacing w:before="7"/>
        <w:rPr>
          <w:sz w:val="15"/>
        </w:rPr>
      </w:pPr>
    </w:p>
    <w:p>
      <w:pPr>
        <w:pStyle w:val="ListParagraph"/>
        <w:numPr>
          <w:ilvl w:val="0"/>
          <w:numId w:val="45"/>
        </w:numPr>
        <w:tabs>
          <w:tab w:pos="1790" w:val="left" w:leader="none"/>
        </w:tabs>
        <w:spacing w:line="417" w:lineRule="auto" w:before="0" w:after="0"/>
        <w:ind w:left="840" w:right="894" w:firstLine="419"/>
        <w:jc w:val="left"/>
        <w:rPr>
          <w:sz w:val="21"/>
        </w:rPr>
      </w:pPr>
      <w:r>
        <w:rPr>
          <w:spacing w:val="-3"/>
          <w:sz w:val="21"/>
        </w:rPr>
        <w:t>依《基金合同》约定获得基金托管费、其他法定收入和其他法律法规允许或监管部门批准的约定收入；</w:t>
      </w:r>
    </w:p>
    <w:p>
      <w:pPr>
        <w:pStyle w:val="ListParagraph"/>
        <w:numPr>
          <w:ilvl w:val="0"/>
          <w:numId w:val="45"/>
        </w:numPr>
        <w:tabs>
          <w:tab w:pos="1790" w:val="left" w:leader="none"/>
        </w:tabs>
        <w:spacing w:line="417" w:lineRule="auto" w:before="0" w:after="0"/>
        <w:ind w:left="840" w:right="894" w:firstLine="419"/>
        <w:jc w:val="left"/>
        <w:rPr>
          <w:sz w:val="21"/>
        </w:rPr>
      </w:pPr>
      <w:r>
        <w:rPr>
          <w:spacing w:val="-3"/>
          <w:sz w:val="21"/>
        </w:rPr>
        <w:t>监督基金管理人对本基金的投资运作，如发现基金管理人有违反《基金合同》及国家法律法规行为，应呈报中国证监会，并采取必要措施保护基金投资者的利益；</w:t>
      </w:r>
    </w:p>
    <w:p>
      <w:pPr>
        <w:pStyle w:val="ListParagraph"/>
        <w:numPr>
          <w:ilvl w:val="0"/>
          <w:numId w:val="45"/>
        </w:numPr>
        <w:tabs>
          <w:tab w:pos="1790" w:val="left" w:leader="none"/>
        </w:tabs>
        <w:spacing w:line="417" w:lineRule="auto" w:before="0" w:after="0"/>
        <w:ind w:left="840" w:right="894" w:firstLine="419"/>
        <w:jc w:val="left"/>
        <w:rPr>
          <w:sz w:val="21"/>
        </w:rPr>
      </w:pPr>
      <w:r>
        <w:rPr>
          <w:spacing w:val="-3"/>
          <w:sz w:val="21"/>
        </w:rPr>
        <w:t>以基金托管人和基金联名的方式在中国证券登记结算有限公司上海分公司和深圳分公司开设证券账户；</w:t>
      </w:r>
    </w:p>
    <w:p>
      <w:pPr>
        <w:pStyle w:val="ListParagraph"/>
        <w:numPr>
          <w:ilvl w:val="0"/>
          <w:numId w:val="45"/>
        </w:numPr>
        <w:tabs>
          <w:tab w:pos="1790" w:val="left" w:leader="none"/>
        </w:tabs>
        <w:spacing w:line="269" w:lineRule="exact" w:before="0" w:after="0"/>
        <w:ind w:left="1789" w:right="0" w:hanging="530"/>
        <w:jc w:val="left"/>
        <w:rPr>
          <w:sz w:val="21"/>
        </w:rPr>
      </w:pPr>
      <w:r>
        <w:rPr>
          <w:spacing w:val="-3"/>
          <w:sz w:val="21"/>
        </w:rPr>
        <w:t>以基金托管人名义开立证券交易资金账户，用于证券交易资金清算；</w:t>
      </w:r>
    </w:p>
    <w:p>
      <w:pPr>
        <w:pStyle w:val="BodyText"/>
        <w:spacing w:before="6"/>
        <w:rPr>
          <w:sz w:val="15"/>
        </w:rPr>
      </w:pPr>
    </w:p>
    <w:p>
      <w:pPr>
        <w:pStyle w:val="ListParagraph"/>
        <w:numPr>
          <w:ilvl w:val="0"/>
          <w:numId w:val="45"/>
        </w:numPr>
        <w:tabs>
          <w:tab w:pos="1790" w:val="left" w:leader="none"/>
        </w:tabs>
        <w:spacing w:line="417" w:lineRule="auto" w:before="0" w:after="0"/>
        <w:ind w:left="840" w:right="893" w:firstLine="419"/>
        <w:jc w:val="left"/>
        <w:rPr>
          <w:sz w:val="21"/>
        </w:rPr>
      </w:pPr>
      <w:r>
        <w:rPr>
          <w:spacing w:val="-3"/>
          <w:sz w:val="21"/>
        </w:rPr>
        <w:t>以基金的名义在中央国债登记结算有限公司开设银行间债券托管账户，负责基金的债券及资金的清算；</w:t>
      </w:r>
    </w:p>
    <w:p>
      <w:pPr>
        <w:pStyle w:val="ListParagraph"/>
        <w:numPr>
          <w:ilvl w:val="0"/>
          <w:numId w:val="45"/>
        </w:numPr>
        <w:tabs>
          <w:tab w:pos="1790" w:val="left" w:leader="none"/>
        </w:tabs>
        <w:spacing w:line="269" w:lineRule="exact" w:before="0" w:after="0"/>
        <w:ind w:left="1789" w:right="0" w:hanging="530"/>
        <w:jc w:val="left"/>
        <w:rPr>
          <w:sz w:val="21"/>
        </w:rPr>
      </w:pPr>
      <w:r>
        <w:rPr>
          <w:spacing w:val="-3"/>
          <w:sz w:val="21"/>
        </w:rPr>
        <w:t>提议召开基金份额持有人大会；</w:t>
      </w:r>
    </w:p>
    <w:p>
      <w:pPr>
        <w:pStyle w:val="BodyText"/>
        <w:spacing w:before="7"/>
        <w:rPr>
          <w:sz w:val="15"/>
        </w:rPr>
      </w:pPr>
    </w:p>
    <w:p>
      <w:pPr>
        <w:pStyle w:val="ListParagraph"/>
        <w:numPr>
          <w:ilvl w:val="0"/>
          <w:numId w:val="45"/>
        </w:numPr>
        <w:tabs>
          <w:tab w:pos="1790" w:val="left" w:leader="none"/>
        </w:tabs>
        <w:spacing w:line="240" w:lineRule="auto" w:before="0" w:after="0"/>
        <w:ind w:left="1789" w:right="0" w:hanging="530"/>
        <w:jc w:val="left"/>
        <w:rPr>
          <w:sz w:val="21"/>
        </w:rPr>
      </w:pPr>
      <w:r>
        <w:rPr>
          <w:spacing w:val="-3"/>
          <w:sz w:val="21"/>
        </w:rPr>
        <w:t>在基金管理人更换时，提名新的基金管理人；</w:t>
      </w:r>
    </w:p>
    <w:p>
      <w:pPr>
        <w:pStyle w:val="BodyText"/>
        <w:spacing w:before="7"/>
        <w:rPr>
          <w:sz w:val="15"/>
        </w:rPr>
      </w:pPr>
    </w:p>
    <w:p>
      <w:pPr>
        <w:pStyle w:val="ListParagraph"/>
        <w:numPr>
          <w:ilvl w:val="0"/>
          <w:numId w:val="45"/>
        </w:numPr>
        <w:tabs>
          <w:tab w:pos="1790" w:val="left" w:leader="none"/>
        </w:tabs>
        <w:spacing w:line="240" w:lineRule="auto" w:before="0" w:after="0"/>
        <w:ind w:left="1789" w:right="0" w:hanging="530"/>
        <w:jc w:val="left"/>
        <w:rPr>
          <w:sz w:val="21"/>
        </w:rPr>
      </w:pPr>
      <w:r>
        <w:rPr>
          <w:spacing w:val="-3"/>
          <w:sz w:val="21"/>
        </w:rPr>
        <w:t>法律法规和《基金合同》规定的其他权利。</w:t>
      </w:r>
    </w:p>
    <w:p>
      <w:pPr>
        <w:pStyle w:val="BodyText"/>
        <w:spacing w:before="7"/>
        <w:rPr>
          <w:sz w:val="15"/>
        </w:rPr>
      </w:pPr>
    </w:p>
    <w:p>
      <w:pPr>
        <w:pStyle w:val="BodyText"/>
        <w:ind w:left="1260"/>
      </w:pPr>
      <w:r>
        <w:rPr>
          <w:rFonts w:ascii="Times New Roman" w:eastAsia="Times New Roman"/>
        </w:rPr>
        <w:t>2</w:t>
      </w:r>
      <w:r>
        <w:rPr/>
        <w:t>、根据《基金法》、《运作办法》及其他有关规定，基金托管人的义务包括但不限于：</w:t>
      </w:r>
    </w:p>
    <w:p>
      <w:pPr>
        <w:pStyle w:val="BodyText"/>
        <w:spacing w:before="6"/>
        <w:rPr>
          <w:sz w:val="15"/>
        </w:rPr>
      </w:pPr>
    </w:p>
    <w:p>
      <w:pPr>
        <w:pStyle w:val="ListParagraph"/>
        <w:numPr>
          <w:ilvl w:val="0"/>
          <w:numId w:val="46"/>
        </w:numPr>
        <w:tabs>
          <w:tab w:pos="1790" w:val="left" w:leader="none"/>
        </w:tabs>
        <w:spacing w:line="240" w:lineRule="auto" w:before="0" w:after="0"/>
        <w:ind w:left="178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46"/>
        </w:numPr>
        <w:tabs>
          <w:tab w:pos="1790" w:val="left" w:leader="none"/>
        </w:tabs>
        <w:spacing w:line="417" w:lineRule="auto" w:before="1" w:after="0"/>
        <w:ind w:left="840" w:right="893" w:firstLine="419"/>
        <w:jc w:val="left"/>
        <w:rPr>
          <w:sz w:val="21"/>
        </w:rPr>
      </w:pPr>
      <w:r>
        <w:rPr>
          <w:spacing w:val="-3"/>
          <w:sz w:val="21"/>
        </w:rPr>
        <w:t>设立专门的资产托管部，具有符合要求的营业场所，配备足够的、合格的熟悉基金托管业务的专职人员，负责基金财产托管事宜；</w:t>
      </w:r>
    </w:p>
    <w:p>
      <w:pPr>
        <w:spacing w:after="0" w:line="417"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46"/>
        </w:numPr>
        <w:tabs>
          <w:tab w:pos="1790" w:val="left" w:leader="none"/>
        </w:tabs>
        <w:spacing w:line="417" w:lineRule="auto" w:before="78" w:after="0"/>
        <w:ind w:left="840" w:right="786"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16"/>
          <w:sz w:val="21"/>
        </w:rPr>
        <w:t>不同的基金分别设置账户，独立核算，分账管理，保证不同基金之间在名册登记、账户设置、</w:t>
      </w:r>
      <w:r>
        <w:rPr>
          <w:spacing w:val="-7"/>
          <w:sz w:val="21"/>
        </w:rPr>
        <w:t>资金划拨、账册记录等方面相互独立；</w:t>
      </w:r>
    </w:p>
    <w:p>
      <w:pPr>
        <w:pStyle w:val="ListParagraph"/>
        <w:numPr>
          <w:ilvl w:val="0"/>
          <w:numId w:val="46"/>
        </w:numPr>
        <w:tabs>
          <w:tab w:pos="1790" w:val="left" w:leader="none"/>
        </w:tabs>
        <w:spacing w:line="417" w:lineRule="auto" w:before="0" w:after="0"/>
        <w:ind w:left="840" w:right="89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6"/>
        </w:numPr>
        <w:tabs>
          <w:tab w:pos="1790" w:val="left" w:leader="none"/>
        </w:tabs>
        <w:spacing w:line="269" w:lineRule="exact" w:before="0" w:after="0"/>
        <w:ind w:left="1789" w:right="0" w:hanging="530"/>
        <w:jc w:val="left"/>
        <w:rPr>
          <w:sz w:val="21"/>
        </w:rPr>
      </w:pPr>
      <w:r>
        <w:rPr>
          <w:spacing w:val="-3"/>
          <w:sz w:val="21"/>
        </w:rPr>
        <w:t>保管由基金管理人代表基金签订的与基金有关的重大合同及有关凭证；</w:t>
      </w:r>
    </w:p>
    <w:p>
      <w:pPr>
        <w:pStyle w:val="BodyText"/>
        <w:spacing w:before="7"/>
        <w:rPr>
          <w:sz w:val="15"/>
        </w:rPr>
      </w:pPr>
    </w:p>
    <w:p>
      <w:pPr>
        <w:pStyle w:val="ListParagraph"/>
        <w:numPr>
          <w:ilvl w:val="0"/>
          <w:numId w:val="46"/>
        </w:numPr>
        <w:tabs>
          <w:tab w:pos="1790" w:val="left" w:leader="none"/>
        </w:tabs>
        <w:spacing w:line="417" w:lineRule="auto" w:before="0" w:after="0"/>
        <w:ind w:left="840" w:right="894" w:firstLine="419"/>
        <w:jc w:val="left"/>
        <w:rPr>
          <w:sz w:val="21"/>
        </w:rPr>
      </w:pPr>
      <w:r>
        <w:rPr>
          <w:spacing w:val="-3"/>
          <w:sz w:val="21"/>
        </w:rPr>
        <w:t>按规定开设基金财产的资金账户和证券账户，按照《基金合同》的约定，根据基金管理人的投资指令，及时办理清算、交割事宜；</w:t>
      </w:r>
    </w:p>
    <w:p>
      <w:pPr>
        <w:pStyle w:val="ListParagraph"/>
        <w:numPr>
          <w:ilvl w:val="0"/>
          <w:numId w:val="46"/>
        </w:numPr>
        <w:tabs>
          <w:tab w:pos="1790" w:val="left" w:leader="none"/>
        </w:tabs>
        <w:spacing w:line="417" w:lineRule="auto" w:before="0" w:after="0"/>
        <w:ind w:left="840" w:right="89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46"/>
        </w:numPr>
        <w:tabs>
          <w:tab w:pos="1790" w:val="left" w:leader="none"/>
        </w:tabs>
        <w:spacing w:line="417" w:lineRule="auto" w:before="0" w:after="0"/>
        <w:ind w:left="840" w:right="893" w:firstLine="419"/>
        <w:jc w:val="left"/>
        <w:rPr>
          <w:sz w:val="21"/>
        </w:rPr>
      </w:pPr>
      <w:r>
        <w:rPr>
          <w:spacing w:val="-3"/>
          <w:sz w:val="21"/>
        </w:rPr>
        <w:t>复核、审查基金管理人计算的基金资产净值、基金份额净值、基金份额申购、赎回价格；</w:t>
      </w:r>
    </w:p>
    <w:p>
      <w:pPr>
        <w:pStyle w:val="ListParagraph"/>
        <w:numPr>
          <w:ilvl w:val="0"/>
          <w:numId w:val="46"/>
        </w:numPr>
        <w:tabs>
          <w:tab w:pos="1790" w:val="left" w:leader="none"/>
        </w:tabs>
        <w:spacing w:line="269" w:lineRule="exact" w:before="0" w:after="0"/>
        <w:ind w:left="1789" w:right="0" w:hanging="530"/>
        <w:jc w:val="left"/>
        <w:rPr>
          <w:sz w:val="21"/>
        </w:rPr>
      </w:pPr>
      <w:r>
        <w:rPr>
          <w:spacing w:val="-3"/>
          <w:sz w:val="21"/>
        </w:rPr>
        <w:t>办理与基金托管业务活动有关的信息披露事项；</w:t>
      </w:r>
    </w:p>
    <w:p>
      <w:pPr>
        <w:pStyle w:val="BodyText"/>
        <w:spacing w:before="6"/>
        <w:rPr>
          <w:sz w:val="15"/>
        </w:rPr>
      </w:pPr>
    </w:p>
    <w:p>
      <w:pPr>
        <w:pStyle w:val="ListParagraph"/>
        <w:numPr>
          <w:ilvl w:val="0"/>
          <w:numId w:val="46"/>
        </w:numPr>
        <w:tabs>
          <w:tab w:pos="1895" w:val="left" w:leader="none"/>
        </w:tabs>
        <w:spacing w:line="417" w:lineRule="auto" w:before="0" w:after="0"/>
        <w:ind w:left="840" w:right="891" w:firstLine="419"/>
        <w:jc w:val="both"/>
        <w:rPr>
          <w:sz w:val="21"/>
        </w:rPr>
      </w:pPr>
      <w:r>
        <w:rPr>
          <w:spacing w:val="-9"/>
          <w:sz w:val="21"/>
        </w:rPr>
        <w:t>对基金财务会计报告、季度报告、中期报告和年度报告出具意见，说明基金管 </w:t>
      </w:r>
      <w:r>
        <w:rPr>
          <w:spacing w:val="-19"/>
          <w:sz w:val="21"/>
        </w:rPr>
        <w:t>理人在各重要方面的运作是否严格按照《基金合同》的规定进行；如果基金管理人有未执行《</w:t>
      </w:r>
      <w:r>
        <w:rPr>
          <w:spacing w:val="-3"/>
          <w:sz w:val="21"/>
        </w:rPr>
        <w:t>基金合同》规定的行为，还应当说明基金托管人是否采取了适当的措施；</w:t>
      </w:r>
    </w:p>
    <w:p>
      <w:pPr>
        <w:pStyle w:val="ListParagraph"/>
        <w:numPr>
          <w:ilvl w:val="0"/>
          <w:numId w:val="46"/>
        </w:numPr>
        <w:tabs>
          <w:tab w:pos="1886" w:val="left" w:leader="none"/>
        </w:tabs>
        <w:spacing w:line="417" w:lineRule="auto" w:before="0" w:after="0"/>
        <w:ind w:left="840" w:right="891" w:firstLine="419"/>
        <w:jc w:val="both"/>
        <w:rPr>
          <w:sz w:val="21"/>
        </w:rPr>
      </w:pPr>
      <w:r>
        <w:rPr>
          <w:spacing w:val="-4"/>
          <w:sz w:val="21"/>
        </w:rPr>
        <w:t>按有关规定，保存基金托管业务活动的记录、账册、报表和其他相关资料 </w:t>
      </w:r>
      <w:r>
        <w:rPr>
          <w:rFonts w:ascii="Times New Roman" w:eastAsia="Times New Roman"/>
          <w:sz w:val="21"/>
        </w:rPr>
        <w:t>15</w:t>
      </w:r>
      <w:r>
        <w:rPr>
          <w:rFonts w:ascii="Times New Roman" w:eastAsia="Times New Roman"/>
          <w:spacing w:val="26"/>
          <w:sz w:val="21"/>
        </w:rPr>
        <w:t> </w:t>
      </w:r>
      <w:r>
        <w:rPr>
          <w:sz w:val="21"/>
        </w:rPr>
        <w:t>年以上；</w:t>
      </w:r>
    </w:p>
    <w:p>
      <w:pPr>
        <w:pStyle w:val="ListParagraph"/>
        <w:numPr>
          <w:ilvl w:val="0"/>
          <w:numId w:val="46"/>
        </w:numPr>
        <w:tabs>
          <w:tab w:pos="1895" w:val="left" w:leader="none"/>
        </w:tabs>
        <w:spacing w:line="269" w:lineRule="exact" w:before="0" w:after="0"/>
        <w:ind w:left="1895" w:right="0" w:hanging="635"/>
        <w:jc w:val="left"/>
        <w:rPr>
          <w:sz w:val="21"/>
        </w:rPr>
      </w:pPr>
      <w:r>
        <w:rPr>
          <w:spacing w:val="-3"/>
          <w:sz w:val="21"/>
        </w:rPr>
        <w:t>建立并保存基金份额持有人名册；</w:t>
      </w:r>
    </w:p>
    <w:p>
      <w:pPr>
        <w:pStyle w:val="BodyText"/>
        <w:spacing w:before="6"/>
        <w:rPr>
          <w:sz w:val="15"/>
        </w:rPr>
      </w:pPr>
    </w:p>
    <w:p>
      <w:pPr>
        <w:pStyle w:val="ListParagraph"/>
        <w:numPr>
          <w:ilvl w:val="0"/>
          <w:numId w:val="46"/>
        </w:numPr>
        <w:tabs>
          <w:tab w:pos="1895" w:val="left" w:leader="none"/>
        </w:tabs>
        <w:spacing w:line="240" w:lineRule="auto" w:before="1" w:after="0"/>
        <w:ind w:left="1895" w:right="0" w:hanging="635"/>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46"/>
        </w:numPr>
        <w:tabs>
          <w:tab w:pos="1895" w:val="left" w:leader="none"/>
        </w:tabs>
        <w:spacing w:line="240" w:lineRule="auto" w:before="0" w:after="0"/>
        <w:ind w:left="1895" w:right="0" w:hanging="635"/>
        <w:jc w:val="left"/>
        <w:rPr>
          <w:sz w:val="21"/>
        </w:rPr>
      </w:pPr>
      <w:r>
        <w:rPr>
          <w:spacing w:val="-3"/>
          <w:sz w:val="21"/>
        </w:rPr>
        <w:t>依据基金管理人的指令或有关规定向基金份额持有人支付基金收益和赎回款项；</w:t>
      </w:r>
    </w:p>
    <w:p>
      <w:pPr>
        <w:pStyle w:val="BodyText"/>
        <w:spacing w:before="6"/>
        <w:rPr>
          <w:sz w:val="15"/>
        </w:rPr>
      </w:pPr>
    </w:p>
    <w:p>
      <w:pPr>
        <w:pStyle w:val="ListParagraph"/>
        <w:numPr>
          <w:ilvl w:val="0"/>
          <w:numId w:val="46"/>
        </w:numPr>
        <w:tabs>
          <w:tab w:pos="1893" w:val="left" w:leader="none"/>
        </w:tabs>
        <w:spacing w:line="417" w:lineRule="auto" w:before="1" w:after="0"/>
        <w:ind w:left="840" w:right="891" w:firstLine="419"/>
        <w:jc w:val="left"/>
        <w:rPr>
          <w:sz w:val="21"/>
        </w:rPr>
      </w:pPr>
      <w:r>
        <w:rPr>
          <w:spacing w:val="-3"/>
          <w:sz w:val="21"/>
        </w:rPr>
        <w:t>按照规定召集基金份额持有人大会或配合基金份额持有人依法自行召集基金份</w:t>
      </w:r>
      <w:r>
        <w:rPr>
          <w:spacing w:val="-2"/>
          <w:sz w:val="21"/>
        </w:rPr>
        <w:t>额持有人大会；</w:t>
      </w:r>
    </w:p>
    <w:p>
      <w:pPr>
        <w:pStyle w:val="ListParagraph"/>
        <w:numPr>
          <w:ilvl w:val="0"/>
          <w:numId w:val="46"/>
        </w:numPr>
        <w:tabs>
          <w:tab w:pos="1895" w:val="left" w:leader="none"/>
        </w:tabs>
        <w:spacing w:line="269" w:lineRule="exact" w:before="0" w:after="0"/>
        <w:ind w:left="1895" w:right="0" w:hanging="635"/>
        <w:jc w:val="left"/>
        <w:rPr>
          <w:sz w:val="21"/>
        </w:rPr>
      </w:pPr>
      <w:r>
        <w:rPr>
          <w:spacing w:val="-3"/>
          <w:sz w:val="21"/>
        </w:rPr>
        <w:t>按照法律法规和基金合同的规定监督基金管理人的投资运作；</w:t>
      </w:r>
    </w:p>
    <w:p>
      <w:pPr>
        <w:pStyle w:val="BodyText"/>
        <w:spacing w:before="6"/>
        <w:rPr>
          <w:sz w:val="15"/>
        </w:rPr>
      </w:pPr>
    </w:p>
    <w:p>
      <w:pPr>
        <w:pStyle w:val="ListParagraph"/>
        <w:numPr>
          <w:ilvl w:val="0"/>
          <w:numId w:val="46"/>
        </w:numPr>
        <w:tabs>
          <w:tab w:pos="1895" w:val="left" w:leader="none"/>
        </w:tabs>
        <w:spacing w:line="240" w:lineRule="auto" w:before="0" w:after="0"/>
        <w:ind w:left="1895" w:right="0" w:hanging="635"/>
        <w:jc w:val="left"/>
        <w:rPr>
          <w:sz w:val="21"/>
        </w:rPr>
      </w:pPr>
      <w:r>
        <w:rPr>
          <w:spacing w:val="-3"/>
          <w:sz w:val="21"/>
        </w:rPr>
        <w:t>参加基金财产清算小组，参与基金财产的保管、清理、估价、变现和分配；</w:t>
      </w:r>
    </w:p>
    <w:p>
      <w:pPr>
        <w:pStyle w:val="BodyText"/>
        <w:spacing w:before="7"/>
        <w:rPr>
          <w:sz w:val="15"/>
        </w:rPr>
      </w:pPr>
    </w:p>
    <w:p>
      <w:pPr>
        <w:pStyle w:val="ListParagraph"/>
        <w:numPr>
          <w:ilvl w:val="0"/>
          <w:numId w:val="46"/>
        </w:numPr>
        <w:tabs>
          <w:tab w:pos="1893" w:val="left" w:leader="none"/>
        </w:tabs>
        <w:spacing w:line="417" w:lineRule="auto" w:before="0" w:after="0"/>
        <w:ind w:left="840" w:right="89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46"/>
        </w:numPr>
        <w:tabs>
          <w:tab w:pos="1895" w:val="left" w:leader="none"/>
        </w:tabs>
        <w:spacing w:line="417" w:lineRule="auto" w:before="0" w:after="0"/>
        <w:ind w:left="840" w:right="891" w:firstLine="419"/>
        <w:jc w:val="left"/>
        <w:rPr>
          <w:sz w:val="21"/>
        </w:rPr>
      </w:pPr>
      <w:r>
        <w:rPr>
          <w:spacing w:val="-10"/>
          <w:sz w:val="21"/>
        </w:rPr>
        <w:t>因违反《基金合同》导致基金财产损失时，应承担赔偿责任，其赔偿责任不因 </w:t>
      </w:r>
      <w:r>
        <w:rPr>
          <w:spacing w:val="-7"/>
          <w:sz w:val="21"/>
        </w:rPr>
        <w:t>其退任而免除；</w:t>
      </w:r>
    </w:p>
    <w:p>
      <w:pPr>
        <w:spacing w:after="0" w:line="417"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46"/>
        </w:numPr>
        <w:tabs>
          <w:tab w:pos="1893" w:val="left" w:leader="none"/>
        </w:tabs>
        <w:spacing w:line="417" w:lineRule="auto" w:before="78" w:after="0"/>
        <w:ind w:left="840" w:right="891" w:firstLine="419"/>
        <w:jc w:val="left"/>
        <w:rPr>
          <w:sz w:val="21"/>
        </w:rPr>
      </w:pPr>
      <w:r>
        <w:rPr>
          <w:spacing w:val="-6"/>
          <w:sz w:val="21"/>
        </w:rPr>
        <w:t>监督基金管理人按法律法规和合同规定履行自己的义务，基金管理人因违反《 </w:t>
      </w:r>
      <w:r>
        <w:rPr>
          <w:spacing w:val="-3"/>
          <w:sz w:val="21"/>
        </w:rPr>
        <w:t>基金合同》造成基金财产损失时，应为基金份额持有人的利益向基金管理人追偿；</w:t>
      </w:r>
    </w:p>
    <w:p>
      <w:pPr>
        <w:pStyle w:val="ListParagraph"/>
        <w:numPr>
          <w:ilvl w:val="0"/>
          <w:numId w:val="46"/>
        </w:numPr>
        <w:tabs>
          <w:tab w:pos="1895" w:val="left" w:leader="none"/>
        </w:tabs>
        <w:spacing w:line="269" w:lineRule="exact" w:before="0" w:after="0"/>
        <w:ind w:left="1895" w:right="0" w:hanging="635"/>
        <w:jc w:val="left"/>
        <w:rPr>
          <w:sz w:val="21"/>
        </w:rPr>
      </w:pPr>
      <w:r>
        <w:rPr>
          <w:spacing w:val="-3"/>
          <w:sz w:val="21"/>
        </w:rPr>
        <w:t>执行生效的基金份额持有人大会的决定；</w:t>
      </w:r>
    </w:p>
    <w:p>
      <w:pPr>
        <w:pStyle w:val="BodyText"/>
        <w:spacing w:before="7"/>
        <w:rPr>
          <w:sz w:val="15"/>
        </w:rPr>
      </w:pPr>
    </w:p>
    <w:p>
      <w:pPr>
        <w:pStyle w:val="ListParagraph"/>
        <w:numPr>
          <w:ilvl w:val="0"/>
          <w:numId w:val="46"/>
        </w:numPr>
        <w:tabs>
          <w:tab w:pos="1895" w:val="left" w:leader="none"/>
        </w:tabs>
        <w:spacing w:line="240" w:lineRule="auto" w:before="0" w:after="0"/>
        <w:ind w:left="1895" w:right="0" w:hanging="635"/>
        <w:jc w:val="left"/>
        <w:rPr>
          <w:sz w:val="21"/>
        </w:rPr>
      </w:pPr>
      <w:r>
        <w:rPr>
          <w:spacing w:val="-3"/>
          <w:sz w:val="21"/>
        </w:rPr>
        <w:t>法律法规和《基金合同》规定的其他义务。</w:t>
      </w:r>
    </w:p>
    <w:p>
      <w:pPr>
        <w:pStyle w:val="BodyText"/>
        <w:rPr>
          <w:sz w:val="22"/>
        </w:rPr>
      </w:pPr>
    </w:p>
    <w:p>
      <w:pPr>
        <w:pStyle w:val="BodyText"/>
        <w:rPr>
          <w:sz w:val="30"/>
        </w:rPr>
      </w:pPr>
    </w:p>
    <w:p>
      <w:pPr>
        <w:pStyle w:val="Heading4"/>
        <w:spacing w:before="1"/>
      </w:pPr>
      <w:r>
        <w:rPr/>
        <w:t>二、基金份额持有人大会召集、议事及表决的程序和规则</w:t>
      </w:r>
    </w:p>
    <w:p>
      <w:pPr>
        <w:pStyle w:val="BodyText"/>
        <w:spacing w:before="6"/>
        <w:rPr>
          <w:b/>
          <w:sz w:val="15"/>
        </w:rPr>
      </w:pPr>
    </w:p>
    <w:p>
      <w:pPr>
        <w:pStyle w:val="BodyText"/>
        <w:spacing w:line="417" w:lineRule="auto"/>
        <w:ind w:left="840" w:right="891" w:firstLine="419"/>
      </w:pPr>
      <w:r>
        <w:rPr>
          <w:spacing w:val="-6"/>
        </w:rPr>
        <w:t>基金份额持有人大会由基金份额持有人或基金份额持有人的合法授权代表共同组成。基</w:t>
      </w:r>
      <w:r>
        <w:rPr>
          <w:spacing w:val="-4"/>
        </w:rPr>
        <w:t>金份额持有人持有的每一基金份额拥有平等的投票权。</w:t>
      </w:r>
    </w:p>
    <w:p>
      <w:pPr>
        <w:pStyle w:val="BodyText"/>
        <w:spacing w:before="1"/>
        <w:ind w:left="840"/>
      </w:pPr>
      <w:r>
        <w:rPr/>
        <w:t>（一）召开事由</w:t>
      </w:r>
    </w:p>
    <w:p>
      <w:pPr>
        <w:pStyle w:val="BodyText"/>
        <w:spacing w:before="6"/>
        <w:rPr>
          <w:sz w:val="15"/>
        </w:rPr>
      </w:pPr>
    </w:p>
    <w:p>
      <w:pPr>
        <w:pStyle w:val="BodyText"/>
        <w:ind w:left="1260"/>
      </w:pPr>
      <w:r>
        <w:rPr>
          <w:rFonts w:ascii="Times New Roman" w:eastAsia="Times New Roman"/>
        </w:rPr>
        <w:t>1</w:t>
      </w:r>
      <w:r>
        <w:rPr/>
        <w:t>、当出现或需要决定下列事由之一的，应当召开基金份额持有人大会：</w:t>
      </w:r>
    </w:p>
    <w:p>
      <w:pPr>
        <w:pStyle w:val="BodyText"/>
        <w:spacing w:before="7"/>
        <w:rPr>
          <w:sz w:val="15"/>
        </w:rPr>
      </w:pPr>
    </w:p>
    <w:p>
      <w:pPr>
        <w:pStyle w:val="ListParagraph"/>
        <w:numPr>
          <w:ilvl w:val="0"/>
          <w:numId w:val="47"/>
        </w:numPr>
        <w:tabs>
          <w:tab w:pos="1790" w:val="left" w:leader="none"/>
        </w:tabs>
        <w:spacing w:line="240" w:lineRule="auto" w:before="0" w:after="0"/>
        <w:ind w:left="1789" w:right="0" w:hanging="530"/>
        <w:jc w:val="left"/>
        <w:rPr>
          <w:sz w:val="21"/>
        </w:rPr>
      </w:pPr>
      <w:r>
        <w:rPr>
          <w:spacing w:val="-15"/>
          <w:sz w:val="21"/>
        </w:rPr>
        <w:t>终止《基金合同》；</w:t>
      </w:r>
    </w:p>
    <w:p>
      <w:pPr>
        <w:pStyle w:val="BodyText"/>
        <w:spacing w:before="7"/>
        <w:rPr>
          <w:sz w:val="15"/>
        </w:rPr>
      </w:pPr>
    </w:p>
    <w:p>
      <w:pPr>
        <w:pStyle w:val="ListParagraph"/>
        <w:numPr>
          <w:ilvl w:val="0"/>
          <w:numId w:val="47"/>
        </w:numPr>
        <w:tabs>
          <w:tab w:pos="1790" w:val="left" w:leader="none"/>
        </w:tabs>
        <w:spacing w:line="240" w:lineRule="auto" w:before="0" w:after="0"/>
        <w:ind w:left="1789" w:right="0" w:hanging="530"/>
        <w:jc w:val="left"/>
        <w:rPr>
          <w:sz w:val="21"/>
        </w:rPr>
      </w:pPr>
      <w:r>
        <w:rPr>
          <w:spacing w:val="-3"/>
          <w:sz w:val="21"/>
        </w:rPr>
        <w:t>更换基金管理人；</w:t>
      </w:r>
    </w:p>
    <w:p>
      <w:pPr>
        <w:pStyle w:val="BodyText"/>
        <w:spacing w:before="6"/>
        <w:rPr>
          <w:sz w:val="15"/>
        </w:rPr>
      </w:pPr>
    </w:p>
    <w:p>
      <w:pPr>
        <w:pStyle w:val="ListParagraph"/>
        <w:numPr>
          <w:ilvl w:val="0"/>
          <w:numId w:val="47"/>
        </w:numPr>
        <w:tabs>
          <w:tab w:pos="1790" w:val="left" w:leader="none"/>
        </w:tabs>
        <w:spacing w:line="240" w:lineRule="auto" w:before="1" w:after="0"/>
        <w:ind w:left="1789" w:right="0" w:hanging="530"/>
        <w:jc w:val="left"/>
        <w:rPr>
          <w:sz w:val="21"/>
        </w:rPr>
      </w:pPr>
      <w:r>
        <w:rPr>
          <w:spacing w:val="-3"/>
          <w:sz w:val="21"/>
        </w:rPr>
        <w:t>更换基金托管人；</w:t>
      </w:r>
    </w:p>
    <w:p>
      <w:pPr>
        <w:pStyle w:val="BodyText"/>
        <w:spacing w:before="6"/>
        <w:rPr>
          <w:sz w:val="15"/>
        </w:rPr>
      </w:pPr>
    </w:p>
    <w:p>
      <w:pPr>
        <w:pStyle w:val="ListParagraph"/>
        <w:numPr>
          <w:ilvl w:val="0"/>
          <w:numId w:val="47"/>
        </w:numPr>
        <w:tabs>
          <w:tab w:pos="1790" w:val="left" w:leader="none"/>
        </w:tabs>
        <w:spacing w:line="240" w:lineRule="auto" w:before="0" w:after="0"/>
        <w:ind w:left="1789" w:right="0" w:hanging="530"/>
        <w:jc w:val="left"/>
        <w:rPr>
          <w:sz w:val="21"/>
        </w:rPr>
      </w:pPr>
      <w:r>
        <w:rPr>
          <w:spacing w:val="-3"/>
          <w:sz w:val="21"/>
        </w:rPr>
        <w:t>转换基金运作方式；</w:t>
      </w:r>
    </w:p>
    <w:p>
      <w:pPr>
        <w:pStyle w:val="BodyText"/>
        <w:spacing w:before="7"/>
        <w:rPr>
          <w:sz w:val="15"/>
        </w:rPr>
      </w:pPr>
    </w:p>
    <w:p>
      <w:pPr>
        <w:pStyle w:val="ListParagraph"/>
        <w:numPr>
          <w:ilvl w:val="0"/>
          <w:numId w:val="47"/>
        </w:numPr>
        <w:tabs>
          <w:tab w:pos="1790" w:val="left" w:leader="none"/>
        </w:tabs>
        <w:spacing w:line="240" w:lineRule="auto" w:before="1" w:after="0"/>
        <w:ind w:left="1789" w:right="0" w:hanging="530"/>
        <w:jc w:val="left"/>
        <w:rPr>
          <w:sz w:val="21"/>
        </w:rPr>
      </w:pPr>
      <w:r>
        <w:rPr>
          <w:spacing w:val="-3"/>
          <w:sz w:val="21"/>
        </w:rPr>
        <w:t>提高基金管理人、基金托管人的报酬标准；</w:t>
      </w:r>
    </w:p>
    <w:p>
      <w:pPr>
        <w:pStyle w:val="BodyText"/>
        <w:spacing w:before="6"/>
        <w:rPr>
          <w:sz w:val="15"/>
        </w:rPr>
      </w:pPr>
    </w:p>
    <w:p>
      <w:pPr>
        <w:pStyle w:val="ListParagraph"/>
        <w:numPr>
          <w:ilvl w:val="0"/>
          <w:numId w:val="47"/>
        </w:numPr>
        <w:tabs>
          <w:tab w:pos="1790" w:val="left" w:leader="none"/>
        </w:tabs>
        <w:spacing w:line="240" w:lineRule="auto" w:before="0" w:after="0"/>
        <w:ind w:left="1789" w:right="0" w:hanging="530"/>
        <w:jc w:val="left"/>
        <w:rPr>
          <w:sz w:val="21"/>
        </w:rPr>
      </w:pPr>
      <w:r>
        <w:rPr>
          <w:spacing w:val="-3"/>
          <w:sz w:val="21"/>
        </w:rPr>
        <w:t>变更基金类别；</w:t>
      </w:r>
    </w:p>
    <w:p>
      <w:pPr>
        <w:pStyle w:val="BodyText"/>
        <w:spacing w:before="7"/>
        <w:rPr>
          <w:sz w:val="15"/>
        </w:rPr>
      </w:pPr>
    </w:p>
    <w:p>
      <w:pPr>
        <w:pStyle w:val="ListParagraph"/>
        <w:numPr>
          <w:ilvl w:val="0"/>
          <w:numId w:val="47"/>
        </w:numPr>
        <w:tabs>
          <w:tab w:pos="1790" w:val="left" w:leader="none"/>
        </w:tabs>
        <w:spacing w:line="240" w:lineRule="auto" w:before="0" w:after="0"/>
        <w:ind w:left="1789" w:right="0" w:hanging="530"/>
        <w:jc w:val="left"/>
        <w:rPr>
          <w:sz w:val="21"/>
        </w:rPr>
      </w:pPr>
      <w:r>
        <w:rPr>
          <w:spacing w:val="-3"/>
          <w:sz w:val="21"/>
        </w:rPr>
        <w:t>变更基金投资目标、范围或策略；</w:t>
      </w:r>
    </w:p>
    <w:p>
      <w:pPr>
        <w:pStyle w:val="BodyText"/>
        <w:spacing w:before="7"/>
        <w:rPr>
          <w:sz w:val="15"/>
        </w:rPr>
      </w:pPr>
    </w:p>
    <w:p>
      <w:pPr>
        <w:pStyle w:val="ListParagraph"/>
        <w:numPr>
          <w:ilvl w:val="0"/>
          <w:numId w:val="47"/>
        </w:numPr>
        <w:tabs>
          <w:tab w:pos="1790" w:val="left" w:leader="none"/>
        </w:tabs>
        <w:spacing w:line="240" w:lineRule="auto" w:before="0" w:after="0"/>
        <w:ind w:left="1789" w:right="0" w:hanging="530"/>
        <w:jc w:val="left"/>
        <w:rPr>
          <w:sz w:val="21"/>
        </w:rPr>
      </w:pPr>
      <w:r>
        <w:rPr>
          <w:spacing w:val="-3"/>
          <w:sz w:val="21"/>
        </w:rPr>
        <w:t>变更基金份额持有人大会程序；</w:t>
      </w:r>
    </w:p>
    <w:p>
      <w:pPr>
        <w:pStyle w:val="BodyText"/>
        <w:spacing w:before="6"/>
        <w:rPr>
          <w:sz w:val="15"/>
        </w:rPr>
      </w:pPr>
    </w:p>
    <w:p>
      <w:pPr>
        <w:pStyle w:val="ListParagraph"/>
        <w:numPr>
          <w:ilvl w:val="0"/>
          <w:numId w:val="47"/>
        </w:numPr>
        <w:tabs>
          <w:tab w:pos="1790" w:val="left" w:leader="none"/>
        </w:tabs>
        <w:spacing w:line="240" w:lineRule="auto" w:before="1" w:after="0"/>
        <w:ind w:left="1789" w:right="0" w:hanging="530"/>
        <w:jc w:val="left"/>
        <w:rPr>
          <w:sz w:val="21"/>
        </w:rPr>
      </w:pPr>
      <w:r>
        <w:rPr>
          <w:spacing w:val="-3"/>
          <w:sz w:val="21"/>
        </w:rPr>
        <w:t>对基金当事人权利和义务产生重大影响的事项；</w:t>
      </w:r>
    </w:p>
    <w:p>
      <w:pPr>
        <w:pStyle w:val="BodyText"/>
        <w:spacing w:before="6"/>
        <w:rPr>
          <w:sz w:val="15"/>
        </w:rPr>
      </w:pPr>
    </w:p>
    <w:p>
      <w:pPr>
        <w:pStyle w:val="ListParagraph"/>
        <w:numPr>
          <w:ilvl w:val="0"/>
          <w:numId w:val="47"/>
        </w:numPr>
        <w:tabs>
          <w:tab w:pos="1895" w:val="left" w:leader="none"/>
        </w:tabs>
        <w:spacing w:line="417" w:lineRule="auto" w:before="0" w:after="0"/>
        <w:ind w:left="840" w:right="89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before="1"/>
        <w:ind w:left="1260"/>
      </w:pPr>
      <w:r>
        <w:rPr>
          <w:rFonts w:ascii="Times New Roman" w:eastAsia="Times New Roman"/>
        </w:rPr>
        <w:t>2</w:t>
      </w:r>
      <w:r>
        <w:rPr/>
        <w:t>、以下情况可由基金管理人和基金托管人协商后修改，不需召开基金份额持有人大会：</w:t>
      </w:r>
    </w:p>
    <w:p>
      <w:pPr>
        <w:pStyle w:val="BodyText"/>
        <w:spacing w:before="6"/>
        <w:rPr>
          <w:sz w:val="15"/>
        </w:rPr>
      </w:pPr>
    </w:p>
    <w:p>
      <w:pPr>
        <w:pStyle w:val="ListParagraph"/>
        <w:numPr>
          <w:ilvl w:val="0"/>
          <w:numId w:val="48"/>
        </w:numPr>
        <w:tabs>
          <w:tab w:pos="1790" w:val="left" w:leader="none"/>
        </w:tabs>
        <w:spacing w:line="240" w:lineRule="auto" w:before="0" w:after="0"/>
        <w:ind w:left="1789" w:right="0" w:hanging="530"/>
        <w:jc w:val="left"/>
        <w:rPr>
          <w:sz w:val="21"/>
        </w:rPr>
      </w:pPr>
      <w:r>
        <w:rPr>
          <w:spacing w:val="-3"/>
          <w:sz w:val="21"/>
        </w:rPr>
        <w:t>调低基金管理费、基金托管费；</w:t>
      </w:r>
    </w:p>
    <w:p>
      <w:pPr>
        <w:pStyle w:val="BodyText"/>
        <w:spacing w:before="7"/>
        <w:rPr>
          <w:sz w:val="15"/>
        </w:rPr>
      </w:pPr>
    </w:p>
    <w:p>
      <w:pPr>
        <w:pStyle w:val="ListParagraph"/>
        <w:numPr>
          <w:ilvl w:val="0"/>
          <w:numId w:val="48"/>
        </w:numPr>
        <w:tabs>
          <w:tab w:pos="1790" w:val="left" w:leader="none"/>
        </w:tabs>
        <w:spacing w:line="240" w:lineRule="auto" w:before="0" w:after="0"/>
        <w:ind w:left="1789" w:right="0" w:hanging="530"/>
        <w:jc w:val="left"/>
        <w:rPr>
          <w:sz w:val="21"/>
        </w:rPr>
      </w:pPr>
      <w:r>
        <w:rPr>
          <w:spacing w:val="-3"/>
          <w:sz w:val="21"/>
        </w:rPr>
        <w:t>在《基金合同》规定的范围内变更本基金的申购费率、赎回费率或收费方式；</w:t>
      </w:r>
    </w:p>
    <w:p>
      <w:pPr>
        <w:pStyle w:val="BodyText"/>
        <w:spacing w:before="7"/>
        <w:rPr>
          <w:sz w:val="15"/>
        </w:rPr>
      </w:pPr>
    </w:p>
    <w:p>
      <w:pPr>
        <w:pStyle w:val="ListParagraph"/>
        <w:numPr>
          <w:ilvl w:val="0"/>
          <w:numId w:val="48"/>
        </w:numPr>
        <w:tabs>
          <w:tab w:pos="1790" w:val="left" w:leader="none"/>
        </w:tabs>
        <w:spacing w:line="240" w:lineRule="auto" w:before="0" w:after="0"/>
        <w:ind w:left="1789" w:right="0" w:hanging="530"/>
        <w:jc w:val="left"/>
        <w:rPr>
          <w:sz w:val="21"/>
        </w:rPr>
      </w:pPr>
      <w:r>
        <w:rPr>
          <w:spacing w:val="-3"/>
          <w:sz w:val="21"/>
        </w:rPr>
        <w:t>因相应的法律法规发生变动而应当对《基金合同》进行修改；</w:t>
      </w:r>
    </w:p>
    <w:p>
      <w:pPr>
        <w:pStyle w:val="BodyText"/>
        <w:spacing w:before="6"/>
        <w:rPr>
          <w:sz w:val="15"/>
        </w:rPr>
      </w:pPr>
    </w:p>
    <w:p>
      <w:pPr>
        <w:pStyle w:val="ListParagraph"/>
        <w:numPr>
          <w:ilvl w:val="0"/>
          <w:numId w:val="48"/>
        </w:numPr>
        <w:tabs>
          <w:tab w:pos="1790" w:val="left" w:leader="none"/>
        </w:tabs>
        <w:spacing w:line="417" w:lineRule="auto" w:before="1" w:after="0"/>
        <w:ind w:left="840" w:right="894" w:firstLine="419"/>
        <w:jc w:val="left"/>
        <w:rPr>
          <w:sz w:val="21"/>
        </w:rPr>
      </w:pPr>
      <w:r>
        <w:rPr>
          <w:spacing w:val="-3"/>
          <w:sz w:val="21"/>
        </w:rPr>
        <w:t>对《基金合同》的修改对基金份额持有人利益无实质性不利影响或修改不涉及基金合同当事人权利义务关系发生变化；</w:t>
      </w:r>
    </w:p>
    <w:p>
      <w:pPr>
        <w:pStyle w:val="ListParagraph"/>
        <w:numPr>
          <w:ilvl w:val="0"/>
          <w:numId w:val="48"/>
        </w:numPr>
        <w:tabs>
          <w:tab w:pos="1790" w:val="left" w:leader="none"/>
        </w:tabs>
        <w:spacing w:line="417" w:lineRule="auto" w:before="0" w:after="0"/>
        <w:ind w:left="840" w:right="894" w:firstLine="419"/>
        <w:jc w:val="left"/>
        <w:rPr>
          <w:sz w:val="21"/>
        </w:rPr>
      </w:pPr>
      <w:r>
        <w:rPr>
          <w:spacing w:val="-3"/>
          <w:sz w:val="21"/>
        </w:rPr>
        <w:t>除按照法律法规和《基金合同》规定应当召开基金份额持有人大会的以外的其他情形。</w:t>
      </w:r>
    </w:p>
    <w:p>
      <w:pPr>
        <w:pStyle w:val="BodyText"/>
        <w:ind w:left="840"/>
      </w:pPr>
      <w:r>
        <w:rPr/>
        <w:t>（二）会议召集人及召集方式</w:t>
      </w:r>
    </w:p>
    <w:p>
      <w:pPr>
        <w:spacing w:after="0"/>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4" w:firstLine="419"/>
      </w:pPr>
      <w:r>
        <w:rPr>
          <w:rFonts w:ascii="Times New Roman" w:eastAsia="Times New Roman"/>
        </w:rPr>
        <w:t>1</w:t>
      </w:r>
      <w:r>
        <w:rPr/>
        <w:t>、除法律法规规定或《基金合同》另有约定外，基金份额持有人大会由基金管理人召集；</w:t>
      </w:r>
    </w:p>
    <w:p>
      <w:pPr>
        <w:pStyle w:val="BodyText"/>
        <w:spacing w:line="269" w:lineRule="exact"/>
        <w:ind w:left="1260"/>
      </w:pPr>
      <w:r>
        <w:rPr>
          <w:rFonts w:ascii="Times New Roman" w:eastAsia="Times New Roman"/>
        </w:rPr>
        <w:t>2</w:t>
      </w:r>
      <w:r>
        <w:rPr/>
        <w:t>、基金管理人未按规定召集或不能召集时，由基金托管人召集；</w:t>
      </w:r>
    </w:p>
    <w:p>
      <w:pPr>
        <w:pStyle w:val="BodyText"/>
        <w:spacing w:before="7"/>
        <w:rPr>
          <w:sz w:val="15"/>
        </w:rPr>
      </w:pPr>
    </w:p>
    <w:p>
      <w:pPr>
        <w:pStyle w:val="BodyText"/>
        <w:spacing w:line="417" w:lineRule="auto"/>
        <w:ind w:left="840" w:right="788" w:firstLine="419"/>
        <w:jc w:val="both"/>
      </w:pPr>
      <w:r>
        <w:rPr>
          <w:rFonts w:ascii="Times New Roman" w:eastAsia="Times New Roman"/>
        </w:rPr>
        <w:t>3</w:t>
      </w:r>
      <w:r>
        <w:rPr>
          <w:spacing w:val="-3"/>
        </w:rPr>
        <w:t>、基金托管人认为有必要召开基金份额持有人大会的，应当向基金管理人提出书面提</w:t>
      </w:r>
      <w:r>
        <w:rPr>
          <w:spacing w:val="-11"/>
        </w:rPr>
        <w:t>议。基金管理人应当自收到书面提议之日起 </w:t>
      </w:r>
      <w:r>
        <w:rPr>
          <w:rFonts w:ascii="Times New Roman" w:eastAsia="Times New Roman"/>
        </w:rPr>
        <w:t>10 </w:t>
      </w:r>
      <w:r>
        <w:rPr>
          <w:spacing w:val="-9"/>
        </w:rPr>
        <w:t>日内决定是否召集，并书面告知基金托管人。</w:t>
      </w:r>
    </w:p>
    <w:p>
      <w:pPr>
        <w:pStyle w:val="BodyText"/>
        <w:spacing w:line="417" w:lineRule="auto"/>
        <w:ind w:left="840" w:right="785"/>
        <w:jc w:val="both"/>
      </w:pPr>
      <w:r>
        <w:rPr>
          <w:spacing w:val="-9"/>
        </w:rPr>
        <w:t>基金管理人决定召集的，应当自出具书面决定之日起 </w:t>
      </w:r>
      <w:r>
        <w:rPr>
          <w:rFonts w:ascii="Times New Roman" w:eastAsia="Times New Roman"/>
        </w:rPr>
        <w:t>60 </w:t>
      </w:r>
      <w:r>
        <w:rPr>
          <w:spacing w:val="-8"/>
        </w:rPr>
        <w:t>日内召开；基金管理人决定不召集， </w:t>
      </w:r>
      <w:r>
        <w:rPr>
          <w:spacing w:val="-5"/>
        </w:rPr>
        <w:t>基金托管人仍认为有必要召开的，应当由基金托管人自行召集。</w:t>
      </w:r>
    </w:p>
    <w:p>
      <w:pPr>
        <w:pStyle w:val="BodyText"/>
        <w:spacing w:line="417" w:lineRule="auto"/>
        <w:ind w:left="840" w:right="89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40"/>
        </w:rPr>
        <w:t> </w:t>
      </w:r>
      <w:r>
        <w:rPr>
          <w:spacing w:val="-3"/>
        </w:rPr>
        <w:t>日内决定是否召集，并书面告知提出提议的基金份额持有人代表和基金托管人。基金管</w:t>
      </w:r>
    </w:p>
    <w:p>
      <w:pPr>
        <w:pStyle w:val="BodyText"/>
        <w:spacing w:line="417" w:lineRule="auto"/>
        <w:ind w:left="840" w:right="891"/>
        <w:jc w:val="both"/>
      </w:pPr>
      <w:r>
        <w:rPr>
          <w:spacing w:val="-5"/>
        </w:rPr>
        <w:t>理人决定召集的，应当自出具书面决定之日起 </w:t>
      </w:r>
      <w:r>
        <w:rPr>
          <w:rFonts w:ascii="Times New Roman" w:eastAsia="Times New Roman"/>
        </w:rPr>
        <w:t>60 </w:t>
      </w:r>
      <w:r>
        <w:rPr>
          <w:spacing w:val="-3"/>
        </w:rPr>
        <w:t>日内召开；基金管理人决定不召集，代表</w:t>
      </w:r>
      <w:r>
        <w:rPr>
          <w:spacing w:val="-2"/>
        </w:rPr>
        <w:t>基金份额 </w:t>
      </w:r>
      <w:r>
        <w:rPr>
          <w:rFonts w:ascii="Times New Roman" w:eastAsia="Times New Roman"/>
        </w:rPr>
        <w:t>10%</w:t>
      </w:r>
      <w:r>
        <w:rPr>
          <w:spacing w:val="-2"/>
        </w:rPr>
        <w:t>以上</w:t>
      </w:r>
      <w:r>
        <w:rPr>
          <w:spacing w:val="-3"/>
        </w:rPr>
        <w:t>（</w:t>
      </w:r>
      <w:r>
        <w:rPr>
          <w:spacing w:val="3"/>
        </w:rPr>
        <w:t>含 </w:t>
      </w:r>
      <w:r>
        <w:rPr>
          <w:rFonts w:ascii="Times New Roman" w:eastAsia="Times New Roman"/>
        </w:rPr>
        <w:t>10%</w:t>
      </w:r>
      <w:r>
        <w:rPr/>
        <w:t>）</w:t>
      </w:r>
      <w:r>
        <w:rPr>
          <w:spacing w:val="-3"/>
        </w:rPr>
        <w:t>的基金份额持有人仍认为有必要召开的，应当向基金托管人</w:t>
      </w:r>
      <w:r>
        <w:rPr>
          <w:spacing w:val="-4"/>
        </w:rPr>
        <w:t>提出书面提议。基金托管人应当自收到书面提议之日起 </w:t>
      </w:r>
      <w:r>
        <w:rPr>
          <w:rFonts w:ascii="Times New Roman" w:eastAsia="Times New Roman"/>
        </w:rPr>
        <w:t>10 </w:t>
      </w:r>
      <w:r>
        <w:rPr>
          <w:spacing w:val="-3"/>
        </w:rPr>
        <w:t>日内决定是否召集，并书面告知</w:t>
      </w:r>
      <w:r>
        <w:rPr>
          <w:spacing w:val="-8"/>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w:t>
      </w:r>
    </w:p>
    <w:p>
      <w:pPr>
        <w:pStyle w:val="BodyText"/>
        <w:spacing w:line="417" w:lineRule="auto"/>
        <w:ind w:left="840" w:right="891" w:firstLine="419"/>
        <w:jc w:val="both"/>
      </w:pPr>
      <w:r>
        <w:rPr>
          <w:rFonts w:ascii="Times New Roman" w:eastAsia="Times New Roman"/>
        </w:rPr>
        <w:t>5</w:t>
      </w:r>
      <w:r>
        <w:rPr>
          <w:spacing w:val="-7"/>
        </w:rPr>
        <w:t>、如在上述第 </w:t>
      </w:r>
      <w:r>
        <w:rPr>
          <w:rFonts w:ascii="Times New Roman" w:eastAsia="Times New Roman"/>
        </w:rPr>
        <w:t>4 </w:t>
      </w:r>
      <w:r>
        <w:rPr>
          <w:spacing w:val="-3"/>
        </w:rPr>
        <w:t>条情况下，基金管理人、基金托管人都不召集的，单独或合计代表基</w:t>
      </w:r>
      <w:r>
        <w:rPr>
          <w:spacing w:val="-13"/>
        </w:rPr>
        <w:t>金份额 </w:t>
      </w:r>
      <w:r>
        <w:rPr>
          <w:rFonts w:ascii="Times New Roman" w:eastAsia="Times New Roman"/>
        </w:rPr>
        <w:t>10%</w:t>
      </w:r>
      <w:r>
        <w:rPr>
          <w:spacing w:val="-5"/>
        </w:rPr>
        <w:t>以上</w:t>
      </w:r>
      <w:r>
        <w:rPr>
          <w:spacing w:val="-3"/>
        </w:rPr>
        <w:t>（</w:t>
      </w:r>
      <w:r>
        <w:rPr>
          <w:spacing w:val="-22"/>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2"/>
        </w:rPr>
        <w:t>日报中国证监</w:t>
      </w:r>
      <w:r>
        <w:rPr>
          <w:spacing w:val="-3"/>
        </w:rPr>
        <w:t>会备案。</w:t>
      </w:r>
    </w:p>
    <w:p>
      <w:pPr>
        <w:pStyle w:val="BodyText"/>
        <w:spacing w:line="269" w:lineRule="exact"/>
        <w:ind w:left="1260"/>
      </w:pPr>
      <w:r>
        <w:rPr>
          <w:rFonts w:ascii="Times New Roman" w:eastAsia="Times New Roman"/>
        </w:rPr>
        <w:t>6</w:t>
      </w:r>
      <w:r>
        <w:rPr/>
        <w:t>、基金份额持有人会议的召集人负责选择确定开会时间、地点、方式和权益登记日。</w:t>
      </w:r>
    </w:p>
    <w:p>
      <w:pPr>
        <w:pStyle w:val="BodyText"/>
        <w:spacing w:before="5"/>
        <w:rPr>
          <w:sz w:val="15"/>
        </w:rPr>
      </w:pPr>
    </w:p>
    <w:p>
      <w:pPr>
        <w:pStyle w:val="BodyText"/>
        <w:spacing w:before="1"/>
        <w:ind w:left="840"/>
      </w:pPr>
      <w:r>
        <w:rPr/>
        <w:t>（三）召开基金份额持有人大会的通知时间、通知内容、通知方式</w:t>
      </w:r>
    </w:p>
    <w:p>
      <w:pPr>
        <w:pStyle w:val="BodyText"/>
        <w:spacing w:before="6"/>
        <w:rPr>
          <w:sz w:val="15"/>
        </w:rPr>
      </w:pPr>
    </w:p>
    <w:p>
      <w:pPr>
        <w:pStyle w:val="BodyText"/>
        <w:spacing w:line="417" w:lineRule="auto"/>
        <w:ind w:left="840" w:right="893" w:firstLine="419"/>
      </w:pPr>
      <w:r>
        <w:rPr>
          <w:rFonts w:ascii="Times New Roman" w:eastAsia="Times New Roman"/>
        </w:rPr>
        <w:t>1</w:t>
      </w:r>
      <w:r>
        <w:rPr>
          <w:spacing w:val="-11"/>
        </w:rPr>
        <w:t>、召开基金份额持有人大会，召集人应于会议召开前 </w:t>
      </w:r>
      <w:r>
        <w:rPr>
          <w:rFonts w:ascii="Times New Roman" w:eastAsia="Times New Roman"/>
        </w:rPr>
        <w:t>40</w:t>
      </w:r>
      <w:r>
        <w:rPr>
          <w:rFonts w:ascii="Times New Roman" w:eastAsia="Times New Roman"/>
          <w:spacing w:val="15"/>
        </w:rPr>
        <w:t> </w:t>
      </w:r>
      <w:r>
        <w:rPr>
          <w:spacing w:val="-7"/>
        </w:rPr>
        <w:t>天，在至少一家中国证监会指</w:t>
      </w:r>
      <w:r>
        <w:rPr>
          <w:spacing w:val="-5"/>
        </w:rPr>
        <w:t>定媒介公告。基金份额持有人大会通知应至少载明以下内容：</w:t>
      </w:r>
    </w:p>
    <w:p>
      <w:pPr>
        <w:pStyle w:val="ListParagraph"/>
        <w:numPr>
          <w:ilvl w:val="0"/>
          <w:numId w:val="49"/>
        </w:numPr>
        <w:tabs>
          <w:tab w:pos="1790" w:val="left" w:leader="none"/>
        </w:tabs>
        <w:spacing w:line="240" w:lineRule="auto" w:before="1" w:after="0"/>
        <w:ind w:left="1789" w:right="0" w:hanging="530"/>
        <w:jc w:val="left"/>
        <w:rPr>
          <w:sz w:val="21"/>
        </w:rPr>
      </w:pPr>
      <w:r>
        <w:rPr>
          <w:spacing w:val="-3"/>
          <w:sz w:val="21"/>
        </w:rPr>
        <w:t>会议召开的时间、地点、方式；</w:t>
      </w:r>
    </w:p>
    <w:p>
      <w:pPr>
        <w:pStyle w:val="BodyText"/>
        <w:spacing w:before="6"/>
        <w:rPr>
          <w:sz w:val="15"/>
        </w:rPr>
      </w:pPr>
    </w:p>
    <w:p>
      <w:pPr>
        <w:pStyle w:val="ListParagraph"/>
        <w:numPr>
          <w:ilvl w:val="0"/>
          <w:numId w:val="49"/>
        </w:numPr>
        <w:tabs>
          <w:tab w:pos="1790" w:val="left" w:leader="none"/>
        </w:tabs>
        <w:spacing w:line="240" w:lineRule="auto" w:before="0" w:after="0"/>
        <w:ind w:left="1789" w:right="0" w:hanging="530"/>
        <w:jc w:val="left"/>
        <w:rPr>
          <w:sz w:val="21"/>
        </w:rPr>
      </w:pPr>
      <w:r>
        <w:rPr>
          <w:spacing w:val="-3"/>
          <w:sz w:val="21"/>
        </w:rPr>
        <w:t>会议拟审议的事项、议事程序；</w:t>
      </w:r>
    </w:p>
    <w:p>
      <w:pPr>
        <w:pStyle w:val="BodyText"/>
        <w:spacing w:before="7"/>
        <w:rPr>
          <w:sz w:val="15"/>
        </w:rPr>
      </w:pPr>
    </w:p>
    <w:p>
      <w:pPr>
        <w:pStyle w:val="ListParagraph"/>
        <w:numPr>
          <w:ilvl w:val="0"/>
          <w:numId w:val="49"/>
        </w:numPr>
        <w:tabs>
          <w:tab w:pos="1790" w:val="left" w:leader="none"/>
        </w:tabs>
        <w:spacing w:line="240" w:lineRule="auto" w:before="0" w:after="0"/>
        <w:ind w:left="178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49"/>
        </w:numPr>
        <w:tabs>
          <w:tab w:pos="1790" w:val="left" w:leader="none"/>
        </w:tabs>
        <w:spacing w:line="240" w:lineRule="auto" w:before="0" w:after="0"/>
        <w:ind w:left="1789" w:right="0" w:hanging="530"/>
        <w:jc w:val="left"/>
        <w:rPr>
          <w:sz w:val="21"/>
        </w:rPr>
      </w:pPr>
      <w:r>
        <w:rPr>
          <w:spacing w:val="-3"/>
          <w:sz w:val="21"/>
        </w:rPr>
        <w:t>代理投票授权委托书送达时间和地点；</w:t>
      </w:r>
    </w:p>
    <w:p>
      <w:pPr>
        <w:pStyle w:val="BodyText"/>
        <w:spacing w:before="6"/>
        <w:rPr>
          <w:sz w:val="15"/>
        </w:rPr>
      </w:pPr>
    </w:p>
    <w:p>
      <w:pPr>
        <w:pStyle w:val="ListParagraph"/>
        <w:numPr>
          <w:ilvl w:val="0"/>
          <w:numId w:val="49"/>
        </w:numPr>
        <w:tabs>
          <w:tab w:pos="1790" w:val="left" w:leader="none"/>
        </w:tabs>
        <w:spacing w:line="240" w:lineRule="auto" w:before="1" w:after="0"/>
        <w:ind w:left="1789" w:right="0" w:hanging="530"/>
        <w:jc w:val="left"/>
        <w:rPr>
          <w:sz w:val="21"/>
        </w:rPr>
      </w:pPr>
      <w:r>
        <w:rPr>
          <w:spacing w:val="-3"/>
          <w:sz w:val="21"/>
        </w:rPr>
        <w:t>会务常设联系人姓名及联系电话。</w:t>
      </w:r>
    </w:p>
    <w:p>
      <w:pPr>
        <w:pStyle w:val="BodyText"/>
        <w:spacing w:before="6"/>
        <w:rPr>
          <w:sz w:val="15"/>
        </w:rPr>
      </w:pPr>
    </w:p>
    <w:p>
      <w:pPr>
        <w:pStyle w:val="BodyText"/>
        <w:spacing w:line="417" w:lineRule="auto"/>
        <w:ind w:left="840" w:right="891" w:firstLine="419"/>
        <w:jc w:val="both"/>
      </w:pPr>
      <w:r>
        <w:rPr>
          <w:rFonts w:ascii="Times New Roman" w:eastAsia="Times New Roman"/>
        </w:rPr>
        <w:t>2</w:t>
      </w:r>
      <w:r>
        <w:rPr>
          <w:spacing w:val="-3"/>
        </w:rPr>
        <w:t>、采取通讯开会方式并进行表决的情况下，由会议召集人决定通讯方式和书面表决方</w:t>
      </w:r>
      <w:r>
        <w:rPr>
          <w:spacing w:val="-11"/>
        </w:rPr>
        <w:t>式，并在会议通知中说明本次基金份额持有人大会所采取的具体通讯方式、委托的公证机关</w:t>
      </w:r>
      <w:r>
        <w:rPr>
          <w:spacing w:val="-6"/>
        </w:rPr>
        <w:t>及其联系方式和联系人、书面表决意见的寄交的截止时间和收取方式。</w:t>
      </w:r>
    </w:p>
    <w:p>
      <w:pPr>
        <w:spacing w:after="0" w:line="417" w:lineRule="auto"/>
        <w:jc w:val="both"/>
        <w:sectPr>
          <w:pgSz w:w="11910" w:h="16840"/>
          <w:pgMar w:header="877" w:footer="995" w:top="1100" w:bottom="1180" w:left="960" w:right="900"/>
        </w:sectPr>
      </w:pPr>
    </w:p>
    <w:p>
      <w:pPr>
        <w:pStyle w:val="BodyText"/>
        <w:spacing w:before="4"/>
        <w:rPr>
          <w:sz w:val="27"/>
        </w:rPr>
      </w:pPr>
    </w:p>
    <w:p>
      <w:pPr>
        <w:pStyle w:val="BodyText"/>
        <w:spacing w:before="71"/>
        <w:ind w:left="840"/>
      </w:pPr>
      <w:r>
        <w:rPr/>
        <w:t>（四）基金份额持有人出席会议的方式</w:t>
      </w:r>
    </w:p>
    <w:p>
      <w:pPr>
        <w:pStyle w:val="BodyText"/>
        <w:spacing w:before="7"/>
        <w:rPr>
          <w:sz w:val="15"/>
        </w:rPr>
      </w:pPr>
    </w:p>
    <w:p>
      <w:pPr>
        <w:pStyle w:val="BodyText"/>
        <w:ind w:left="1260"/>
      </w:pPr>
      <w:r>
        <w:rPr/>
        <w:t>基金份额持有人大会可通过现场开会方式或通讯开会方式召开。</w:t>
      </w:r>
    </w:p>
    <w:p>
      <w:pPr>
        <w:pStyle w:val="BodyText"/>
        <w:spacing w:before="7"/>
        <w:rPr>
          <w:sz w:val="15"/>
        </w:rPr>
      </w:pPr>
    </w:p>
    <w:p>
      <w:pPr>
        <w:pStyle w:val="BodyText"/>
        <w:spacing w:line="417" w:lineRule="auto"/>
        <w:ind w:left="840" w:right="891" w:firstLine="419"/>
      </w:pPr>
      <w:r>
        <w:rPr>
          <w:spacing w:val="-9"/>
        </w:rPr>
        <w:t>会议的召开方式由会议召集人确定，但更换基金管理人和基金托管人必须以现场开会方</w:t>
      </w:r>
      <w:r>
        <w:rPr>
          <w:spacing w:val="-6"/>
        </w:rPr>
        <w:t>式召开。</w:t>
      </w:r>
    </w:p>
    <w:p>
      <w:pPr>
        <w:pStyle w:val="BodyText"/>
        <w:spacing w:line="417" w:lineRule="auto"/>
        <w:ind w:left="840" w:right="891" w:firstLine="419"/>
        <w:jc w:val="both"/>
      </w:pPr>
      <w:r>
        <w:rPr>
          <w:rFonts w:ascii="Times New Roman" w:eastAsia="Times New Roman"/>
        </w:rPr>
        <w:t>1</w:t>
      </w:r>
      <w:r>
        <w:rPr>
          <w:spacing w:val="-3"/>
        </w:rPr>
        <w:t>、现场开会。由基金份额持有人本人出席或以代理投票授权委托书委派代表出席，现</w:t>
      </w:r>
      <w:r>
        <w:rPr>
          <w:spacing w:val="-6"/>
        </w:rPr>
        <w:t>场开会时基金管理人和基金托管人的授权代表应当出席基金份额持有人大会。现场开会同时</w:t>
      </w:r>
      <w:r>
        <w:rPr>
          <w:spacing w:val="-4"/>
        </w:rPr>
        <w:t>符合以下条件时，可以进行基金份额持有人大会议程：</w:t>
      </w:r>
    </w:p>
    <w:p>
      <w:pPr>
        <w:pStyle w:val="ListParagraph"/>
        <w:numPr>
          <w:ilvl w:val="0"/>
          <w:numId w:val="50"/>
        </w:numPr>
        <w:tabs>
          <w:tab w:pos="1790" w:val="left" w:leader="none"/>
        </w:tabs>
        <w:spacing w:line="417" w:lineRule="auto" w:before="0" w:after="0"/>
        <w:ind w:left="840" w:right="894" w:firstLine="419"/>
        <w:jc w:val="left"/>
        <w:rPr>
          <w:sz w:val="21"/>
        </w:rPr>
      </w:pPr>
      <w:r>
        <w:rPr>
          <w:spacing w:val="-3"/>
          <w:sz w:val="21"/>
        </w:rPr>
        <w:t>亲自出席会议者持有基金份额的凭证、受托出席会议者出具的委托人持有基金份</w:t>
      </w:r>
      <w:r>
        <w:rPr>
          <w:spacing w:val="-8"/>
          <w:sz w:val="21"/>
        </w:rPr>
        <w:t>额的凭证及委托人的代理投票授权委托书符合法律法规、《基金合同》和会议通知的规定；</w:t>
      </w:r>
    </w:p>
    <w:p>
      <w:pPr>
        <w:pStyle w:val="ListParagraph"/>
        <w:numPr>
          <w:ilvl w:val="0"/>
          <w:numId w:val="50"/>
        </w:numPr>
        <w:tabs>
          <w:tab w:pos="1790" w:val="left" w:leader="none"/>
        </w:tabs>
        <w:spacing w:line="417" w:lineRule="auto" w:before="0" w:after="0"/>
        <w:ind w:left="840" w:right="894" w:firstLine="419"/>
        <w:jc w:val="left"/>
        <w:rPr>
          <w:sz w:val="21"/>
        </w:rPr>
      </w:pPr>
      <w:r>
        <w:rPr>
          <w:spacing w:val="-3"/>
          <w:sz w:val="21"/>
        </w:rPr>
        <w:t>经核对，汇总到会者出示的在权利登记日持有基金份额的凭证显示，有效的基金</w:t>
      </w:r>
      <w:r>
        <w:rPr>
          <w:spacing w:val="-3"/>
          <w:w w:val="100"/>
          <w:sz w:val="21"/>
        </w:rPr>
        <w:t>份额不少于本基金在权益登记日基金总份额的</w:t>
      </w:r>
      <w:r>
        <w:rPr>
          <w:spacing w:val="-53"/>
          <w:sz w:val="21"/>
        </w:rPr>
        <w:t> </w:t>
      </w:r>
      <w:r>
        <w:rPr>
          <w:rFonts w:ascii="Times New Roman" w:eastAsia="Times New Roman"/>
          <w:w w:val="100"/>
          <w:sz w:val="21"/>
        </w:rPr>
        <w:t>50</w:t>
      </w:r>
      <w:r>
        <w:rPr>
          <w:rFonts w:ascii="Times New Roman" w:eastAsia="Times New Roman"/>
          <w:spacing w:val="-3"/>
          <w:w w:val="100"/>
          <w:sz w:val="21"/>
        </w:rPr>
        <w:t>%</w:t>
      </w:r>
      <w:r>
        <w:rPr>
          <w:w w:val="100"/>
          <w:sz w:val="21"/>
        </w:rPr>
        <w:t>（含</w:t>
      </w:r>
      <w:r>
        <w:rPr>
          <w:spacing w:val="-53"/>
          <w:sz w:val="21"/>
        </w:rPr>
        <w:t> </w:t>
      </w:r>
      <w:r>
        <w:rPr>
          <w:rFonts w:ascii="Times New Roman" w:eastAsia="Times New Roman"/>
          <w:spacing w:val="-3"/>
          <w:w w:val="100"/>
          <w:sz w:val="21"/>
        </w:rPr>
        <w:t>5</w:t>
      </w:r>
      <w:r>
        <w:rPr>
          <w:rFonts w:ascii="Times New Roman" w:eastAsia="Times New Roman"/>
          <w:w w:val="100"/>
          <w:sz w:val="21"/>
        </w:rPr>
        <w:t>0</w:t>
      </w:r>
      <w:r>
        <w:rPr>
          <w:rFonts w:ascii="Times New Roman" w:eastAsia="Times New Roman"/>
          <w:spacing w:val="-1"/>
          <w:w w:val="100"/>
          <w:sz w:val="21"/>
        </w:rPr>
        <w:t>%</w:t>
      </w:r>
      <w:r>
        <w:rPr>
          <w:spacing w:val="-106"/>
          <w:w w:val="100"/>
          <w:sz w:val="21"/>
        </w:rPr>
        <w:t>）</w:t>
      </w:r>
      <w:r>
        <w:rPr>
          <w:w w:val="100"/>
          <w:sz w:val="21"/>
        </w:rPr>
        <w:t>。</w:t>
      </w:r>
    </w:p>
    <w:p>
      <w:pPr>
        <w:pStyle w:val="BodyText"/>
        <w:spacing w:line="417" w:lineRule="auto"/>
        <w:ind w:left="840" w:right="891" w:firstLine="419"/>
        <w:jc w:val="both"/>
      </w:pPr>
      <w:r>
        <w:rPr>
          <w:spacing w:val="-10"/>
        </w:rPr>
        <w:t>如上述条件未能满足，则召集人可另行确定并公告重新开会的时间和地点，但确定有权</w:t>
      </w:r>
      <w:r>
        <w:rPr>
          <w:spacing w:val="-9"/>
        </w:rPr>
        <w:t>出席会议的基金份额持有人资格的权益登记日不变。重新以现场开会方式再次召集基金份额</w:t>
      </w:r>
      <w:r>
        <w:rPr>
          <w:spacing w:val="-5"/>
        </w:rPr>
        <w:t>持有人大会的，仍应满足上述条件。</w:t>
      </w:r>
    </w:p>
    <w:p>
      <w:pPr>
        <w:pStyle w:val="BodyText"/>
        <w:spacing w:line="417" w:lineRule="auto"/>
        <w:ind w:left="840" w:right="894"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spacing w:line="269" w:lineRule="exact"/>
        <w:ind w:left="1260"/>
      </w:pPr>
      <w:r>
        <w:rPr/>
        <w:t>在同时符合以下条件时，通讯开会的方式视为有效：</w:t>
      </w:r>
    </w:p>
    <w:p>
      <w:pPr>
        <w:pStyle w:val="BodyText"/>
        <w:spacing w:before="5"/>
        <w:rPr>
          <w:sz w:val="15"/>
        </w:rPr>
      </w:pPr>
    </w:p>
    <w:p>
      <w:pPr>
        <w:pStyle w:val="ListParagraph"/>
        <w:numPr>
          <w:ilvl w:val="0"/>
          <w:numId w:val="51"/>
        </w:numPr>
        <w:tabs>
          <w:tab w:pos="1790" w:val="left" w:leader="none"/>
        </w:tabs>
        <w:spacing w:line="417" w:lineRule="auto" w:before="1" w:after="0"/>
        <w:ind w:left="840" w:right="893" w:firstLine="419"/>
        <w:jc w:val="left"/>
        <w:rPr>
          <w:sz w:val="21"/>
        </w:rPr>
      </w:pPr>
      <w:r>
        <w:rPr>
          <w:spacing w:val="-5"/>
          <w:sz w:val="21"/>
        </w:rPr>
        <w:t>会议召集人按《基金合同》规定公布会议通知后，在 </w:t>
      </w:r>
      <w:r>
        <w:rPr>
          <w:rFonts w:ascii="Times New Roman" w:eastAsia="Times New Roman"/>
          <w:sz w:val="21"/>
        </w:rPr>
        <w:t>2</w:t>
      </w:r>
      <w:r>
        <w:rPr>
          <w:rFonts w:ascii="Times New Roman" w:eastAsia="Times New Roman"/>
          <w:spacing w:val="19"/>
          <w:sz w:val="21"/>
        </w:rPr>
        <w:t> </w:t>
      </w:r>
      <w:r>
        <w:rPr>
          <w:spacing w:val="-3"/>
          <w:sz w:val="21"/>
        </w:rPr>
        <w:t>个工作日内连续公布相关提示性公告；</w:t>
      </w:r>
    </w:p>
    <w:p>
      <w:pPr>
        <w:pStyle w:val="ListParagraph"/>
        <w:numPr>
          <w:ilvl w:val="0"/>
          <w:numId w:val="51"/>
        </w:numPr>
        <w:tabs>
          <w:tab w:pos="1790" w:val="left" w:leader="none"/>
        </w:tabs>
        <w:spacing w:line="417" w:lineRule="auto" w:before="0" w:after="0"/>
        <w:ind w:left="840" w:right="893" w:firstLine="419"/>
        <w:jc w:val="left"/>
        <w:rPr>
          <w:sz w:val="21"/>
        </w:rPr>
      </w:pPr>
      <w:r>
        <w:rPr>
          <w:spacing w:val="-3"/>
          <w:sz w:val="21"/>
        </w:rPr>
        <w:t>会议召集人在基金托管人</w:t>
      </w:r>
      <w:r>
        <w:rPr>
          <w:sz w:val="21"/>
        </w:rPr>
        <w:t>（</w:t>
      </w:r>
      <w:r>
        <w:rPr>
          <w:spacing w:val="-3"/>
          <w:sz w:val="21"/>
        </w:rPr>
        <w:t>如果基金托管人为召集人，则为基金管理人</w:t>
      </w:r>
      <w:r>
        <w:rPr>
          <w:sz w:val="21"/>
        </w:rPr>
        <w:t>）</w:t>
      </w:r>
      <w:r>
        <w:rPr>
          <w:spacing w:val="-2"/>
          <w:sz w:val="21"/>
        </w:rPr>
        <w:t>和公证</w:t>
      </w:r>
      <w:r>
        <w:rPr>
          <w:spacing w:val="-3"/>
          <w:sz w:val="21"/>
        </w:rPr>
        <w:t>机关的监督下按照会议通知规定的方式收取基金份额持有人的书面表决意见；</w:t>
      </w:r>
    </w:p>
    <w:p>
      <w:pPr>
        <w:pStyle w:val="ListParagraph"/>
        <w:numPr>
          <w:ilvl w:val="0"/>
          <w:numId w:val="51"/>
        </w:numPr>
        <w:tabs>
          <w:tab w:pos="1790" w:val="left" w:leader="none"/>
        </w:tabs>
        <w:spacing w:line="417" w:lineRule="auto" w:before="0" w:after="0"/>
        <w:ind w:left="840" w:right="894" w:firstLine="419"/>
        <w:jc w:val="left"/>
        <w:rPr>
          <w:sz w:val="21"/>
        </w:rPr>
      </w:pPr>
      <w:r>
        <w:rPr>
          <w:spacing w:val="-3"/>
          <w:sz w:val="21"/>
        </w:rPr>
        <w:t>本人直接出具书面意见或授权他人代表出具书面意见的，基金份额持有人所持有</w:t>
      </w:r>
      <w:r>
        <w:rPr>
          <w:spacing w:val="-3"/>
          <w:w w:val="100"/>
          <w:sz w:val="21"/>
        </w:rPr>
        <w:t>的基金份额不小于在权益登记日基金总份额的</w:t>
      </w:r>
      <w:r>
        <w:rPr>
          <w:spacing w:val="-53"/>
          <w:sz w:val="21"/>
        </w:rPr>
        <w:t> </w:t>
      </w:r>
      <w:r>
        <w:rPr>
          <w:rFonts w:ascii="Times New Roman" w:eastAsia="Times New Roman"/>
          <w:w w:val="100"/>
          <w:sz w:val="21"/>
        </w:rPr>
        <w:t>50</w:t>
      </w:r>
      <w:r>
        <w:rPr>
          <w:rFonts w:ascii="Times New Roman" w:eastAsia="Times New Roman"/>
          <w:spacing w:val="-3"/>
          <w:w w:val="100"/>
          <w:sz w:val="21"/>
        </w:rPr>
        <w:t>%</w:t>
      </w:r>
      <w:r>
        <w:rPr>
          <w:w w:val="100"/>
          <w:sz w:val="21"/>
        </w:rPr>
        <w:t>（含</w:t>
      </w:r>
      <w:r>
        <w:rPr>
          <w:spacing w:val="-53"/>
          <w:sz w:val="21"/>
        </w:rPr>
        <w:t> </w:t>
      </w:r>
      <w:r>
        <w:rPr>
          <w:rFonts w:ascii="Times New Roman" w:eastAsia="Times New Roman"/>
          <w:spacing w:val="-3"/>
          <w:w w:val="100"/>
          <w:sz w:val="21"/>
        </w:rPr>
        <w:t>5</w:t>
      </w:r>
      <w:r>
        <w:rPr>
          <w:rFonts w:ascii="Times New Roman" w:eastAsia="Times New Roman"/>
          <w:w w:val="100"/>
          <w:sz w:val="21"/>
        </w:rPr>
        <w:t>0</w:t>
      </w:r>
      <w:r>
        <w:rPr>
          <w:rFonts w:ascii="Times New Roman" w:eastAsia="Times New Roman"/>
          <w:spacing w:val="-1"/>
          <w:w w:val="100"/>
          <w:sz w:val="21"/>
        </w:rPr>
        <w:t>%</w:t>
      </w:r>
      <w:r>
        <w:rPr>
          <w:spacing w:val="-106"/>
          <w:w w:val="100"/>
          <w:sz w:val="21"/>
        </w:rPr>
        <w:t>）</w:t>
      </w:r>
      <w:r>
        <w:rPr>
          <w:w w:val="100"/>
          <w:sz w:val="21"/>
        </w:rPr>
        <w:t>；</w:t>
      </w:r>
    </w:p>
    <w:p>
      <w:pPr>
        <w:pStyle w:val="BodyText"/>
        <w:spacing w:line="417" w:lineRule="auto"/>
        <w:ind w:left="840" w:right="891" w:firstLine="419"/>
      </w:pPr>
      <w:r>
        <w:rPr>
          <w:spacing w:val="-10"/>
        </w:rPr>
        <w:t>如上述条件未能满足，则召集人可另行确定并公告重新开会的时间和地点，但确定有权</w:t>
      </w:r>
      <w:r>
        <w:rPr>
          <w:spacing w:val="-5"/>
        </w:rPr>
        <w:t>出席会议的基金份额持有人资格的权益登记日不变。</w:t>
      </w:r>
    </w:p>
    <w:p>
      <w:pPr>
        <w:pStyle w:val="ListParagraph"/>
        <w:numPr>
          <w:ilvl w:val="0"/>
          <w:numId w:val="51"/>
        </w:numPr>
        <w:tabs>
          <w:tab w:pos="1790" w:val="left" w:leader="none"/>
        </w:tabs>
        <w:spacing w:line="417" w:lineRule="auto" w:before="0" w:after="0"/>
        <w:ind w:left="840" w:right="89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持有基金份额的凭证及委托人的代理投票授权委托书符合法律法规、《基金合同》和会议通</w:t>
      </w:r>
      <w:r>
        <w:rPr>
          <w:spacing w:val="-8"/>
          <w:sz w:val="21"/>
        </w:rPr>
        <w:t>知的规定；</w:t>
      </w:r>
    </w:p>
    <w:p>
      <w:pPr>
        <w:pStyle w:val="ListParagraph"/>
        <w:numPr>
          <w:ilvl w:val="0"/>
          <w:numId w:val="51"/>
        </w:numPr>
        <w:tabs>
          <w:tab w:pos="1790" w:val="left" w:leader="none"/>
        </w:tabs>
        <w:spacing w:line="269" w:lineRule="exact" w:before="0" w:after="0"/>
        <w:ind w:left="1789" w:right="0" w:hanging="530"/>
        <w:jc w:val="left"/>
        <w:rPr>
          <w:sz w:val="21"/>
        </w:rPr>
      </w:pPr>
      <w:r>
        <w:rPr>
          <w:spacing w:val="-3"/>
          <w:sz w:val="21"/>
        </w:rPr>
        <w:t>会议通知公布前报中国证监会备案。</w:t>
      </w:r>
    </w:p>
    <w:p>
      <w:pPr>
        <w:spacing w:after="0" w:line="269" w:lineRule="exact"/>
        <w:jc w:val="left"/>
        <w:rPr>
          <w:sz w:val="21"/>
        </w:rPr>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797" w:firstLine="419"/>
      </w:pPr>
      <w:r>
        <w:rPr>
          <w:spacing w:val="-9"/>
        </w:rPr>
        <w:t>采取通讯方式进行表决时，除非在计票时有充分的相反证据证明，否则提交符合会议通知中规定的确认投资者身份文件的表决视为有效出席的投资者；表面符合法律法规和会议通</w:t>
      </w:r>
      <w:r>
        <w:rPr>
          <w:spacing w:val="-5"/>
        </w:rPr>
        <w:t>知规定的书面表决意见即视为有效的表决，表决意见模糊不清或相互矛盾的视为弃权表决， </w:t>
      </w:r>
      <w:r>
        <w:rPr>
          <w:spacing w:val="-4"/>
        </w:rPr>
        <w:t>但应当计入出具书面意见的基金份额持有人所代表的基金份额总数。</w:t>
      </w:r>
    </w:p>
    <w:p>
      <w:pPr>
        <w:pStyle w:val="BodyText"/>
        <w:spacing w:line="268" w:lineRule="exact"/>
        <w:ind w:left="840"/>
      </w:pPr>
      <w:r>
        <w:rPr/>
        <w:t>（五）议事内容与程序</w:t>
      </w:r>
    </w:p>
    <w:p>
      <w:pPr>
        <w:pStyle w:val="BodyText"/>
        <w:spacing w:before="7"/>
        <w:rPr>
          <w:sz w:val="15"/>
        </w:rPr>
      </w:pPr>
    </w:p>
    <w:p>
      <w:pPr>
        <w:pStyle w:val="BodyText"/>
        <w:ind w:left="840"/>
      </w:pPr>
      <w:r>
        <w:rPr>
          <w:rFonts w:ascii="Times New Roman" w:eastAsia="Times New Roman"/>
        </w:rPr>
        <w:t>1</w:t>
      </w:r>
      <w:r>
        <w:rPr/>
        <w:t>、议事内容及提案权</w:t>
      </w:r>
    </w:p>
    <w:p>
      <w:pPr>
        <w:pStyle w:val="BodyText"/>
        <w:spacing w:before="7"/>
        <w:rPr>
          <w:sz w:val="15"/>
        </w:rPr>
      </w:pPr>
    </w:p>
    <w:p>
      <w:pPr>
        <w:pStyle w:val="BodyText"/>
        <w:spacing w:line="417" w:lineRule="auto"/>
        <w:ind w:left="840" w:right="89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止《基金合同》、更换基金管理人、更换基金托管人、与其他基金合并、法律法规及《基金</w:t>
      </w:r>
      <w:r>
        <w:rPr>
          <w:spacing w:val="-6"/>
        </w:rPr>
        <w:t>合同》规定的其他事项以及会议召集人认为需提交基金份额持有人大会讨论的其他事项。</w:t>
      </w:r>
    </w:p>
    <w:p>
      <w:pPr>
        <w:pStyle w:val="BodyText"/>
        <w:spacing w:line="417" w:lineRule="auto"/>
        <w:ind w:left="840" w:right="891" w:firstLine="419"/>
        <w:jc w:val="both"/>
      </w:pPr>
      <w:r>
        <w:rPr>
          <w:spacing w:val="-3"/>
        </w:rPr>
        <w:t>基金管理人、基金托管人、单独或合并持有权利登记日基金总份额 </w:t>
      </w:r>
      <w:r>
        <w:rPr>
          <w:rFonts w:ascii="Times New Roman" w:eastAsia="Times New Roman"/>
        </w:rPr>
        <w:t>10%</w:t>
      </w:r>
      <w:r>
        <w:rPr/>
        <w:t>（</w:t>
      </w:r>
      <w:r>
        <w:rPr>
          <w:spacing w:val="2"/>
        </w:rPr>
        <w:t>含 </w:t>
      </w:r>
      <w:r>
        <w:rPr>
          <w:rFonts w:ascii="Times New Roman" w:eastAsia="Times New Roman"/>
        </w:rPr>
        <w:t>10%</w:t>
      </w:r>
      <w:r>
        <w:rPr/>
        <w:t>）以上的基金份额持有人可以在大会召集人发出会议通知前向大会召集人提交需由基金份额持</w:t>
      </w:r>
      <w:r>
        <w:rPr>
          <w:spacing w:val="-9"/>
        </w:rPr>
        <w:t>有人大会审议表决的提案；也可以在会议通知发出后向大会召集人提交临时提案，临时提案</w:t>
      </w:r>
      <w:r>
        <w:rPr>
          <w:spacing w:val="-10"/>
        </w:rPr>
        <w:t>应当在大会召开日前 </w:t>
      </w:r>
      <w:r>
        <w:rPr>
          <w:rFonts w:ascii="Times New Roman" w:eastAsia="Times New Roman"/>
        </w:rPr>
        <w:t>35 </w:t>
      </w:r>
      <w:r>
        <w:rPr>
          <w:spacing w:val="-3"/>
        </w:rPr>
        <w:t>天提交召集人。</w:t>
      </w:r>
    </w:p>
    <w:p>
      <w:pPr>
        <w:pStyle w:val="BodyText"/>
        <w:spacing w:line="417" w:lineRule="auto"/>
        <w:ind w:left="840" w:right="891" w:firstLine="419"/>
        <w:jc w:val="both"/>
      </w:pPr>
      <w:r>
        <w:rPr>
          <w:spacing w:val="-7"/>
        </w:rPr>
        <w:t>基金份额持有人大会的召集人发出召集会议的通知后，对原有提案的修改应当在基金份</w:t>
      </w:r>
      <w:r>
        <w:rPr>
          <w:spacing w:val="-9"/>
        </w:rPr>
        <w:t>额持有人大会召开日 </w:t>
      </w:r>
      <w:r>
        <w:rPr>
          <w:rFonts w:ascii="Times New Roman" w:eastAsia="Times New Roman"/>
        </w:rPr>
        <w:t>30 </w:t>
      </w:r>
      <w:r>
        <w:rPr>
          <w:spacing w:val="-14"/>
        </w:rPr>
        <w:t>天前公告。否则，会议的召开日期应当顺延并保证至少有 </w:t>
      </w:r>
      <w:r>
        <w:rPr>
          <w:rFonts w:ascii="Times New Roman" w:eastAsia="Times New Roman"/>
        </w:rPr>
        <w:t>30 </w:t>
      </w:r>
      <w:r>
        <w:rPr>
          <w:spacing w:val="-2"/>
        </w:rPr>
        <w:t>天的间隔期。</w:t>
      </w:r>
    </w:p>
    <w:p>
      <w:pPr>
        <w:pStyle w:val="BodyText"/>
        <w:ind w:left="1260"/>
      </w:pPr>
      <w:r>
        <w:rPr/>
        <w:t>基金份额持有人大会不得对未事先公告的议事内容进行表决。</w:t>
      </w:r>
    </w:p>
    <w:p>
      <w:pPr>
        <w:pStyle w:val="BodyText"/>
        <w:spacing w:before="6"/>
        <w:rPr>
          <w:sz w:val="15"/>
        </w:rPr>
      </w:pPr>
    </w:p>
    <w:p>
      <w:pPr>
        <w:pStyle w:val="BodyText"/>
        <w:spacing w:line="417" w:lineRule="auto"/>
        <w:ind w:left="840" w:right="891" w:firstLine="419"/>
        <w:jc w:val="both"/>
      </w:pPr>
      <w:r>
        <w:rPr>
          <w:spacing w:val="-10"/>
        </w:rPr>
        <w:t>召集人对于基金管理人、基金托管人和基金份额持有人提交的临时提案进行审核，符合</w:t>
      </w:r>
      <w:r>
        <w:rPr>
          <w:spacing w:val="-9"/>
        </w:rPr>
        <w:t>条件的应当在大会召开日 </w:t>
      </w:r>
      <w:r>
        <w:rPr>
          <w:rFonts w:ascii="Times New Roman" w:eastAsia="Times New Roman"/>
        </w:rPr>
        <w:t>30 </w:t>
      </w:r>
      <w:r>
        <w:rPr>
          <w:spacing w:val="-3"/>
        </w:rPr>
        <w:t>天前公告。大会召集人应当按照以下原则对提案进行审核：</w:t>
      </w:r>
    </w:p>
    <w:p>
      <w:pPr>
        <w:pStyle w:val="ListParagraph"/>
        <w:numPr>
          <w:ilvl w:val="0"/>
          <w:numId w:val="52"/>
        </w:numPr>
        <w:tabs>
          <w:tab w:pos="1790" w:val="left" w:leader="none"/>
        </w:tabs>
        <w:spacing w:line="417" w:lineRule="auto" w:before="0" w:after="0"/>
        <w:ind w:left="840" w:right="891" w:firstLine="419"/>
        <w:jc w:val="both"/>
        <w:rPr>
          <w:sz w:val="21"/>
        </w:rPr>
      </w:pPr>
      <w:r>
        <w:rPr>
          <w:spacing w:val="-3"/>
          <w:sz w:val="21"/>
        </w:rPr>
        <w:t>关联性。大会召集人对于提案涉及事项与基金有直接关系，并且不超出法律法规</w:t>
      </w:r>
      <w:r>
        <w:rPr>
          <w:spacing w:val="-10"/>
          <w:sz w:val="21"/>
        </w:rPr>
        <w:t>和《基金合同》规定的基金份额持有人大会职权范围的，应提交大会审议；对于不符合上述</w:t>
      </w:r>
      <w:r>
        <w:rPr>
          <w:spacing w:val="-12"/>
          <w:sz w:val="21"/>
        </w:rPr>
        <w:t>要求的，不提交基金份额持有人大会审议。如果召集人决定不将基金份额持有人提案提交大</w:t>
      </w:r>
      <w:r>
        <w:rPr>
          <w:spacing w:val="-6"/>
          <w:sz w:val="21"/>
        </w:rPr>
        <w:t>会表决，应当在该次基金份额持有人大会上进行解释和说明。</w:t>
      </w:r>
    </w:p>
    <w:p>
      <w:pPr>
        <w:pStyle w:val="ListParagraph"/>
        <w:numPr>
          <w:ilvl w:val="0"/>
          <w:numId w:val="52"/>
        </w:numPr>
        <w:tabs>
          <w:tab w:pos="1790" w:val="left" w:leader="none"/>
        </w:tabs>
        <w:spacing w:line="417" w:lineRule="auto" w:before="0" w:after="0"/>
        <w:ind w:left="840" w:right="891" w:firstLine="419"/>
        <w:jc w:val="both"/>
        <w:rPr>
          <w:sz w:val="21"/>
        </w:rPr>
      </w:pPr>
      <w:r>
        <w:rPr>
          <w:spacing w:val="-3"/>
          <w:sz w:val="21"/>
        </w:rPr>
        <w:t>程序性。大会召集人可以对提案涉及的程序性问题做出决定。如将提案进行分拆</w:t>
      </w:r>
      <w:r>
        <w:rPr>
          <w:spacing w:val="-10"/>
          <w:sz w:val="21"/>
        </w:rPr>
        <w:t>或合并表决，需征得原提案人同意；原提案人不同意变更的，大会主持人可以就程序性问题</w:t>
      </w:r>
      <w:r>
        <w:rPr>
          <w:spacing w:val="-5"/>
          <w:sz w:val="21"/>
        </w:rPr>
        <w:t>提请基金份额持有人大会做出决定，并按照基金份额持有人大会决定的程序进行审议。</w:t>
      </w:r>
    </w:p>
    <w:p>
      <w:pPr>
        <w:pStyle w:val="BodyText"/>
        <w:spacing w:line="417" w:lineRule="auto"/>
        <w:ind w:left="840" w:right="891" w:firstLine="419"/>
        <w:jc w:val="both"/>
      </w:pPr>
      <w:r>
        <w:rPr>
          <w:spacing w:val="-3"/>
        </w:rPr>
        <w:t>单独或合并持有权利登记日基金总份额 </w:t>
      </w:r>
      <w:r>
        <w:rPr>
          <w:rFonts w:ascii="Times New Roman" w:eastAsia="Times New Roman"/>
        </w:rPr>
        <w:t>10%</w:t>
      </w:r>
      <w:r>
        <w:rPr/>
        <w:t>（</w:t>
      </w:r>
      <w:r>
        <w:rPr>
          <w:spacing w:val="2"/>
        </w:rPr>
        <w:t>含 </w:t>
      </w:r>
      <w:r>
        <w:rPr>
          <w:rFonts w:ascii="Times New Roman" w:eastAsia="Times New Roman"/>
        </w:rPr>
        <w:t>10%</w:t>
      </w:r>
      <w:r>
        <w:rPr/>
        <w:t>）</w:t>
      </w:r>
      <w:r>
        <w:rPr>
          <w:spacing w:val="-3"/>
        </w:rPr>
        <w:t>以上的基金份额持有人提交基</w:t>
      </w:r>
      <w:r>
        <w:rPr>
          <w:spacing w:val="-9"/>
        </w:rPr>
        <w:t>金份额持有人大会审议表决的提案，或基金管理人或基金托管人提交基金份额持有人大会审</w:t>
      </w:r>
      <w:r>
        <w:rPr>
          <w:spacing w:val="-12"/>
        </w:rPr>
        <w:t>议表决的提案，未获基金份额持有人大会审议通过，就同一提案再次提请基金份额持有人大</w:t>
      </w:r>
      <w:r>
        <w:rPr>
          <w:spacing w:val="-10"/>
        </w:rPr>
        <w:t>会审议，其时间间隔不少于 </w:t>
      </w:r>
      <w:r>
        <w:rPr>
          <w:rFonts w:ascii="Times New Roman" w:eastAsia="Times New Roman"/>
        </w:rPr>
        <w:t>6 </w:t>
      </w:r>
      <w:r>
        <w:rPr>
          <w:spacing w:val="-2"/>
        </w:rPr>
        <w:t>个月。</w:t>
      </w:r>
    </w:p>
    <w:p>
      <w:pPr>
        <w:spacing w:after="0" w:line="417" w:lineRule="auto"/>
        <w:jc w:val="both"/>
        <w:sectPr>
          <w:pgSz w:w="11910" w:h="16840"/>
          <w:pgMar w:header="877" w:footer="995" w:top="1100" w:bottom="1180" w:left="960" w:right="900"/>
        </w:sectPr>
      </w:pPr>
    </w:p>
    <w:p>
      <w:pPr>
        <w:pStyle w:val="BodyText"/>
        <w:spacing w:before="10"/>
        <w:rPr>
          <w:sz w:val="26"/>
        </w:rPr>
      </w:pPr>
    </w:p>
    <w:p>
      <w:pPr>
        <w:pStyle w:val="BodyText"/>
        <w:spacing w:before="78"/>
        <w:ind w:left="840"/>
      </w:pPr>
      <w:r>
        <w:rPr>
          <w:rFonts w:ascii="Times New Roman" w:eastAsia="Times New Roman"/>
        </w:rPr>
        <w:t>2</w:t>
      </w:r>
      <w:r>
        <w:rPr/>
        <w:t>、议事程序</w:t>
      </w:r>
    </w:p>
    <w:p>
      <w:pPr>
        <w:pStyle w:val="BodyText"/>
        <w:spacing w:before="7"/>
        <w:rPr>
          <w:sz w:val="15"/>
        </w:rPr>
      </w:pPr>
    </w:p>
    <w:p>
      <w:pPr>
        <w:pStyle w:val="ListParagraph"/>
        <w:numPr>
          <w:ilvl w:val="0"/>
          <w:numId w:val="53"/>
        </w:numPr>
        <w:tabs>
          <w:tab w:pos="1370" w:val="left" w:leader="none"/>
        </w:tabs>
        <w:spacing w:line="240" w:lineRule="auto" w:before="0" w:after="0"/>
        <w:ind w:left="1369" w:right="0" w:hanging="530"/>
        <w:jc w:val="left"/>
        <w:rPr>
          <w:sz w:val="21"/>
        </w:rPr>
      </w:pPr>
      <w:r>
        <w:rPr>
          <w:spacing w:val="-2"/>
          <w:sz w:val="21"/>
        </w:rPr>
        <w:t>现场开会</w:t>
      </w:r>
    </w:p>
    <w:p>
      <w:pPr>
        <w:pStyle w:val="BodyText"/>
        <w:spacing w:before="6"/>
        <w:rPr>
          <w:sz w:val="15"/>
        </w:rPr>
      </w:pPr>
    </w:p>
    <w:p>
      <w:pPr>
        <w:pStyle w:val="BodyText"/>
        <w:spacing w:line="417" w:lineRule="auto" w:before="1"/>
        <w:ind w:left="840" w:right="797"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则由出席大会的基金份额持有人或其代理人以所代表的基金份额 </w:t>
      </w:r>
      <w:r>
        <w:rPr>
          <w:rFonts w:ascii="Times New Roman" w:eastAsia="Times New Roman"/>
        </w:rPr>
        <w:t>50%</w:t>
      </w:r>
      <w:r>
        <w:rPr>
          <w:spacing w:val="-2"/>
        </w:rPr>
        <w:t>以上</w:t>
      </w:r>
      <w:r>
        <w:rPr>
          <w:rFonts w:ascii="Times New Roman" w:eastAsia="Times New Roman"/>
        </w:rPr>
        <w:t>(</w:t>
      </w:r>
      <w:r>
        <w:rPr>
          <w:spacing w:val="-22"/>
        </w:rPr>
        <w:t>含 </w:t>
      </w:r>
      <w:r>
        <w:rPr>
          <w:rFonts w:ascii="Times New Roman" w:eastAsia="Times New Roman"/>
          <w:spacing w:val="-13"/>
        </w:rPr>
        <w:t>50%)</w:t>
      </w:r>
      <w:r>
        <w:rPr>
          <w:spacing w:val="-5"/>
        </w:rPr>
        <w:t>，选举产</w:t>
      </w:r>
      <w:r>
        <w:rPr>
          <w:spacing w:val="-4"/>
        </w:rPr>
        <w:t>生一名代表作为该次基金份额持有人大会的主持人。</w:t>
      </w:r>
    </w:p>
    <w:p>
      <w:pPr>
        <w:pStyle w:val="ListParagraph"/>
        <w:numPr>
          <w:ilvl w:val="0"/>
          <w:numId w:val="53"/>
        </w:numPr>
        <w:tabs>
          <w:tab w:pos="1370" w:val="left" w:leader="none"/>
        </w:tabs>
        <w:spacing w:line="269" w:lineRule="exact" w:before="0" w:after="0"/>
        <w:ind w:left="1369" w:right="0" w:hanging="530"/>
        <w:jc w:val="left"/>
        <w:rPr>
          <w:sz w:val="21"/>
        </w:rPr>
      </w:pPr>
      <w:r>
        <w:rPr>
          <w:spacing w:val="-2"/>
          <w:sz w:val="21"/>
        </w:rPr>
        <w:t>通讯开会</w:t>
      </w:r>
    </w:p>
    <w:p>
      <w:pPr>
        <w:pStyle w:val="BodyText"/>
        <w:spacing w:before="6"/>
        <w:rPr>
          <w:sz w:val="15"/>
        </w:rPr>
      </w:pPr>
    </w:p>
    <w:p>
      <w:pPr>
        <w:pStyle w:val="BodyText"/>
        <w:ind w:left="1260"/>
      </w:pPr>
      <w:r>
        <w:rPr/>
        <w:t>在通讯开会的情况下，公告会议通知时应当同时公布提案，在所通知的表决截止日期后</w:t>
      </w:r>
    </w:p>
    <w:p>
      <w:pPr>
        <w:pStyle w:val="BodyText"/>
        <w:spacing w:before="7"/>
        <w:rPr>
          <w:sz w:val="15"/>
        </w:rPr>
      </w:pPr>
    </w:p>
    <w:p>
      <w:pPr>
        <w:pStyle w:val="BodyText"/>
        <w:ind w:left="840"/>
      </w:pPr>
      <w:r>
        <w:rPr>
          <w:rFonts w:ascii="Times New Roman" w:eastAsia="Times New Roman"/>
        </w:rPr>
        <w:t>2 </w:t>
      </w:r>
      <w:r>
        <w:rPr/>
        <w:t>个工作日内统计全部有效表决，在公证机关监督下形成决议。</w:t>
      </w:r>
    </w:p>
    <w:p>
      <w:pPr>
        <w:pStyle w:val="BodyText"/>
        <w:spacing w:before="7"/>
        <w:rPr>
          <w:sz w:val="15"/>
        </w:rPr>
      </w:pPr>
    </w:p>
    <w:p>
      <w:pPr>
        <w:pStyle w:val="BodyText"/>
        <w:ind w:left="840"/>
      </w:pPr>
      <w:r>
        <w:rPr/>
        <w:t>（六）表决</w:t>
      </w:r>
    </w:p>
    <w:p>
      <w:pPr>
        <w:pStyle w:val="BodyText"/>
        <w:spacing w:before="6"/>
        <w:rPr>
          <w:sz w:val="15"/>
        </w:rPr>
      </w:pPr>
    </w:p>
    <w:p>
      <w:pPr>
        <w:pStyle w:val="BodyText"/>
        <w:spacing w:line="417" w:lineRule="auto" w:before="1"/>
        <w:ind w:left="1260" w:right="394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840" w:right="890"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5"/>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spacing w:line="417" w:lineRule="auto"/>
        <w:ind w:left="840" w:right="891" w:firstLine="419"/>
        <w:jc w:val="both"/>
      </w:pPr>
      <w:r>
        <w:rPr>
          <w:rFonts w:ascii="Times New Roman" w:eastAsia="Times New Roman"/>
        </w:rPr>
        <w:t>2</w:t>
      </w:r>
      <w:r>
        <w:rPr>
          <w:spacing w:val="-3"/>
        </w:rPr>
        <w:t>、特别决议，特别决议应当经参加大会的基金份额持有人或其代理人所持表决权的三</w:t>
      </w:r>
      <w:r>
        <w:rPr>
          <w:spacing w:val="-8"/>
        </w:rPr>
        <w:t>分之二以上</w:t>
      </w:r>
      <w:r>
        <w:rPr/>
        <w:t>（</w:t>
      </w:r>
      <w:r>
        <w:rPr>
          <w:spacing w:val="-3"/>
        </w:rPr>
        <w:t>含三分之二</w:t>
      </w:r>
      <w:r>
        <w:rPr>
          <w:spacing w:val="-24"/>
        </w:rPr>
        <w:t>）</w:t>
      </w:r>
      <w:r>
        <w:rPr>
          <w:spacing w:val="-9"/>
        </w:rPr>
        <w:t>通过方可做出。转换基金运作方式、更换基金管理人或者基金托</w:t>
      </w:r>
      <w:r>
        <w:rPr>
          <w:spacing w:val="-5"/>
        </w:rPr>
        <w:t>管人、终止《基金合同》以特别决议通过方为有效。</w:t>
      </w:r>
    </w:p>
    <w:p>
      <w:pPr>
        <w:pStyle w:val="BodyText"/>
        <w:spacing w:line="269" w:lineRule="exact"/>
        <w:ind w:left="1260"/>
      </w:pPr>
      <w:r>
        <w:rPr/>
        <w:t>基金份额持有人大会采取记名方式进行投票表决。</w:t>
      </w:r>
    </w:p>
    <w:p>
      <w:pPr>
        <w:pStyle w:val="BodyText"/>
        <w:spacing w:before="6"/>
        <w:rPr>
          <w:sz w:val="15"/>
        </w:rPr>
      </w:pPr>
    </w:p>
    <w:p>
      <w:pPr>
        <w:pStyle w:val="BodyText"/>
        <w:spacing w:line="417" w:lineRule="auto" w:before="1"/>
        <w:ind w:left="840" w:right="891" w:firstLine="419"/>
        <w:jc w:val="both"/>
      </w:pPr>
      <w:r>
        <w:rPr>
          <w:spacing w:val="-11"/>
        </w:rPr>
        <w:t>采取通讯方式进行表决时，提交符合会议通知中规定的确认投资者身份文件的表决视为</w:t>
      </w:r>
      <w:r>
        <w:rPr>
          <w:spacing w:val="-12"/>
        </w:rPr>
        <w:t>有效出席的投资者，符合会议通知规定的书面表决意见视为有效表决，表决意见模糊不清或</w:t>
      </w:r>
      <w:r>
        <w:rPr>
          <w:spacing w:val="-13"/>
        </w:rPr>
        <w:t>相互矛盾的视为弃权表决，但应当计入出具书面意见的基金份额持有人所代表的基金份额总数。</w:t>
      </w:r>
    </w:p>
    <w:p>
      <w:pPr>
        <w:pStyle w:val="BodyText"/>
        <w:spacing w:line="417" w:lineRule="auto"/>
        <w:ind w:left="840" w:right="891" w:firstLine="419"/>
      </w:pPr>
      <w:r>
        <w:rPr>
          <w:spacing w:val="-6"/>
        </w:rPr>
        <w:t>基金份额持有人大会的各项提案或同一项提案内并列的各项议题应当分开审议、逐项表决。</w:t>
      </w:r>
    </w:p>
    <w:p>
      <w:pPr>
        <w:pStyle w:val="BodyText"/>
        <w:spacing w:line="269" w:lineRule="exact"/>
        <w:ind w:left="840"/>
      </w:pPr>
      <w:r>
        <w:rPr/>
        <w:t>（七）计票</w:t>
      </w:r>
    </w:p>
    <w:p>
      <w:pPr>
        <w:pStyle w:val="BodyText"/>
        <w:spacing w:before="6"/>
        <w:rPr>
          <w:sz w:val="15"/>
        </w:rPr>
      </w:pPr>
    </w:p>
    <w:p>
      <w:pPr>
        <w:pStyle w:val="BodyText"/>
        <w:ind w:left="840"/>
      </w:pPr>
      <w:r>
        <w:rPr>
          <w:rFonts w:ascii="Times New Roman" w:eastAsia="Times New Roman"/>
        </w:rPr>
        <w:t>1</w:t>
      </w:r>
      <w:r>
        <w:rPr/>
        <w:t>、现场开会</w:t>
      </w:r>
    </w:p>
    <w:p>
      <w:pPr>
        <w:pStyle w:val="BodyText"/>
        <w:spacing w:before="7"/>
        <w:rPr>
          <w:sz w:val="15"/>
        </w:rPr>
      </w:pPr>
    </w:p>
    <w:p>
      <w:pPr>
        <w:pStyle w:val="ListParagraph"/>
        <w:numPr>
          <w:ilvl w:val="0"/>
          <w:numId w:val="54"/>
        </w:numPr>
        <w:tabs>
          <w:tab w:pos="1790" w:val="left" w:leader="none"/>
        </w:tabs>
        <w:spacing w:line="240" w:lineRule="auto" w:before="0" w:after="0"/>
        <w:ind w:left="1789" w:right="0" w:hanging="530"/>
        <w:jc w:val="left"/>
        <w:rPr>
          <w:sz w:val="21"/>
        </w:rPr>
      </w:pPr>
      <w:r>
        <w:rPr>
          <w:spacing w:val="-3"/>
          <w:sz w:val="21"/>
        </w:rPr>
        <w:t>如大会由基金管理人或基金托管人召集，基金份额持有人大会的主持人应当在会</w:t>
      </w:r>
    </w:p>
    <w:p>
      <w:pPr>
        <w:spacing w:after="0" w:line="240" w:lineRule="auto"/>
        <w:jc w:val="left"/>
        <w:rPr>
          <w:sz w:val="21"/>
        </w:rPr>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jc w:val="both"/>
      </w:pPr>
      <w:r>
        <w:rPr/>
        <w:t>议开始后宣布在出席会议的基金份额持有人中选举两名基金份额持有人代表与大会召集人</w:t>
      </w:r>
      <w:r>
        <w:rPr>
          <w:spacing w:val="-8"/>
        </w:rPr>
        <w:t>授权的一名监督员共同担任监票人；如大会由基金份额持有人自行召集，基金份额持有人大会的主持人应当在会议开始后宣布在出席会议的基金份额持有人中选举三名基金份额持有</w:t>
      </w:r>
      <w:r>
        <w:rPr>
          <w:spacing w:val="-5"/>
        </w:rPr>
        <w:t>人代表担任监票人。</w:t>
      </w:r>
    </w:p>
    <w:p>
      <w:pPr>
        <w:pStyle w:val="ListParagraph"/>
        <w:numPr>
          <w:ilvl w:val="0"/>
          <w:numId w:val="54"/>
        </w:numPr>
        <w:tabs>
          <w:tab w:pos="1790" w:val="left" w:leader="none"/>
        </w:tabs>
        <w:spacing w:line="417" w:lineRule="auto" w:before="0" w:after="0"/>
        <w:ind w:left="840" w:right="89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54"/>
        </w:numPr>
        <w:tabs>
          <w:tab w:pos="1790" w:val="left" w:leader="none"/>
        </w:tabs>
        <w:spacing w:line="417" w:lineRule="auto" w:before="0" w:after="0"/>
        <w:ind w:left="840" w:right="785" w:firstLine="419"/>
        <w:jc w:val="left"/>
        <w:rPr>
          <w:sz w:val="21"/>
        </w:rPr>
      </w:pPr>
      <w:r>
        <w:rPr>
          <w:spacing w:val="-3"/>
          <w:sz w:val="21"/>
        </w:rPr>
        <w:t>如果会议主持人或基金份额持有人对于提交的表决结果有怀疑，可以在宣布表决</w:t>
      </w:r>
      <w:r>
        <w:rPr>
          <w:spacing w:val="-12"/>
          <w:sz w:val="21"/>
        </w:rPr>
        <w:t>结果后立即对所投票数要求进行重新清点。监票人应当进行重新清点，重新清点以一次为限。</w:t>
      </w:r>
      <w:r>
        <w:rPr>
          <w:spacing w:val="-6"/>
          <w:sz w:val="21"/>
        </w:rPr>
        <w:t>重新清点后，大会主持人应当当场公布重新清点结果。</w:t>
      </w:r>
    </w:p>
    <w:p>
      <w:pPr>
        <w:pStyle w:val="ListParagraph"/>
        <w:numPr>
          <w:ilvl w:val="0"/>
          <w:numId w:val="54"/>
        </w:numPr>
        <w:tabs>
          <w:tab w:pos="1790" w:val="left" w:leader="none"/>
        </w:tabs>
        <w:spacing w:line="240" w:lineRule="auto" w:before="0" w:after="0"/>
        <w:ind w:left="1789" w:right="0" w:hanging="530"/>
        <w:jc w:val="left"/>
        <w:rPr>
          <w:sz w:val="21"/>
        </w:rPr>
      </w:pPr>
      <w:r>
        <w:rPr>
          <w:spacing w:val="-3"/>
          <w:sz w:val="21"/>
        </w:rPr>
        <w:t>计票过程应由公证机关予以公证。</w:t>
      </w:r>
    </w:p>
    <w:p>
      <w:pPr>
        <w:pStyle w:val="BodyText"/>
        <w:spacing w:before="6"/>
        <w:rPr>
          <w:sz w:val="15"/>
        </w:rPr>
      </w:pPr>
    </w:p>
    <w:p>
      <w:pPr>
        <w:pStyle w:val="BodyText"/>
        <w:ind w:left="840"/>
      </w:pPr>
      <w:r>
        <w:rPr>
          <w:rFonts w:ascii="Times New Roman" w:eastAsia="Times New Roman"/>
        </w:rPr>
        <w:t>2</w:t>
      </w:r>
      <w:r>
        <w:rPr/>
        <w:t>、通讯开会</w:t>
      </w:r>
    </w:p>
    <w:p>
      <w:pPr>
        <w:pStyle w:val="BodyText"/>
        <w:spacing w:before="7"/>
        <w:rPr>
          <w:sz w:val="15"/>
        </w:rPr>
      </w:pPr>
    </w:p>
    <w:p>
      <w:pPr>
        <w:pStyle w:val="BodyText"/>
        <w:spacing w:line="417" w:lineRule="auto"/>
        <w:ind w:left="840" w:right="89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4"/>
        </w:rPr>
        <w:t>对其计票过程予以公证。</w:t>
      </w:r>
    </w:p>
    <w:p>
      <w:pPr>
        <w:pStyle w:val="BodyText"/>
        <w:ind w:left="840"/>
      </w:pPr>
      <w:r>
        <w:rPr/>
        <w:t>（八）生效与公告</w:t>
      </w:r>
    </w:p>
    <w:p>
      <w:pPr>
        <w:pStyle w:val="BodyText"/>
        <w:spacing w:before="6"/>
        <w:rPr>
          <w:sz w:val="15"/>
        </w:rPr>
      </w:pPr>
    </w:p>
    <w:p>
      <w:pPr>
        <w:pStyle w:val="BodyText"/>
        <w:spacing w:line="417" w:lineRule="auto" w:before="1"/>
        <w:ind w:left="840" w:right="891" w:firstLine="419"/>
      </w:pPr>
      <w:r>
        <w:rPr>
          <w:spacing w:val="-10"/>
        </w:rPr>
        <w:t>基金份额持有人大会表决通过的事项，召集人应当自通过之日起 </w:t>
      </w:r>
      <w:r>
        <w:rPr>
          <w:rFonts w:ascii="Times New Roman" w:eastAsia="Times New Roman"/>
        </w:rPr>
        <w:t>5 </w:t>
      </w:r>
      <w:r>
        <w:rPr>
          <w:spacing w:val="-3"/>
        </w:rPr>
        <w:t>日内报中国证监会核准或者备案。</w:t>
      </w:r>
    </w:p>
    <w:p>
      <w:pPr>
        <w:pStyle w:val="BodyText"/>
        <w:spacing w:line="417" w:lineRule="auto"/>
        <w:ind w:left="840" w:right="894" w:firstLine="419"/>
      </w:pPr>
      <w:r>
        <w:rPr/>
        <w:t>基金份额持有人大会决定的事项自中国证监会依法核准或者出具无异议意见之日起生效。</w:t>
      </w:r>
    </w:p>
    <w:p>
      <w:pPr>
        <w:pStyle w:val="BodyText"/>
        <w:spacing w:line="269" w:lineRule="exact"/>
        <w:ind w:left="1260"/>
      </w:pPr>
      <w:r>
        <w:rPr/>
        <w:t>基金份额持有人大会决议自生效之日起 </w:t>
      </w:r>
      <w:r>
        <w:rPr>
          <w:rFonts w:ascii="Times New Roman" w:eastAsia="Times New Roman"/>
        </w:rPr>
        <w:t>2 </w:t>
      </w:r>
      <w:r>
        <w:rPr/>
        <w:t>日内在指定媒介上公告。</w:t>
      </w:r>
    </w:p>
    <w:p>
      <w:pPr>
        <w:pStyle w:val="BodyText"/>
        <w:spacing w:before="6"/>
        <w:rPr>
          <w:sz w:val="15"/>
        </w:rPr>
      </w:pPr>
    </w:p>
    <w:p>
      <w:pPr>
        <w:pStyle w:val="BodyText"/>
        <w:spacing w:line="417" w:lineRule="auto"/>
        <w:ind w:left="840" w:right="894" w:firstLine="419"/>
      </w:pPr>
      <w:r>
        <w:rPr/>
        <w:t>基金管理人、基金托管人和基金份额持有人应当执行生效的基金份额持有人大会的决定。</w:t>
      </w:r>
    </w:p>
    <w:p>
      <w:pPr>
        <w:pStyle w:val="BodyText"/>
        <w:ind w:left="1260"/>
      </w:pPr>
      <w:r>
        <w:rPr/>
        <w:t>基金份额持有人大会决议对全体基金份额持有人、基金管理人、基金托管人均有约束力。</w:t>
      </w:r>
    </w:p>
    <w:p>
      <w:pPr>
        <w:pStyle w:val="BodyText"/>
        <w:rPr>
          <w:sz w:val="20"/>
        </w:rPr>
      </w:pPr>
    </w:p>
    <w:p>
      <w:pPr>
        <w:pStyle w:val="BodyText"/>
        <w:rPr>
          <w:sz w:val="20"/>
        </w:rPr>
      </w:pPr>
    </w:p>
    <w:p>
      <w:pPr>
        <w:pStyle w:val="Heading4"/>
        <w:spacing w:before="155"/>
      </w:pPr>
      <w:r>
        <w:rPr/>
        <w:t>三、基金收益分配原则、执行方式</w:t>
      </w:r>
    </w:p>
    <w:p>
      <w:pPr>
        <w:pStyle w:val="BodyText"/>
        <w:spacing w:before="6"/>
        <w:rPr>
          <w:b/>
          <w:sz w:val="15"/>
        </w:rPr>
      </w:pPr>
    </w:p>
    <w:p>
      <w:pPr>
        <w:pStyle w:val="BodyText"/>
        <w:ind w:left="840"/>
      </w:pPr>
      <w:r>
        <w:rPr/>
        <w:t>（一）基金收益分配原则</w:t>
      </w:r>
    </w:p>
    <w:p>
      <w:pPr>
        <w:pStyle w:val="BodyText"/>
        <w:spacing w:before="7"/>
        <w:rPr>
          <w:sz w:val="15"/>
        </w:rPr>
      </w:pPr>
    </w:p>
    <w:p>
      <w:pPr>
        <w:pStyle w:val="BodyText"/>
        <w:spacing w:line="417" w:lineRule="auto"/>
        <w:ind w:left="840" w:right="788" w:firstLine="419"/>
      </w:pPr>
      <w:r>
        <w:rPr>
          <w:rFonts w:ascii="Times New Roman" w:eastAsia="Times New Roman"/>
        </w:rPr>
        <w:t>1</w:t>
      </w:r>
      <w:r>
        <w:rPr>
          <w:spacing w:val="-5"/>
        </w:rPr>
        <w:t>、在符合有关基金分红条件的前提下，本基金每年收益分配次数最多为 </w:t>
      </w:r>
      <w:r>
        <w:rPr>
          <w:rFonts w:ascii="Times New Roman" w:eastAsia="Times New Roman"/>
        </w:rPr>
        <w:t>6 </w:t>
      </w:r>
      <w:r>
        <w:rPr>
          <w:spacing w:val="-3"/>
        </w:rPr>
        <w:t>次，全年分</w:t>
      </w:r>
      <w:r>
        <w:rPr>
          <w:spacing w:val="-6"/>
        </w:rPr>
        <w:t>配比例不得低于年度可供分配收益的 </w:t>
      </w:r>
      <w:r>
        <w:rPr>
          <w:rFonts w:ascii="Times New Roman" w:eastAsia="Times New Roman"/>
        </w:rPr>
        <w:t>50%</w:t>
      </w:r>
      <w:r>
        <w:rPr>
          <w:spacing w:val="-8"/>
        </w:rPr>
        <w:t>。若基金合同生效不满 </w:t>
      </w:r>
      <w:r>
        <w:rPr>
          <w:rFonts w:ascii="Times New Roman" w:eastAsia="Times New Roman"/>
        </w:rPr>
        <w:t>3 </w:t>
      </w:r>
      <w:r>
        <w:rPr>
          <w:spacing w:val="-3"/>
        </w:rPr>
        <w:t>个月可不进行收益分配；</w:t>
      </w:r>
    </w:p>
    <w:p>
      <w:pPr>
        <w:pStyle w:val="BodyText"/>
        <w:spacing w:line="417" w:lineRule="auto"/>
        <w:ind w:left="840" w:right="891" w:firstLine="419"/>
      </w:pPr>
      <w:r>
        <w:rPr>
          <w:rFonts w:ascii="Times New Roman" w:eastAsia="Times New Roman"/>
        </w:rPr>
        <w:t>2</w:t>
      </w:r>
      <w:r>
        <w:rPr>
          <w:spacing w:val="-3"/>
        </w:rPr>
        <w:t>、本基金收益分配方式分两种：现金分红与红利再投资，投资人可选择现金红利或将</w:t>
      </w:r>
      <w:r>
        <w:rPr>
          <w:spacing w:val="-7"/>
        </w:rPr>
        <w:t>现金红利按除权日的基金份额净值自动转为基金份额进行再投资；若投资者不选择，本基金</w:t>
      </w:r>
    </w:p>
    <w:p>
      <w:pPr>
        <w:spacing w:after="0" w:line="417" w:lineRule="auto"/>
        <w:sectPr>
          <w:footerReference w:type="default" r:id="rId172"/>
          <w:pgSz w:w="11910" w:h="16840"/>
          <w:pgMar w:footer="995" w:header="877" w:top="1100" w:bottom="1180" w:left="960" w:right="900"/>
        </w:sectPr>
      </w:pPr>
    </w:p>
    <w:p>
      <w:pPr>
        <w:pStyle w:val="BodyText"/>
        <w:spacing w:before="4"/>
        <w:rPr>
          <w:sz w:val="27"/>
        </w:rPr>
      </w:pPr>
    </w:p>
    <w:p>
      <w:pPr>
        <w:pStyle w:val="BodyText"/>
        <w:spacing w:before="71"/>
        <w:ind w:left="840"/>
      </w:pPr>
      <w:r>
        <w:rPr/>
        <w:t>默认的收益分配方式是现金分红；</w:t>
      </w:r>
    </w:p>
    <w:p>
      <w:pPr>
        <w:pStyle w:val="BodyText"/>
        <w:spacing w:before="7"/>
        <w:rPr>
          <w:sz w:val="15"/>
        </w:rPr>
      </w:pPr>
    </w:p>
    <w:p>
      <w:pPr>
        <w:pStyle w:val="BodyText"/>
        <w:ind w:left="1260"/>
      </w:pPr>
      <w:r>
        <w:rPr>
          <w:rFonts w:ascii="Times New Roman" w:eastAsia="Times New Roman"/>
        </w:rPr>
        <w:t>3</w:t>
      </w:r>
      <w:r>
        <w:rPr/>
        <w:t>、基金投资当期出现净亏损，则不进行收益分配；</w:t>
      </w:r>
    </w:p>
    <w:p>
      <w:pPr>
        <w:pStyle w:val="BodyText"/>
        <w:spacing w:before="7"/>
        <w:rPr>
          <w:sz w:val="15"/>
        </w:rPr>
      </w:pPr>
    </w:p>
    <w:p>
      <w:pPr>
        <w:pStyle w:val="BodyText"/>
        <w:ind w:left="1260"/>
      </w:pPr>
      <w:r>
        <w:rPr>
          <w:rFonts w:ascii="Times New Roman" w:eastAsia="Times New Roman"/>
        </w:rPr>
        <w:t>4</w:t>
      </w:r>
      <w:r>
        <w:rPr/>
        <w:t>、基金当年收益应先弥补上一年度亏损后，才可进行当年收益分配；</w:t>
      </w:r>
    </w:p>
    <w:p>
      <w:pPr>
        <w:pStyle w:val="BodyText"/>
        <w:spacing w:before="6"/>
        <w:rPr>
          <w:sz w:val="15"/>
        </w:rPr>
      </w:pPr>
    </w:p>
    <w:p>
      <w:pPr>
        <w:pStyle w:val="BodyText"/>
        <w:spacing w:before="1"/>
        <w:ind w:left="1260"/>
      </w:pPr>
      <w:r>
        <w:rPr>
          <w:rFonts w:ascii="Times New Roman" w:eastAsia="Times New Roman"/>
        </w:rPr>
        <w:t>5</w:t>
      </w:r>
      <w:r>
        <w:rPr/>
        <w:t>、基金收益分配后基金份额净值不能低于面值；</w:t>
      </w:r>
    </w:p>
    <w:p>
      <w:pPr>
        <w:pStyle w:val="BodyText"/>
        <w:spacing w:before="6"/>
        <w:rPr>
          <w:sz w:val="15"/>
        </w:rPr>
      </w:pPr>
    </w:p>
    <w:p>
      <w:pPr>
        <w:pStyle w:val="BodyText"/>
        <w:ind w:left="1260"/>
      </w:pPr>
      <w:r>
        <w:rPr>
          <w:rFonts w:ascii="Times New Roman" w:eastAsia="Times New Roman"/>
        </w:rPr>
        <w:t>6</w:t>
      </w:r>
      <w:r>
        <w:rPr/>
        <w:t>、每一基金份额享有同等分配权；</w:t>
      </w:r>
    </w:p>
    <w:p>
      <w:pPr>
        <w:pStyle w:val="BodyText"/>
        <w:spacing w:before="7"/>
        <w:rPr>
          <w:sz w:val="15"/>
        </w:rPr>
      </w:pPr>
    </w:p>
    <w:p>
      <w:pPr>
        <w:pStyle w:val="BodyText"/>
        <w:ind w:left="1260"/>
      </w:pPr>
      <w:r>
        <w:rPr>
          <w:rFonts w:ascii="Times New Roman" w:eastAsia="Times New Roman"/>
        </w:rPr>
        <w:t>7</w:t>
      </w:r>
      <w:r>
        <w:rPr/>
        <w:t>、法律法规或监管机关另有规定的，从其规定。</w:t>
      </w:r>
    </w:p>
    <w:p>
      <w:pPr>
        <w:pStyle w:val="BodyText"/>
        <w:spacing w:before="7"/>
        <w:rPr>
          <w:sz w:val="15"/>
        </w:rPr>
      </w:pPr>
    </w:p>
    <w:p>
      <w:pPr>
        <w:pStyle w:val="BodyText"/>
        <w:ind w:left="840"/>
      </w:pPr>
      <w:r>
        <w:rPr/>
        <w:t>（二）收益分配方案</w:t>
      </w:r>
    </w:p>
    <w:p>
      <w:pPr>
        <w:pStyle w:val="BodyText"/>
        <w:spacing w:before="7"/>
        <w:rPr>
          <w:sz w:val="15"/>
        </w:rPr>
      </w:pPr>
    </w:p>
    <w:p>
      <w:pPr>
        <w:pStyle w:val="BodyText"/>
        <w:spacing w:line="417" w:lineRule="auto"/>
        <w:ind w:left="840" w:right="891" w:firstLine="419"/>
      </w:pPr>
      <w:r>
        <w:rPr>
          <w:spacing w:val="-7"/>
        </w:rPr>
        <w:t>基金收益分配方案中应载明基金净收益、基金收益分配对象、分配时间、分配数额及比</w:t>
      </w:r>
      <w:r>
        <w:rPr>
          <w:spacing w:val="-5"/>
        </w:rPr>
        <w:t>例、分配方式等内容。</w:t>
      </w:r>
    </w:p>
    <w:p>
      <w:pPr>
        <w:pStyle w:val="BodyText"/>
        <w:spacing w:line="269" w:lineRule="exact"/>
        <w:ind w:left="840"/>
      </w:pPr>
      <w:r>
        <w:rPr/>
        <w:t>（三）收益分配方案的确定、公告与实施</w:t>
      </w:r>
    </w:p>
    <w:p>
      <w:pPr>
        <w:pStyle w:val="BodyText"/>
        <w:spacing w:before="7"/>
        <w:rPr>
          <w:sz w:val="15"/>
        </w:rPr>
      </w:pPr>
    </w:p>
    <w:p>
      <w:pPr>
        <w:pStyle w:val="BodyText"/>
        <w:spacing w:line="417" w:lineRule="auto"/>
        <w:ind w:left="840" w:right="797" w:firstLine="419"/>
      </w:pPr>
      <w:r>
        <w:rPr/>
        <w:t>本基金收益分配方案由基金管理人拟定，并由基金托管人复核，依照《信息披露办法》规定在指定媒介公告。</w:t>
      </w:r>
    </w:p>
    <w:p>
      <w:pPr>
        <w:pStyle w:val="BodyText"/>
        <w:spacing w:line="269" w:lineRule="exact"/>
        <w:ind w:left="840"/>
      </w:pPr>
      <w:r>
        <w:rPr/>
        <w:t>（四）基金收益分配中发生的费用</w:t>
      </w:r>
    </w:p>
    <w:p>
      <w:pPr>
        <w:pStyle w:val="BodyText"/>
        <w:spacing w:before="7"/>
        <w:rPr>
          <w:sz w:val="15"/>
        </w:rPr>
      </w:pPr>
    </w:p>
    <w:p>
      <w:pPr>
        <w:pStyle w:val="BodyText"/>
        <w:spacing w:line="417" w:lineRule="auto"/>
        <w:ind w:left="840" w:right="891" w:firstLine="419"/>
        <w:jc w:val="both"/>
      </w:pPr>
      <w:r>
        <w:rPr>
          <w:spacing w:val="-7"/>
        </w:rPr>
        <w:t>红利分配时所发生的银行转账或其他手续费用由投资者自行承担。当投资者的现金红利</w:t>
      </w:r>
      <w:r>
        <w:rPr>
          <w:spacing w:val="-12"/>
        </w:rPr>
        <w:t>小于一定金额，不足于支付银行转账或其他手续费用时，基金注册登记人可将投资者的现金</w:t>
      </w:r>
      <w:r>
        <w:rPr>
          <w:spacing w:val="-10"/>
        </w:rPr>
        <w:t>红利按权益登记日除息后的基金份额净值自动转为基金份额。红利再投资的计算方法，依照</w:t>
      </w:r>
      <w:r>
        <w:rPr>
          <w:spacing w:val="-5"/>
        </w:rPr>
        <w:t>景顺长城基金管理有限公司开放式基金有关业务规定执行。</w:t>
      </w:r>
    </w:p>
    <w:p>
      <w:pPr>
        <w:pStyle w:val="BodyText"/>
        <w:rPr>
          <w:sz w:val="20"/>
        </w:rPr>
      </w:pPr>
    </w:p>
    <w:p>
      <w:pPr>
        <w:pStyle w:val="BodyText"/>
        <w:spacing w:before="6"/>
        <w:rPr>
          <w:sz w:val="16"/>
        </w:rPr>
      </w:pPr>
    </w:p>
    <w:p>
      <w:pPr>
        <w:pStyle w:val="Heading4"/>
      </w:pPr>
      <w:r>
        <w:rPr/>
        <w:t>四、与基金财产管理、运作有关费用的提取、支付方式与比例</w:t>
      </w:r>
    </w:p>
    <w:p>
      <w:pPr>
        <w:pStyle w:val="BodyText"/>
        <w:spacing w:before="7"/>
        <w:rPr>
          <w:b/>
          <w:sz w:val="15"/>
        </w:rPr>
      </w:pPr>
    </w:p>
    <w:p>
      <w:pPr>
        <w:pStyle w:val="BodyText"/>
        <w:ind w:left="840"/>
      </w:pPr>
      <w:r>
        <w:rPr/>
        <w:t>（一</w:t>
      </w:r>
      <w:r>
        <w:rPr>
          <w:spacing w:val="-3"/>
        </w:rPr>
        <w:t>）基金管理人的管理费</w:t>
      </w:r>
    </w:p>
    <w:p>
      <w:pPr>
        <w:pStyle w:val="BodyText"/>
        <w:spacing w:before="6"/>
        <w:rPr>
          <w:sz w:val="15"/>
        </w:rPr>
      </w:pPr>
    </w:p>
    <w:p>
      <w:pPr>
        <w:pStyle w:val="BodyText"/>
        <w:spacing w:line="417" w:lineRule="auto" w:before="1"/>
        <w:ind w:left="1260" w:right="937"/>
      </w:pPr>
      <w:r>
        <w:rPr>
          <w:spacing w:val="-5"/>
        </w:rPr>
        <w:t>本基金的管理费按前一日基金资产净值的 </w:t>
      </w:r>
      <w:r>
        <w:rPr>
          <w:rFonts w:ascii="Times New Roman" w:hAnsi="Times New Roman" w:eastAsia="Times New Roman"/>
        </w:rPr>
        <w:t>1.5%</w:t>
      </w:r>
      <w:r>
        <w:rPr>
          <w:spacing w:val="-3"/>
        </w:rPr>
        <w:t>年费率计提。管理费的计算方法如下： </w:t>
      </w:r>
      <w:r>
        <w:rPr>
          <w:rFonts w:ascii="Times New Roman" w:hAnsi="Times New Roman" w:eastAsia="Times New Roman"/>
          <w:spacing w:val="-4"/>
        </w:rPr>
        <w:t>H</w:t>
      </w:r>
      <w:r>
        <w:rPr>
          <w:spacing w:val="-4"/>
        </w:rPr>
        <w:t>＝</w:t>
      </w:r>
      <w:r>
        <w:rPr>
          <w:rFonts w:ascii="Times New Roman" w:hAnsi="Times New Roman" w:eastAsia="Times New Roman"/>
          <w:spacing w:val="-4"/>
        </w:rPr>
        <w:t>E×1.5%</w:t>
      </w:r>
      <w:r>
        <w:rPr>
          <w:rFonts w:ascii="Times New Roman" w:hAnsi="Times New Roman" w:eastAsia="Times New Roman"/>
          <w:spacing w:val="-33"/>
        </w:rPr>
        <w:t> </w:t>
      </w:r>
      <w:r>
        <w:rPr>
          <w:spacing w:val="-3"/>
        </w:rPr>
        <w:t>÷当年天数</w:t>
      </w:r>
    </w:p>
    <w:p>
      <w:pPr>
        <w:pStyle w:val="BodyText"/>
        <w:ind w:left="1260"/>
      </w:pPr>
      <w:r>
        <w:rPr>
          <w:rFonts w:ascii="Times New Roman" w:eastAsia="Times New Roman"/>
        </w:rPr>
        <w:t>H </w:t>
      </w:r>
      <w:r>
        <w:rPr/>
        <w:t>为每日应计提的基金管理费</w:t>
      </w:r>
    </w:p>
    <w:p>
      <w:pPr>
        <w:pStyle w:val="BodyText"/>
        <w:spacing w:before="7"/>
        <w:rPr>
          <w:sz w:val="15"/>
        </w:rPr>
      </w:pPr>
    </w:p>
    <w:p>
      <w:pPr>
        <w:pStyle w:val="BodyText"/>
        <w:ind w:left="1260"/>
        <w:jc w:val="both"/>
      </w:pPr>
      <w:r>
        <w:rPr>
          <w:rFonts w:ascii="Times New Roman" w:eastAsia="Times New Roman"/>
        </w:rPr>
        <w:t>E </w:t>
      </w:r>
      <w:r>
        <w:rPr/>
        <w:t>为前一日的基金资产净值</w:t>
      </w:r>
    </w:p>
    <w:p>
      <w:pPr>
        <w:pStyle w:val="BodyText"/>
        <w:spacing w:before="6"/>
        <w:rPr>
          <w:sz w:val="15"/>
        </w:rPr>
      </w:pPr>
    </w:p>
    <w:p>
      <w:pPr>
        <w:pStyle w:val="BodyText"/>
        <w:spacing w:line="417" w:lineRule="auto"/>
        <w:ind w:left="840" w:right="891" w:firstLine="419"/>
        <w:jc w:val="both"/>
      </w:pPr>
      <w:r>
        <w:rPr>
          <w:spacing w:val="-9"/>
        </w:rPr>
        <w:t>基金管理费每日计算，逐日累计至每月月末，按月支付，由基金管理人向基金托管人发</w:t>
      </w:r>
      <w:r>
        <w:rPr>
          <w:spacing w:val="-14"/>
        </w:rPr>
        <w:t>送基金管理费划款指令，基金托管人复核后于次月前 </w:t>
      </w:r>
      <w:r>
        <w:rPr>
          <w:rFonts w:ascii="Times New Roman" w:eastAsia="Times New Roman"/>
        </w:rPr>
        <w:t>2 </w:t>
      </w:r>
      <w:r>
        <w:rPr>
          <w:spacing w:val="-3"/>
        </w:rPr>
        <w:t>个工作日内从基金资产中一次性支付给基金管理人。若遇法定节假日、公休假等</w:t>
      </w:r>
      <w:r>
        <w:rPr>
          <w:rFonts w:ascii="Times New Roman" w:eastAsia="Times New Roman"/>
          <w:spacing w:val="-3"/>
        </w:rPr>
        <w:t>,</w:t>
      </w:r>
      <w:r>
        <w:rPr>
          <w:spacing w:val="-3"/>
        </w:rPr>
        <w:t>支付日期顺延。</w:t>
      </w:r>
    </w:p>
    <w:p>
      <w:pPr>
        <w:pStyle w:val="BodyText"/>
        <w:spacing w:line="269" w:lineRule="exact"/>
        <w:ind w:left="840"/>
      </w:pPr>
      <w:r>
        <w:rPr/>
        <w:t>（二</w:t>
      </w:r>
      <w:r>
        <w:rPr>
          <w:spacing w:val="-3"/>
        </w:rPr>
        <w:t>）基金托管人的托管费</w:t>
      </w:r>
    </w:p>
    <w:p>
      <w:pPr>
        <w:pStyle w:val="BodyText"/>
        <w:spacing w:before="7"/>
        <w:rPr>
          <w:sz w:val="15"/>
        </w:rPr>
      </w:pPr>
    </w:p>
    <w:p>
      <w:pPr>
        <w:pStyle w:val="BodyText"/>
        <w:spacing w:line="417" w:lineRule="auto" w:before="1"/>
        <w:ind w:left="1260" w:right="788"/>
      </w:pPr>
      <w:r>
        <w:rPr>
          <w:spacing w:val="-5"/>
        </w:rPr>
        <w:t>本基金的托管费按前一日基金资产净值的 </w:t>
      </w:r>
      <w:r>
        <w:rPr>
          <w:rFonts w:ascii="Times New Roman" w:hAnsi="Times New Roman" w:eastAsia="Times New Roman"/>
        </w:rPr>
        <w:t>2.5‰</w:t>
      </w:r>
      <w:r>
        <w:rPr>
          <w:spacing w:val="-12"/>
        </w:rPr>
        <w:t>的年费率计提。托管费的计算方法如下： </w:t>
      </w:r>
      <w:r>
        <w:rPr>
          <w:rFonts w:ascii="Times New Roman" w:hAnsi="Times New Roman" w:eastAsia="Times New Roman"/>
          <w:spacing w:val="-12"/>
        </w:rPr>
        <w:t>H</w:t>
      </w:r>
      <w:r>
        <w:rPr>
          <w:spacing w:val="-12"/>
        </w:rPr>
        <w:t>＝</w:t>
      </w:r>
      <w:r>
        <w:rPr>
          <w:rFonts w:ascii="Times New Roman" w:hAnsi="Times New Roman" w:eastAsia="Times New Roman"/>
          <w:spacing w:val="-12"/>
        </w:rPr>
        <w:t>E×2.5‰</w:t>
      </w:r>
      <w:r>
        <w:rPr>
          <w:spacing w:val="-6"/>
        </w:rPr>
        <w:t>÷当年天数</w:t>
      </w:r>
    </w:p>
    <w:p>
      <w:pPr>
        <w:spacing w:after="0" w:line="417" w:lineRule="auto"/>
        <w:sectPr>
          <w:footerReference w:type="default" r:id="rId173"/>
          <w:pgSz w:w="11910" w:h="16840"/>
          <w:pgMar w:footer="995" w:header="877" w:top="1100" w:bottom="1180" w:left="960" w:right="900"/>
          <w:pgNumType w:start="141"/>
        </w:sectPr>
      </w:pPr>
    </w:p>
    <w:p>
      <w:pPr>
        <w:pStyle w:val="BodyText"/>
        <w:spacing w:before="10"/>
        <w:rPr>
          <w:sz w:val="26"/>
        </w:rPr>
      </w:pPr>
    </w:p>
    <w:p>
      <w:pPr>
        <w:pStyle w:val="BodyText"/>
        <w:spacing w:before="78"/>
        <w:ind w:left="1260"/>
        <w:jc w:val="both"/>
      </w:pPr>
      <w:r>
        <w:rPr>
          <w:rFonts w:ascii="Times New Roman" w:eastAsia="Times New Roman"/>
        </w:rPr>
        <w:t>H </w:t>
      </w:r>
      <w:r>
        <w:rPr/>
        <w:t>为每日应计提的基金托管费</w:t>
      </w:r>
    </w:p>
    <w:p>
      <w:pPr>
        <w:pStyle w:val="BodyText"/>
        <w:spacing w:before="7"/>
        <w:rPr>
          <w:sz w:val="15"/>
        </w:rPr>
      </w:pPr>
    </w:p>
    <w:p>
      <w:pPr>
        <w:pStyle w:val="BodyText"/>
        <w:ind w:left="1260"/>
        <w:jc w:val="both"/>
      </w:pPr>
      <w:r>
        <w:rPr>
          <w:rFonts w:ascii="Times New Roman" w:eastAsia="Times New Roman"/>
        </w:rPr>
        <w:t>E </w:t>
      </w:r>
      <w:r>
        <w:rPr/>
        <w:t>为前一日的基金资产净值</w:t>
      </w:r>
    </w:p>
    <w:p>
      <w:pPr>
        <w:pStyle w:val="BodyText"/>
        <w:spacing w:before="6"/>
        <w:rPr>
          <w:sz w:val="15"/>
        </w:rPr>
      </w:pPr>
    </w:p>
    <w:p>
      <w:pPr>
        <w:pStyle w:val="BodyText"/>
        <w:spacing w:line="417" w:lineRule="auto" w:before="1"/>
        <w:ind w:left="840" w:right="891" w:firstLine="419"/>
        <w:jc w:val="both"/>
      </w:pPr>
      <w:r>
        <w:rPr>
          <w:spacing w:val="-9"/>
        </w:rPr>
        <w:t>基金托管费每日计算，逐日累计至每月月末，按月支付，由基金管理人向基金托管人发</w:t>
      </w:r>
      <w:r>
        <w:rPr>
          <w:spacing w:val="-5"/>
        </w:rPr>
        <w:t>送基金托管费划款指令，基金托管人复核后于次月前 </w:t>
      </w:r>
      <w:r>
        <w:rPr>
          <w:rFonts w:ascii="Times New Roman" w:eastAsia="Times New Roman"/>
        </w:rPr>
        <w:t>2 </w:t>
      </w:r>
      <w:r>
        <w:rPr>
          <w:spacing w:val="-3"/>
        </w:rPr>
        <w:t>个工作日内从基金财产中一次性支取。若遇法定节假日、公休日等</w:t>
      </w:r>
      <w:r>
        <w:rPr>
          <w:rFonts w:ascii="Times New Roman" w:eastAsia="Times New Roman"/>
        </w:rPr>
        <w:t>,</w:t>
      </w:r>
      <w:r>
        <w:rPr>
          <w:spacing w:val="-3"/>
        </w:rPr>
        <w:t>支付日期顺延。</w:t>
      </w:r>
    </w:p>
    <w:p>
      <w:pPr>
        <w:pStyle w:val="BodyText"/>
        <w:rPr>
          <w:sz w:val="22"/>
        </w:rPr>
      </w:pPr>
    </w:p>
    <w:p>
      <w:pPr>
        <w:pStyle w:val="Heading4"/>
        <w:spacing w:before="185"/>
      </w:pPr>
      <w:r>
        <w:rPr/>
        <w:t>五、基金资产的投资方向和投资限制</w:t>
      </w:r>
    </w:p>
    <w:p>
      <w:pPr>
        <w:pStyle w:val="BodyText"/>
        <w:spacing w:before="7"/>
        <w:rPr>
          <w:b/>
          <w:sz w:val="15"/>
        </w:rPr>
      </w:pPr>
    </w:p>
    <w:p>
      <w:pPr>
        <w:pStyle w:val="BodyText"/>
        <w:spacing w:before="1"/>
        <w:ind w:left="840"/>
      </w:pPr>
      <w:r>
        <w:rPr/>
        <w:t>（一）投资方向</w:t>
      </w:r>
    </w:p>
    <w:p>
      <w:pPr>
        <w:pStyle w:val="BodyText"/>
        <w:spacing w:before="6"/>
        <w:rPr>
          <w:sz w:val="15"/>
        </w:rPr>
      </w:pPr>
    </w:p>
    <w:p>
      <w:pPr>
        <w:pStyle w:val="BodyText"/>
        <w:ind w:left="1260"/>
      </w:pPr>
      <w:r>
        <w:rPr/>
        <w:t>本基金投资于具有良好流动性的金融工具，包括国内依法发行和上市交易的公司股票</w:t>
      </w:r>
    </w:p>
    <w:p>
      <w:pPr>
        <w:pStyle w:val="BodyText"/>
        <w:spacing w:before="7"/>
        <w:rPr>
          <w:sz w:val="15"/>
        </w:rPr>
      </w:pPr>
    </w:p>
    <w:p>
      <w:pPr>
        <w:pStyle w:val="BodyText"/>
        <w:ind w:left="840"/>
      </w:pPr>
      <w:r>
        <w:rPr/>
        <w:t>（含存托凭证）和债券以及经中国证监会批准的允许基金投资的其他金融工具。</w:t>
      </w:r>
    </w:p>
    <w:p>
      <w:pPr>
        <w:pStyle w:val="BodyText"/>
        <w:spacing w:before="7"/>
        <w:rPr>
          <w:sz w:val="15"/>
        </w:rPr>
      </w:pPr>
    </w:p>
    <w:p>
      <w:pPr>
        <w:pStyle w:val="BodyText"/>
        <w:spacing w:line="417" w:lineRule="auto"/>
        <w:ind w:left="840" w:right="891" w:firstLine="419"/>
        <w:jc w:val="both"/>
      </w:pPr>
      <w:r>
        <w:rPr>
          <w:spacing w:val="1"/>
        </w:rPr>
        <w:t>本基金是一只高持股的混合型基金，对于股票的投资不少于基金资产净值的 </w:t>
      </w:r>
      <w:r>
        <w:rPr>
          <w:rFonts w:ascii="Times New Roman" w:eastAsia="Times New Roman"/>
        </w:rPr>
        <w:t>65%</w:t>
      </w:r>
      <w:r>
        <w:rPr>
          <w:spacing w:val="-7"/>
        </w:rPr>
        <w:t>，持</w:t>
      </w:r>
      <w:r>
        <w:rPr>
          <w:spacing w:val="-4"/>
        </w:rPr>
        <w:t>有现金或者到期日在一年以内的政府债券的比例不低于基金资产净值的 </w:t>
      </w:r>
      <w:r>
        <w:rPr>
          <w:rFonts w:ascii="Times New Roman" w:eastAsia="Times New Roman"/>
          <w:spacing w:val="-4"/>
        </w:rPr>
        <w:t>5%</w:t>
      </w:r>
      <w:r>
        <w:rPr>
          <w:spacing w:val="-3"/>
        </w:rPr>
        <w:t>，其中现金不包括结算备付金、存出保证金和应收申购款等。</w:t>
      </w:r>
    </w:p>
    <w:p>
      <w:pPr>
        <w:pStyle w:val="BodyText"/>
        <w:spacing w:line="269" w:lineRule="exact"/>
        <w:ind w:left="1260"/>
        <w:jc w:val="both"/>
      </w:pPr>
      <w:r>
        <w:rPr/>
        <w:t>本基金投资于成长型上市公司的股票比例高于非现金基金资产的 </w:t>
      </w:r>
      <w:r>
        <w:rPr>
          <w:rFonts w:ascii="Times New Roman" w:eastAsia="Times New Roman"/>
        </w:rPr>
        <w:t>80%</w:t>
      </w:r>
      <w:r>
        <w:rPr/>
        <w:t>。</w:t>
      </w:r>
    </w:p>
    <w:p>
      <w:pPr>
        <w:pStyle w:val="BodyText"/>
        <w:spacing w:before="7"/>
        <w:rPr>
          <w:sz w:val="15"/>
        </w:rPr>
      </w:pPr>
    </w:p>
    <w:p>
      <w:pPr>
        <w:pStyle w:val="BodyText"/>
        <w:ind w:left="840"/>
      </w:pPr>
      <w:r>
        <w:rPr/>
        <w:t>（二）投资限制</w:t>
      </w:r>
    </w:p>
    <w:p>
      <w:pPr>
        <w:pStyle w:val="BodyText"/>
        <w:spacing w:before="7"/>
        <w:rPr>
          <w:sz w:val="15"/>
        </w:rPr>
      </w:pPr>
    </w:p>
    <w:p>
      <w:pPr>
        <w:pStyle w:val="BodyText"/>
        <w:ind w:left="1260"/>
      </w:pPr>
      <w:r>
        <w:rPr>
          <w:rFonts w:ascii="Times New Roman" w:eastAsia="Times New Roman"/>
        </w:rPr>
        <w:t>1</w:t>
      </w:r>
      <w:r>
        <w:rPr/>
        <w:t>、禁止行为</w:t>
      </w:r>
    </w:p>
    <w:p>
      <w:pPr>
        <w:pStyle w:val="BodyText"/>
        <w:spacing w:before="6"/>
        <w:rPr>
          <w:sz w:val="15"/>
        </w:rPr>
      </w:pPr>
    </w:p>
    <w:p>
      <w:pPr>
        <w:pStyle w:val="BodyText"/>
        <w:spacing w:before="1"/>
        <w:ind w:left="1260"/>
      </w:pPr>
      <w:r>
        <w:rPr/>
        <w:t>为维护基金份额持有人的合法权益，本基金禁止从事下列行为：</w:t>
      </w:r>
    </w:p>
    <w:p>
      <w:pPr>
        <w:pStyle w:val="BodyText"/>
        <w:spacing w:before="6"/>
        <w:rPr>
          <w:sz w:val="15"/>
        </w:rPr>
      </w:pPr>
    </w:p>
    <w:p>
      <w:pPr>
        <w:pStyle w:val="ListParagraph"/>
        <w:numPr>
          <w:ilvl w:val="0"/>
          <w:numId w:val="55"/>
        </w:numPr>
        <w:tabs>
          <w:tab w:pos="1790" w:val="left" w:leader="none"/>
        </w:tabs>
        <w:spacing w:line="240" w:lineRule="auto" w:before="0" w:after="0"/>
        <w:ind w:left="1789" w:right="0" w:hanging="530"/>
        <w:jc w:val="left"/>
        <w:rPr>
          <w:sz w:val="21"/>
        </w:rPr>
      </w:pPr>
      <w:r>
        <w:rPr>
          <w:spacing w:val="-3"/>
          <w:sz w:val="21"/>
        </w:rPr>
        <w:t>承销证券；</w:t>
      </w:r>
    </w:p>
    <w:p>
      <w:pPr>
        <w:pStyle w:val="BodyText"/>
        <w:spacing w:before="7"/>
        <w:rPr>
          <w:sz w:val="15"/>
        </w:rPr>
      </w:pPr>
    </w:p>
    <w:p>
      <w:pPr>
        <w:pStyle w:val="ListParagraph"/>
        <w:numPr>
          <w:ilvl w:val="0"/>
          <w:numId w:val="55"/>
        </w:numPr>
        <w:tabs>
          <w:tab w:pos="1790" w:val="left" w:leader="none"/>
        </w:tabs>
        <w:spacing w:line="240" w:lineRule="auto" w:before="0" w:after="0"/>
        <w:ind w:left="1789" w:right="0" w:hanging="530"/>
        <w:jc w:val="left"/>
        <w:rPr>
          <w:sz w:val="21"/>
        </w:rPr>
      </w:pPr>
      <w:r>
        <w:rPr>
          <w:spacing w:val="-3"/>
          <w:sz w:val="21"/>
        </w:rPr>
        <w:t>向他人贷款或提供担保；</w:t>
      </w:r>
    </w:p>
    <w:p>
      <w:pPr>
        <w:pStyle w:val="BodyText"/>
        <w:spacing w:before="7"/>
        <w:rPr>
          <w:sz w:val="15"/>
        </w:rPr>
      </w:pPr>
    </w:p>
    <w:p>
      <w:pPr>
        <w:pStyle w:val="ListParagraph"/>
        <w:numPr>
          <w:ilvl w:val="0"/>
          <w:numId w:val="55"/>
        </w:numPr>
        <w:tabs>
          <w:tab w:pos="1790" w:val="left" w:leader="none"/>
        </w:tabs>
        <w:spacing w:line="240" w:lineRule="auto" w:before="0" w:after="0"/>
        <w:ind w:left="1789" w:right="0" w:hanging="530"/>
        <w:jc w:val="left"/>
        <w:rPr>
          <w:sz w:val="21"/>
        </w:rPr>
      </w:pPr>
      <w:r>
        <w:rPr>
          <w:spacing w:val="-3"/>
          <w:sz w:val="21"/>
        </w:rPr>
        <w:t>从事承担无限责任的投资；</w:t>
      </w:r>
    </w:p>
    <w:p>
      <w:pPr>
        <w:pStyle w:val="BodyText"/>
        <w:spacing w:before="6"/>
        <w:rPr>
          <w:sz w:val="15"/>
        </w:rPr>
      </w:pPr>
    </w:p>
    <w:p>
      <w:pPr>
        <w:pStyle w:val="ListParagraph"/>
        <w:numPr>
          <w:ilvl w:val="0"/>
          <w:numId w:val="55"/>
        </w:numPr>
        <w:tabs>
          <w:tab w:pos="1790" w:val="left" w:leader="none"/>
        </w:tabs>
        <w:spacing w:line="240" w:lineRule="auto" w:before="1" w:after="0"/>
        <w:ind w:left="1789" w:right="0" w:hanging="530"/>
        <w:jc w:val="left"/>
        <w:rPr>
          <w:sz w:val="21"/>
        </w:rPr>
      </w:pPr>
      <w:r>
        <w:rPr>
          <w:spacing w:val="-3"/>
          <w:sz w:val="21"/>
        </w:rPr>
        <w:t>买卖其他基金份额，但国务院另有规定的除外；</w:t>
      </w:r>
    </w:p>
    <w:p>
      <w:pPr>
        <w:pStyle w:val="BodyText"/>
        <w:spacing w:before="7"/>
        <w:rPr>
          <w:sz w:val="15"/>
        </w:rPr>
      </w:pPr>
    </w:p>
    <w:p>
      <w:pPr>
        <w:pStyle w:val="ListParagraph"/>
        <w:numPr>
          <w:ilvl w:val="0"/>
          <w:numId w:val="55"/>
        </w:numPr>
        <w:tabs>
          <w:tab w:pos="1790" w:val="left" w:leader="none"/>
        </w:tabs>
        <w:spacing w:line="417" w:lineRule="auto" w:before="0" w:after="0"/>
        <w:ind w:left="840" w:right="894" w:firstLine="419"/>
        <w:jc w:val="left"/>
        <w:rPr>
          <w:sz w:val="21"/>
        </w:rPr>
      </w:pPr>
      <w:r>
        <w:rPr>
          <w:spacing w:val="-3"/>
          <w:sz w:val="21"/>
        </w:rPr>
        <w:t>向基金管理人、基金托管人出资或者买卖其基金管理人、基金托管人发行的股票或债券；</w:t>
      </w:r>
    </w:p>
    <w:p>
      <w:pPr>
        <w:pStyle w:val="ListParagraph"/>
        <w:numPr>
          <w:ilvl w:val="0"/>
          <w:numId w:val="55"/>
        </w:numPr>
        <w:tabs>
          <w:tab w:pos="1790" w:val="left" w:leader="none"/>
        </w:tabs>
        <w:spacing w:line="417" w:lineRule="auto" w:before="0" w:after="0"/>
        <w:ind w:left="840" w:right="894" w:firstLine="419"/>
        <w:jc w:val="left"/>
        <w:rPr>
          <w:sz w:val="21"/>
        </w:rPr>
      </w:pPr>
      <w:r>
        <w:rPr>
          <w:spacing w:val="-3"/>
          <w:sz w:val="21"/>
        </w:rPr>
        <w:t>买卖与基金管理人、基金托管人有控股关系的股东或者与基金管理人、基金托管人有其他重大利害关系的公司发行的证券或者承销期内承销的证券；</w:t>
      </w:r>
    </w:p>
    <w:p>
      <w:pPr>
        <w:pStyle w:val="ListParagraph"/>
        <w:numPr>
          <w:ilvl w:val="0"/>
          <w:numId w:val="55"/>
        </w:numPr>
        <w:tabs>
          <w:tab w:pos="1790" w:val="left" w:leader="none"/>
        </w:tabs>
        <w:spacing w:line="269" w:lineRule="exact" w:before="0" w:after="0"/>
        <w:ind w:left="1789" w:right="0" w:hanging="530"/>
        <w:jc w:val="left"/>
        <w:rPr>
          <w:sz w:val="21"/>
        </w:rPr>
      </w:pPr>
      <w:r>
        <w:rPr>
          <w:spacing w:val="-3"/>
          <w:sz w:val="21"/>
        </w:rPr>
        <w:t>从事内幕交易、操纵证券价格及其他不正当的证券交易活动；</w:t>
      </w:r>
    </w:p>
    <w:p>
      <w:pPr>
        <w:pStyle w:val="BodyText"/>
        <w:spacing w:before="6"/>
        <w:rPr>
          <w:sz w:val="15"/>
        </w:rPr>
      </w:pPr>
    </w:p>
    <w:p>
      <w:pPr>
        <w:pStyle w:val="ListParagraph"/>
        <w:numPr>
          <w:ilvl w:val="0"/>
          <w:numId w:val="55"/>
        </w:numPr>
        <w:tabs>
          <w:tab w:pos="1790" w:val="left" w:leader="none"/>
        </w:tabs>
        <w:spacing w:line="240" w:lineRule="auto" w:before="0" w:after="0"/>
        <w:ind w:left="1789" w:right="0" w:hanging="530"/>
        <w:jc w:val="left"/>
        <w:rPr>
          <w:sz w:val="21"/>
        </w:rPr>
      </w:pPr>
      <w:r>
        <w:rPr>
          <w:spacing w:val="-3"/>
          <w:sz w:val="21"/>
        </w:rPr>
        <w:t>当时有效的法律法规、中国证监会及《基金合同》规定禁止从事的其他行为。</w:t>
      </w:r>
    </w:p>
    <w:p>
      <w:pPr>
        <w:pStyle w:val="BodyText"/>
        <w:spacing w:before="7"/>
        <w:rPr>
          <w:sz w:val="15"/>
        </w:rPr>
      </w:pPr>
    </w:p>
    <w:p>
      <w:pPr>
        <w:pStyle w:val="BodyText"/>
        <w:ind w:left="1260"/>
      </w:pPr>
      <w:r>
        <w:rPr>
          <w:rFonts w:ascii="Times New Roman" w:eastAsia="Times New Roman"/>
        </w:rPr>
        <w:t>2</w:t>
      </w:r>
      <w:r>
        <w:rPr/>
        <w:t>、投资组合限制</w:t>
      </w:r>
    </w:p>
    <w:p>
      <w:pPr>
        <w:pStyle w:val="BodyText"/>
        <w:spacing w:before="7"/>
        <w:rPr>
          <w:sz w:val="15"/>
        </w:rPr>
      </w:pPr>
    </w:p>
    <w:p>
      <w:pPr>
        <w:pStyle w:val="BodyText"/>
        <w:ind w:left="1260"/>
      </w:pPr>
      <w:r>
        <w:rPr/>
        <w:t>本基金的投资组合将遵循以下限制：</w:t>
      </w:r>
    </w:p>
    <w:p>
      <w:pPr>
        <w:pStyle w:val="BodyText"/>
        <w:spacing w:before="7"/>
        <w:rPr>
          <w:sz w:val="15"/>
        </w:rPr>
      </w:pPr>
    </w:p>
    <w:p>
      <w:pPr>
        <w:pStyle w:val="ListParagraph"/>
        <w:numPr>
          <w:ilvl w:val="0"/>
          <w:numId w:val="56"/>
        </w:numPr>
        <w:tabs>
          <w:tab w:pos="1790" w:val="left" w:leader="none"/>
        </w:tabs>
        <w:spacing w:line="240" w:lineRule="auto" w:before="0" w:after="0"/>
        <w:ind w:left="1789" w:right="0" w:hanging="530"/>
        <w:jc w:val="left"/>
        <w:rPr>
          <w:sz w:val="21"/>
        </w:rPr>
      </w:pPr>
      <w:r>
        <w:rPr>
          <w:spacing w:val="-5"/>
          <w:sz w:val="21"/>
        </w:rPr>
        <w:t>本基金持有一家上市公司的股票，其市值不得超过基金资产净值的 </w:t>
      </w:r>
      <w:r>
        <w:rPr>
          <w:rFonts w:ascii="Times New Roman" w:eastAsia="Times New Roman"/>
          <w:sz w:val="21"/>
        </w:rPr>
        <w:t>10%</w:t>
      </w:r>
      <w:r>
        <w:rPr>
          <w:sz w:val="21"/>
        </w:rPr>
        <w:t>；</w:t>
      </w:r>
    </w:p>
    <w:p>
      <w:pPr>
        <w:spacing w:after="0" w:line="240"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56"/>
        </w:numPr>
        <w:tabs>
          <w:tab w:pos="1790" w:val="left" w:leader="none"/>
        </w:tabs>
        <w:spacing w:line="417" w:lineRule="auto" w:before="78" w:after="0"/>
        <w:ind w:left="840" w:right="894" w:firstLine="419"/>
        <w:jc w:val="left"/>
        <w:rPr>
          <w:sz w:val="21"/>
        </w:rPr>
      </w:pPr>
      <w:r>
        <w:rPr>
          <w:spacing w:val="-3"/>
          <w:sz w:val="21"/>
        </w:rPr>
        <w:t>本基金与由本基金管理人管理的其他基金共同持有一家公司发行的证券，不得超过该证券的 </w:t>
      </w:r>
      <w:r>
        <w:rPr>
          <w:rFonts w:ascii="Times New Roman" w:eastAsia="Times New Roman"/>
          <w:sz w:val="21"/>
        </w:rPr>
        <w:t>10%</w:t>
      </w:r>
      <w:r>
        <w:rPr>
          <w:sz w:val="21"/>
        </w:rPr>
        <w:t>；</w:t>
      </w:r>
    </w:p>
    <w:p>
      <w:pPr>
        <w:pStyle w:val="ListParagraph"/>
        <w:numPr>
          <w:ilvl w:val="0"/>
          <w:numId w:val="56"/>
        </w:numPr>
        <w:tabs>
          <w:tab w:pos="1790" w:val="left" w:leader="none"/>
        </w:tabs>
        <w:spacing w:line="269" w:lineRule="exact" w:before="0" w:after="0"/>
        <w:ind w:left="1789" w:right="0" w:hanging="530"/>
        <w:jc w:val="left"/>
        <w:rPr>
          <w:sz w:val="21"/>
        </w:rPr>
      </w:pPr>
      <w:r>
        <w:rPr>
          <w:spacing w:val="-3"/>
          <w:sz w:val="21"/>
        </w:rPr>
        <w:t>本基金不得违反本基金合同关于投资范围、投资策略和投资比例的约定；</w:t>
      </w:r>
    </w:p>
    <w:p>
      <w:pPr>
        <w:pStyle w:val="BodyText"/>
        <w:spacing w:before="7"/>
        <w:rPr>
          <w:sz w:val="15"/>
        </w:rPr>
      </w:pPr>
    </w:p>
    <w:p>
      <w:pPr>
        <w:pStyle w:val="ListParagraph"/>
        <w:numPr>
          <w:ilvl w:val="0"/>
          <w:numId w:val="56"/>
        </w:numPr>
        <w:tabs>
          <w:tab w:pos="1790" w:val="left" w:leader="none"/>
        </w:tabs>
        <w:spacing w:line="417" w:lineRule="auto" w:before="0" w:after="0"/>
        <w:ind w:left="840" w:right="893" w:firstLine="419"/>
        <w:jc w:val="both"/>
        <w:rPr>
          <w:sz w:val="21"/>
        </w:rPr>
      </w:pPr>
      <w:r>
        <w:rPr>
          <w:spacing w:val="-3"/>
          <w:sz w:val="21"/>
        </w:rPr>
        <w:t>本基金投资股权分置改革中产生的权证，在任何交易日买入的总金额，不超过上</w:t>
      </w:r>
      <w:r>
        <w:rPr>
          <w:spacing w:val="-2"/>
          <w:sz w:val="21"/>
        </w:rPr>
        <w:t>一交易日基金资产净值的 </w:t>
      </w:r>
      <w:r>
        <w:rPr>
          <w:rFonts w:ascii="Times New Roman" w:eastAsia="Times New Roman"/>
          <w:sz w:val="21"/>
        </w:rPr>
        <w:t>0.5%</w:t>
      </w:r>
      <w:r>
        <w:rPr>
          <w:spacing w:val="-2"/>
          <w:sz w:val="21"/>
        </w:rPr>
        <w:t>，基金持有的全部权证的市值不超过基金资产净值的 </w:t>
      </w:r>
      <w:r>
        <w:rPr>
          <w:rFonts w:ascii="Times New Roman" w:eastAsia="Times New Roman"/>
          <w:spacing w:val="-5"/>
          <w:sz w:val="21"/>
        </w:rPr>
        <w:t>3%</w:t>
      </w:r>
      <w:r>
        <w:rPr>
          <w:spacing w:val="-5"/>
          <w:sz w:val="21"/>
        </w:rPr>
        <w:t>， </w:t>
      </w:r>
      <w:r>
        <w:rPr>
          <w:spacing w:val="1"/>
          <w:sz w:val="21"/>
        </w:rPr>
        <w:t>本公司管理的全部基金持有同一权证的比例不超过该权证的 </w:t>
      </w:r>
      <w:r>
        <w:rPr>
          <w:rFonts w:ascii="Times New Roman" w:eastAsia="Times New Roman"/>
          <w:sz w:val="21"/>
        </w:rPr>
        <w:t>10%</w:t>
      </w:r>
      <w:r>
        <w:rPr>
          <w:spacing w:val="-2"/>
          <w:sz w:val="21"/>
        </w:rPr>
        <w:t>。其它权证的投资比例， </w:t>
      </w:r>
      <w:r>
        <w:rPr>
          <w:spacing w:val="-3"/>
          <w:sz w:val="21"/>
        </w:rPr>
        <w:t>遵从法规或监管部门的相关规定；</w:t>
      </w:r>
    </w:p>
    <w:p>
      <w:pPr>
        <w:pStyle w:val="ListParagraph"/>
        <w:numPr>
          <w:ilvl w:val="0"/>
          <w:numId w:val="56"/>
        </w:numPr>
        <w:tabs>
          <w:tab w:pos="1790" w:val="left" w:leader="none"/>
        </w:tabs>
        <w:spacing w:line="417" w:lineRule="auto" w:before="0" w:after="0"/>
        <w:ind w:left="840" w:right="894" w:firstLine="419"/>
        <w:jc w:val="left"/>
        <w:rPr>
          <w:sz w:val="21"/>
        </w:rPr>
      </w:pPr>
      <w:r>
        <w:rPr>
          <w:spacing w:val="-3"/>
          <w:sz w:val="21"/>
        </w:rPr>
        <w:t>基金财产参与股票发行申购，本基金所申报的金额不得超过本基金的总资产，所申报的股票数量不得超过拟发行股票公司本次发行股票的总量；</w:t>
      </w:r>
    </w:p>
    <w:p>
      <w:pPr>
        <w:pStyle w:val="ListParagraph"/>
        <w:numPr>
          <w:ilvl w:val="0"/>
          <w:numId w:val="56"/>
        </w:numPr>
        <w:tabs>
          <w:tab w:pos="1790" w:val="left" w:leader="none"/>
        </w:tabs>
        <w:spacing w:line="269" w:lineRule="exact" w:before="0" w:after="0"/>
        <w:ind w:left="1789" w:right="0" w:hanging="530"/>
        <w:jc w:val="left"/>
        <w:rPr>
          <w:sz w:val="21"/>
        </w:rPr>
      </w:pPr>
      <w:r>
        <w:rPr>
          <w:spacing w:val="-3"/>
          <w:sz w:val="21"/>
        </w:rPr>
        <w:t>相关法律法规以及监管部门规定的其它投资限制；</w:t>
      </w:r>
    </w:p>
    <w:p>
      <w:pPr>
        <w:pStyle w:val="BodyText"/>
        <w:spacing w:before="6"/>
        <w:rPr>
          <w:sz w:val="15"/>
        </w:rPr>
      </w:pPr>
    </w:p>
    <w:p>
      <w:pPr>
        <w:pStyle w:val="ListParagraph"/>
        <w:numPr>
          <w:ilvl w:val="0"/>
          <w:numId w:val="56"/>
        </w:numPr>
        <w:tabs>
          <w:tab w:pos="1790" w:val="left" w:leader="none"/>
        </w:tabs>
        <w:spacing w:line="417" w:lineRule="auto" w:before="1" w:after="0"/>
        <w:ind w:left="840" w:right="894" w:firstLine="419"/>
        <w:jc w:val="both"/>
        <w:rPr>
          <w:sz w:val="21"/>
        </w:rPr>
      </w:pPr>
      <w:r>
        <w:rPr>
          <w:spacing w:val="2"/>
          <w:sz w:val="21"/>
        </w:rPr>
        <w:t>本基金保持不低于基金资产净值 </w:t>
      </w:r>
      <w:r>
        <w:rPr>
          <w:rFonts w:ascii="Times New Roman" w:eastAsia="Times New Roman"/>
          <w:sz w:val="21"/>
        </w:rPr>
        <w:t>5%</w:t>
      </w:r>
      <w:r>
        <w:rPr>
          <w:spacing w:val="-1"/>
          <w:sz w:val="21"/>
        </w:rPr>
        <w:t>的现金或到期日在一年以内的政府债券，其</w:t>
      </w:r>
      <w:r>
        <w:rPr>
          <w:spacing w:val="-3"/>
          <w:sz w:val="21"/>
        </w:rPr>
        <w:t>中现金不包括结算备付金、存出保证金和应收申购款等；</w:t>
      </w:r>
    </w:p>
    <w:p>
      <w:pPr>
        <w:pStyle w:val="ListParagraph"/>
        <w:numPr>
          <w:ilvl w:val="0"/>
          <w:numId w:val="56"/>
        </w:numPr>
        <w:tabs>
          <w:tab w:pos="1790" w:val="left" w:leader="none"/>
        </w:tabs>
        <w:spacing w:line="417" w:lineRule="auto" w:before="0" w:after="0"/>
        <w:ind w:left="840" w:right="891" w:firstLine="419"/>
        <w:jc w:val="both"/>
        <w:rPr>
          <w:sz w:val="21"/>
        </w:rPr>
      </w:pPr>
      <w:r>
        <w:rPr>
          <w:spacing w:val="-3"/>
          <w:sz w:val="21"/>
        </w:rPr>
        <w:t>本基金管理人管理的全部开放式基金</w:t>
      </w:r>
      <w:r>
        <w:rPr>
          <w:sz w:val="21"/>
        </w:rPr>
        <w:t>（</w:t>
      </w:r>
      <w:r>
        <w:rPr>
          <w:spacing w:val="-3"/>
          <w:sz w:val="21"/>
        </w:rPr>
        <w:t>包括开放式基金以及处于开放期的定期开放基金）</w:t>
      </w:r>
      <w:r>
        <w:rPr>
          <w:spacing w:val="-2"/>
          <w:sz w:val="21"/>
        </w:rPr>
        <w:t>持有一家上市公司发行的可流通股票，不超过该上市公司可流通股票的 </w:t>
      </w:r>
      <w:r>
        <w:rPr>
          <w:rFonts w:ascii="Times New Roman" w:eastAsia="Times New Roman"/>
          <w:sz w:val="21"/>
        </w:rPr>
        <w:t>15</w:t>
      </w:r>
      <w:r>
        <w:rPr>
          <w:sz w:val="21"/>
        </w:rPr>
        <w:t>％；本</w:t>
      </w:r>
      <w:r>
        <w:rPr>
          <w:spacing w:val="-6"/>
          <w:sz w:val="21"/>
        </w:rPr>
        <w:t>基金管理人管理的全部投资组合持有一家上市公司发行的可流通股票，不超过该上市公司可</w:t>
      </w:r>
      <w:r>
        <w:rPr>
          <w:spacing w:val="-13"/>
          <w:sz w:val="21"/>
        </w:rPr>
        <w:t>流通股票的 </w:t>
      </w:r>
      <w:r>
        <w:rPr>
          <w:rFonts w:ascii="Times New Roman" w:eastAsia="Times New Roman"/>
          <w:sz w:val="21"/>
        </w:rPr>
        <w:t>30</w:t>
      </w:r>
      <w:r>
        <w:rPr>
          <w:sz w:val="21"/>
        </w:rPr>
        <w:t>％；</w:t>
      </w:r>
    </w:p>
    <w:p>
      <w:pPr>
        <w:pStyle w:val="ListParagraph"/>
        <w:numPr>
          <w:ilvl w:val="0"/>
          <w:numId w:val="56"/>
        </w:numPr>
        <w:tabs>
          <w:tab w:pos="1787" w:val="left" w:leader="none"/>
        </w:tabs>
        <w:spacing w:line="417" w:lineRule="auto" w:before="0" w:after="0"/>
        <w:ind w:left="840" w:right="891" w:firstLine="419"/>
        <w:jc w:val="both"/>
        <w:rPr>
          <w:sz w:val="21"/>
        </w:rPr>
      </w:pPr>
      <w:r>
        <w:rPr>
          <w:spacing w:val="-4"/>
          <w:sz w:val="21"/>
        </w:rPr>
        <w:t>本基金主动投资于流动性受限资产的市值合计不超过基金资产的 </w:t>
      </w:r>
      <w:r>
        <w:rPr>
          <w:rFonts w:ascii="Times New Roman" w:eastAsia="Times New Roman"/>
          <w:spacing w:val="-3"/>
          <w:sz w:val="21"/>
        </w:rPr>
        <w:t>15%</w:t>
      </w:r>
      <w:r>
        <w:rPr>
          <w:spacing w:val="-3"/>
          <w:sz w:val="21"/>
        </w:rPr>
        <w:t>；因证券市</w:t>
      </w:r>
      <w:r>
        <w:rPr>
          <w:spacing w:val="-12"/>
          <w:sz w:val="21"/>
        </w:rPr>
        <w:t>场波动、上市公司股票停牌、基金规模变动等基金管理人之外的因素致使基金不符合本项所</w:t>
      </w:r>
      <w:r>
        <w:rPr>
          <w:spacing w:val="-6"/>
          <w:sz w:val="21"/>
        </w:rPr>
        <w:t>规定的比例限制的，基金管理人不得主动新增流动性受限资产的投资；</w:t>
      </w:r>
    </w:p>
    <w:p>
      <w:pPr>
        <w:pStyle w:val="ListParagraph"/>
        <w:numPr>
          <w:ilvl w:val="0"/>
          <w:numId w:val="56"/>
        </w:numPr>
        <w:tabs>
          <w:tab w:pos="1893" w:val="left" w:leader="none"/>
        </w:tabs>
        <w:spacing w:line="417" w:lineRule="auto" w:before="0" w:after="0"/>
        <w:ind w:left="840" w:right="891" w:firstLine="419"/>
        <w:jc w:val="left"/>
        <w:rPr>
          <w:sz w:val="21"/>
        </w:rPr>
      </w:pPr>
      <w:r>
        <w:rPr>
          <w:spacing w:val="-3"/>
          <w:sz w:val="21"/>
        </w:rPr>
        <w:t>本基金与私募类证券资管产品及中国证监会认定的其他主体为交易对手开展逆回购交易的，可接受质押品的资质要求应当与投资范围保持一致；</w:t>
      </w:r>
    </w:p>
    <w:p>
      <w:pPr>
        <w:pStyle w:val="ListParagraph"/>
        <w:numPr>
          <w:ilvl w:val="0"/>
          <w:numId w:val="56"/>
        </w:numPr>
        <w:tabs>
          <w:tab w:pos="1886" w:val="left" w:leader="none"/>
        </w:tabs>
        <w:spacing w:line="417" w:lineRule="auto" w:before="0" w:after="0"/>
        <w:ind w:left="840" w:right="89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56"/>
        </w:numPr>
        <w:tabs>
          <w:tab w:pos="1895" w:val="left" w:leader="none"/>
        </w:tabs>
        <w:spacing w:line="269" w:lineRule="exact" w:before="0" w:after="0"/>
        <w:ind w:left="1895" w:right="0" w:hanging="635"/>
        <w:jc w:val="left"/>
        <w:rPr>
          <w:sz w:val="21"/>
        </w:rPr>
      </w:pPr>
      <w:r>
        <w:rPr>
          <w:spacing w:val="-3"/>
          <w:sz w:val="21"/>
        </w:rPr>
        <w:t>法律法规或监管部门取消上述限制，本基金不受上述限制。</w:t>
      </w:r>
    </w:p>
    <w:p>
      <w:pPr>
        <w:pStyle w:val="BodyText"/>
        <w:spacing w:line="417" w:lineRule="auto" w:before="198"/>
        <w:ind w:left="840" w:right="891" w:firstLine="419"/>
        <w:jc w:val="both"/>
      </w:pPr>
      <w:r>
        <w:rPr>
          <w:spacing w:val="-5"/>
          <w:w w:val="100"/>
        </w:rPr>
        <w:t>除上述第</w:t>
      </w:r>
      <w:r>
        <w:rPr>
          <w:w w:val="100"/>
        </w:rPr>
        <w:t>（</w:t>
      </w:r>
      <w:r>
        <w:rPr>
          <w:rFonts w:ascii="Times New Roman" w:eastAsia="Times New Roman"/>
          <w:w w:val="100"/>
        </w:rPr>
        <w:t>7</w:t>
      </w:r>
      <w:r>
        <w:rPr>
          <w:spacing w:val="-108"/>
          <w:w w:val="100"/>
        </w:rPr>
        <w:t>）</w:t>
      </w:r>
      <w:r>
        <w:rPr>
          <w:spacing w:val="-123"/>
          <w:w w:val="100"/>
        </w:rPr>
        <w:t>、</w:t>
      </w:r>
      <w:r>
        <w:rPr>
          <w:w w:val="100"/>
        </w:rPr>
        <w:t>（</w:t>
      </w:r>
      <w:r>
        <w:rPr>
          <w:rFonts w:ascii="Times New Roman" w:eastAsia="Times New Roman"/>
          <w:w w:val="100"/>
        </w:rPr>
        <w:t>9</w:t>
      </w:r>
      <w:r>
        <w:rPr>
          <w:spacing w:val="-106"/>
          <w:w w:val="100"/>
        </w:rPr>
        <w:t>）</w:t>
      </w:r>
      <w:r>
        <w:rPr>
          <w:spacing w:val="-125"/>
          <w:w w:val="100"/>
        </w:rPr>
        <w:t>、</w:t>
      </w:r>
      <w:r>
        <w:rPr>
          <w:w w:val="100"/>
        </w:rPr>
        <w:t>（</w:t>
      </w:r>
      <w:r>
        <w:rPr>
          <w:rFonts w:ascii="Times New Roman" w:eastAsia="Times New Roman"/>
          <w:w w:val="100"/>
        </w:rPr>
        <w:t>1</w:t>
      </w:r>
      <w:r>
        <w:rPr>
          <w:rFonts w:ascii="Times New Roman" w:eastAsia="Times New Roman"/>
          <w:spacing w:val="-3"/>
          <w:w w:val="100"/>
        </w:rPr>
        <w:t>0</w:t>
      </w:r>
      <w:r>
        <w:rPr>
          <w:spacing w:val="-17"/>
          <w:w w:val="100"/>
        </w:rPr>
        <w:t>）</w:t>
      </w:r>
      <w:r>
        <w:rPr>
          <w:spacing w:val="-6"/>
          <w:w w:val="100"/>
        </w:rPr>
        <w:t>项外，由于证券市场波动、上市公司合并或基金规模变动等</w:t>
      </w:r>
      <w:r>
        <w:rPr>
          <w:spacing w:val="-7"/>
        </w:rPr>
        <w:t>基金管理人之外的原因导致的投资组合不符合上述约定的比例不在限制之内，但基金管理人应在 </w:t>
      </w:r>
      <w:r>
        <w:rPr>
          <w:rFonts w:ascii="Times New Roman" w:eastAsia="Times New Roman"/>
          <w:spacing w:val="-7"/>
        </w:rPr>
        <w:t>10 </w:t>
      </w:r>
      <w:r>
        <w:rPr>
          <w:spacing w:val="-3"/>
        </w:rPr>
        <w:t>个交易日内进行调整，以达到标准。</w:t>
      </w:r>
    </w:p>
    <w:p>
      <w:pPr>
        <w:pStyle w:val="BodyText"/>
        <w:rPr>
          <w:sz w:val="22"/>
        </w:rPr>
      </w:pPr>
    </w:p>
    <w:p>
      <w:pPr>
        <w:pStyle w:val="Heading4"/>
        <w:spacing w:before="186"/>
      </w:pPr>
      <w:r>
        <w:rPr/>
        <w:t>六、基金资产净值的计算方法和公告方式</w:t>
      </w:r>
    </w:p>
    <w:p>
      <w:pPr>
        <w:pStyle w:val="BodyText"/>
        <w:spacing w:before="6"/>
        <w:rPr>
          <w:b/>
          <w:sz w:val="15"/>
        </w:rPr>
      </w:pPr>
    </w:p>
    <w:p>
      <w:pPr>
        <w:pStyle w:val="BodyText"/>
        <w:ind w:left="1260"/>
      </w:pPr>
      <w:r>
        <w:rPr/>
        <w:t>基金资产净值是指基金资产总值减去基金负债后的价值。</w:t>
      </w:r>
    </w:p>
    <w:p>
      <w:pPr>
        <w:spacing w:after="0"/>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firstLine="419"/>
      </w:pPr>
      <w:r>
        <w:rPr>
          <w:spacing w:val="-11"/>
        </w:rPr>
        <w:t>基金合同生效后，在开始办理基金份额申购或者赎回前，基金管理人应当至少每周在指</w:t>
      </w:r>
      <w:r>
        <w:rPr>
          <w:spacing w:val="-6"/>
        </w:rPr>
        <w:t>定网站披露一次基金份额净值和基金份额累计净值。</w:t>
      </w:r>
    </w:p>
    <w:p>
      <w:pPr>
        <w:pStyle w:val="BodyText"/>
        <w:spacing w:line="417" w:lineRule="auto"/>
        <w:ind w:left="840" w:right="891" w:firstLine="419"/>
        <w:jc w:val="both"/>
      </w:pPr>
      <w:r>
        <w:rPr>
          <w:spacing w:val="-8"/>
        </w:rPr>
        <w:t>在开始办理基金份额申购或者赎回后，基金管理人应当在不晚于每个开放日的次日，通</w:t>
      </w:r>
      <w:r>
        <w:rPr>
          <w:spacing w:val="-13"/>
        </w:rPr>
        <w:t>过指定网站、基金销售机构网站或者营业网点披露开放日的基金份额净值和基金份额累计净值。</w:t>
      </w:r>
    </w:p>
    <w:p>
      <w:pPr>
        <w:pStyle w:val="BodyText"/>
        <w:spacing w:line="417" w:lineRule="auto"/>
        <w:ind w:left="840" w:right="89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rPr>
          <w:sz w:val="20"/>
        </w:rPr>
      </w:pPr>
    </w:p>
    <w:p>
      <w:pPr>
        <w:pStyle w:val="BodyText"/>
        <w:spacing w:before="6"/>
        <w:rPr>
          <w:sz w:val="16"/>
        </w:rPr>
      </w:pPr>
    </w:p>
    <w:p>
      <w:pPr>
        <w:pStyle w:val="Heading4"/>
        <w:spacing w:before="1"/>
      </w:pPr>
      <w:r>
        <w:rPr/>
        <w:t>七、基金合同解除和终止的事由、程序以及基金财产的清算方式</w:t>
      </w:r>
    </w:p>
    <w:p>
      <w:pPr>
        <w:pStyle w:val="BodyText"/>
        <w:spacing w:before="6"/>
        <w:rPr>
          <w:b/>
          <w:sz w:val="15"/>
        </w:rPr>
      </w:pPr>
    </w:p>
    <w:p>
      <w:pPr>
        <w:pStyle w:val="BodyText"/>
        <w:ind w:left="840"/>
      </w:pPr>
      <w:r>
        <w:rPr/>
        <w:t>（一</w:t>
      </w:r>
      <w:r>
        <w:rPr>
          <w:spacing w:val="-108"/>
        </w:rPr>
        <w:t>）</w:t>
      </w:r>
      <w:r>
        <w:rPr>
          <w:spacing w:val="-3"/>
        </w:rPr>
        <w:t>《基金合同》的变更</w:t>
      </w:r>
    </w:p>
    <w:p>
      <w:pPr>
        <w:pStyle w:val="BodyText"/>
        <w:spacing w:before="7"/>
        <w:rPr>
          <w:sz w:val="15"/>
        </w:rPr>
      </w:pPr>
    </w:p>
    <w:p>
      <w:pPr>
        <w:pStyle w:val="BodyText"/>
        <w:ind w:left="1260"/>
      </w:pPr>
      <w:r>
        <w:rPr>
          <w:rFonts w:ascii="Times New Roman" w:eastAsia="Times New Roman"/>
        </w:rPr>
        <w:t>1</w:t>
      </w:r>
      <w:r>
        <w:rPr/>
        <w:t>、以下变更基金合同的事项应经基金份额持有人大会决议通过：</w:t>
      </w:r>
    </w:p>
    <w:p>
      <w:pPr>
        <w:pStyle w:val="BodyText"/>
        <w:spacing w:before="7"/>
        <w:rPr>
          <w:sz w:val="15"/>
        </w:rPr>
      </w:pPr>
    </w:p>
    <w:p>
      <w:pPr>
        <w:pStyle w:val="ListParagraph"/>
        <w:numPr>
          <w:ilvl w:val="0"/>
          <w:numId w:val="57"/>
        </w:numPr>
        <w:tabs>
          <w:tab w:pos="1790" w:val="left" w:leader="none"/>
        </w:tabs>
        <w:spacing w:line="240" w:lineRule="auto" w:before="0" w:after="0"/>
        <w:ind w:left="1789" w:right="0" w:hanging="530"/>
        <w:jc w:val="left"/>
        <w:rPr>
          <w:sz w:val="21"/>
        </w:rPr>
      </w:pPr>
      <w:r>
        <w:rPr>
          <w:spacing w:val="-15"/>
          <w:sz w:val="21"/>
        </w:rPr>
        <w:t>终止《基金合同》；</w:t>
      </w:r>
    </w:p>
    <w:p>
      <w:pPr>
        <w:pStyle w:val="BodyText"/>
        <w:spacing w:before="6"/>
        <w:rPr>
          <w:sz w:val="15"/>
        </w:rPr>
      </w:pPr>
    </w:p>
    <w:p>
      <w:pPr>
        <w:pStyle w:val="ListParagraph"/>
        <w:numPr>
          <w:ilvl w:val="0"/>
          <w:numId w:val="57"/>
        </w:numPr>
        <w:tabs>
          <w:tab w:pos="1790" w:val="left" w:leader="none"/>
        </w:tabs>
        <w:spacing w:line="240" w:lineRule="auto" w:before="1" w:after="0"/>
        <w:ind w:left="1789" w:right="0" w:hanging="530"/>
        <w:jc w:val="left"/>
        <w:rPr>
          <w:sz w:val="21"/>
        </w:rPr>
      </w:pPr>
      <w:r>
        <w:rPr>
          <w:spacing w:val="-3"/>
          <w:sz w:val="21"/>
        </w:rPr>
        <w:t>更换基金管理人；</w:t>
      </w:r>
    </w:p>
    <w:p>
      <w:pPr>
        <w:pStyle w:val="BodyText"/>
        <w:spacing w:before="6"/>
        <w:rPr>
          <w:sz w:val="15"/>
        </w:rPr>
      </w:pPr>
    </w:p>
    <w:p>
      <w:pPr>
        <w:pStyle w:val="ListParagraph"/>
        <w:numPr>
          <w:ilvl w:val="0"/>
          <w:numId w:val="57"/>
        </w:numPr>
        <w:tabs>
          <w:tab w:pos="1790" w:val="left" w:leader="none"/>
        </w:tabs>
        <w:spacing w:line="240" w:lineRule="auto" w:before="0" w:after="0"/>
        <w:ind w:left="1789" w:right="0" w:hanging="530"/>
        <w:jc w:val="left"/>
        <w:rPr>
          <w:sz w:val="21"/>
        </w:rPr>
      </w:pPr>
      <w:r>
        <w:rPr>
          <w:spacing w:val="-3"/>
          <w:sz w:val="21"/>
        </w:rPr>
        <w:t>更换基金托管人；</w:t>
      </w:r>
    </w:p>
    <w:p>
      <w:pPr>
        <w:pStyle w:val="BodyText"/>
        <w:spacing w:before="7"/>
        <w:rPr>
          <w:sz w:val="15"/>
        </w:rPr>
      </w:pPr>
    </w:p>
    <w:p>
      <w:pPr>
        <w:pStyle w:val="ListParagraph"/>
        <w:numPr>
          <w:ilvl w:val="0"/>
          <w:numId w:val="57"/>
        </w:numPr>
        <w:tabs>
          <w:tab w:pos="1790" w:val="left" w:leader="none"/>
        </w:tabs>
        <w:spacing w:line="240" w:lineRule="auto" w:before="0" w:after="0"/>
        <w:ind w:left="1789" w:right="0" w:hanging="530"/>
        <w:jc w:val="left"/>
        <w:rPr>
          <w:sz w:val="21"/>
        </w:rPr>
      </w:pPr>
      <w:r>
        <w:rPr>
          <w:spacing w:val="-3"/>
          <w:sz w:val="21"/>
        </w:rPr>
        <w:t>转换基金运作方式；</w:t>
      </w:r>
    </w:p>
    <w:p>
      <w:pPr>
        <w:pStyle w:val="BodyText"/>
        <w:spacing w:before="7"/>
        <w:rPr>
          <w:sz w:val="15"/>
        </w:rPr>
      </w:pPr>
    </w:p>
    <w:p>
      <w:pPr>
        <w:pStyle w:val="ListParagraph"/>
        <w:numPr>
          <w:ilvl w:val="0"/>
          <w:numId w:val="57"/>
        </w:numPr>
        <w:tabs>
          <w:tab w:pos="1790" w:val="left" w:leader="none"/>
        </w:tabs>
        <w:spacing w:line="240" w:lineRule="auto" w:before="0" w:after="0"/>
        <w:ind w:left="1789" w:right="0" w:hanging="530"/>
        <w:jc w:val="left"/>
        <w:rPr>
          <w:sz w:val="21"/>
        </w:rPr>
      </w:pPr>
      <w:r>
        <w:rPr>
          <w:spacing w:val="-3"/>
          <w:sz w:val="21"/>
        </w:rPr>
        <w:t>提高基金管理人、基金托管人的报酬标准；</w:t>
      </w:r>
    </w:p>
    <w:p>
      <w:pPr>
        <w:pStyle w:val="BodyText"/>
        <w:spacing w:before="7"/>
        <w:rPr>
          <w:sz w:val="15"/>
        </w:rPr>
      </w:pPr>
    </w:p>
    <w:p>
      <w:pPr>
        <w:pStyle w:val="ListParagraph"/>
        <w:numPr>
          <w:ilvl w:val="0"/>
          <w:numId w:val="57"/>
        </w:numPr>
        <w:tabs>
          <w:tab w:pos="1790" w:val="left" w:leader="none"/>
        </w:tabs>
        <w:spacing w:line="240" w:lineRule="auto" w:before="0" w:after="0"/>
        <w:ind w:left="1789" w:right="0" w:hanging="530"/>
        <w:jc w:val="left"/>
        <w:rPr>
          <w:sz w:val="21"/>
        </w:rPr>
      </w:pPr>
      <w:r>
        <w:rPr>
          <w:spacing w:val="-3"/>
          <w:sz w:val="21"/>
        </w:rPr>
        <w:t>变更基金类别；</w:t>
      </w:r>
    </w:p>
    <w:p>
      <w:pPr>
        <w:pStyle w:val="BodyText"/>
        <w:spacing w:before="6"/>
        <w:rPr>
          <w:sz w:val="15"/>
        </w:rPr>
      </w:pPr>
    </w:p>
    <w:p>
      <w:pPr>
        <w:pStyle w:val="ListParagraph"/>
        <w:numPr>
          <w:ilvl w:val="0"/>
          <w:numId w:val="57"/>
        </w:numPr>
        <w:tabs>
          <w:tab w:pos="1790" w:val="left" w:leader="none"/>
        </w:tabs>
        <w:spacing w:line="240" w:lineRule="auto" w:before="1" w:after="0"/>
        <w:ind w:left="1789" w:right="0" w:hanging="530"/>
        <w:jc w:val="left"/>
        <w:rPr>
          <w:sz w:val="21"/>
        </w:rPr>
      </w:pPr>
      <w:r>
        <w:rPr>
          <w:spacing w:val="-3"/>
          <w:sz w:val="21"/>
        </w:rPr>
        <w:t>变更基金投资目标、范围或策略；</w:t>
      </w:r>
    </w:p>
    <w:p>
      <w:pPr>
        <w:pStyle w:val="BodyText"/>
        <w:spacing w:before="6"/>
        <w:rPr>
          <w:sz w:val="15"/>
        </w:rPr>
      </w:pPr>
    </w:p>
    <w:p>
      <w:pPr>
        <w:pStyle w:val="ListParagraph"/>
        <w:numPr>
          <w:ilvl w:val="0"/>
          <w:numId w:val="57"/>
        </w:numPr>
        <w:tabs>
          <w:tab w:pos="1790" w:val="left" w:leader="none"/>
        </w:tabs>
        <w:spacing w:line="240" w:lineRule="auto" w:before="0" w:after="0"/>
        <w:ind w:left="1789" w:right="0" w:hanging="530"/>
        <w:jc w:val="left"/>
        <w:rPr>
          <w:sz w:val="21"/>
        </w:rPr>
      </w:pPr>
      <w:r>
        <w:rPr>
          <w:spacing w:val="-3"/>
          <w:sz w:val="21"/>
        </w:rPr>
        <w:t>变更基金份额持有人大会程序；</w:t>
      </w:r>
    </w:p>
    <w:p>
      <w:pPr>
        <w:pStyle w:val="BodyText"/>
        <w:spacing w:before="7"/>
        <w:rPr>
          <w:sz w:val="15"/>
        </w:rPr>
      </w:pPr>
    </w:p>
    <w:p>
      <w:pPr>
        <w:pStyle w:val="ListParagraph"/>
        <w:numPr>
          <w:ilvl w:val="0"/>
          <w:numId w:val="57"/>
        </w:numPr>
        <w:tabs>
          <w:tab w:pos="1790" w:val="left" w:leader="none"/>
        </w:tabs>
        <w:spacing w:line="240" w:lineRule="auto" w:before="0" w:after="0"/>
        <w:ind w:left="1789" w:right="0" w:hanging="530"/>
        <w:jc w:val="left"/>
        <w:rPr>
          <w:sz w:val="21"/>
        </w:rPr>
      </w:pPr>
      <w:r>
        <w:rPr>
          <w:spacing w:val="-3"/>
          <w:sz w:val="21"/>
        </w:rPr>
        <w:t>对基金当事人权利和义务产生重大影响的事项；</w:t>
      </w:r>
    </w:p>
    <w:p>
      <w:pPr>
        <w:pStyle w:val="BodyText"/>
        <w:spacing w:before="7"/>
        <w:rPr>
          <w:sz w:val="15"/>
        </w:rPr>
      </w:pPr>
    </w:p>
    <w:p>
      <w:pPr>
        <w:pStyle w:val="BodyText"/>
        <w:spacing w:line="417" w:lineRule="auto"/>
        <w:ind w:left="840" w:right="891" w:firstLine="419"/>
        <w:jc w:val="both"/>
      </w:pPr>
      <w:r>
        <w:rPr>
          <w:rFonts w:ascii="Times New Roman" w:eastAsia="Times New Roman"/>
        </w:rPr>
        <w:t>2</w:t>
      </w:r>
      <w:r>
        <w:rPr>
          <w:spacing w:val="-3"/>
        </w:rPr>
        <w:t>、基金合同变更的内容对基金合同当事人权利、义务产生重大影响的，应经基金份额</w:t>
      </w:r>
      <w:r>
        <w:rPr>
          <w:spacing w:val="-9"/>
        </w:rPr>
        <w:t>持有人大会决议同意，并报中国证监会核准或备案。但如因相应的法律、法规发生变动并属</w:t>
      </w:r>
      <w:r>
        <w:rPr>
          <w:spacing w:val="-10"/>
        </w:rPr>
        <w:t>于基金合同必须遵照进行修改的情形，或者基金合同另有规定的，可不经基金份额持有人大</w:t>
      </w:r>
      <w:r>
        <w:rPr>
          <w:spacing w:val="-5"/>
        </w:rPr>
        <w:t>会决议，而经基金管理人和基金托管人同意后修改，并报证监会备案。</w:t>
      </w:r>
    </w:p>
    <w:p>
      <w:pPr>
        <w:pStyle w:val="BodyText"/>
        <w:spacing w:line="417" w:lineRule="auto"/>
        <w:ind w:left="840" w:right="894" w:firstLine="419"/>
      </w:pPr>
      <w:r>
        <w:rPr>
          <w:rFonts w:ascii="Times New Roman" w:eastAsia="Times New Roman"/>
        </w:rPr>
        <w:t>3</w:t>
      </w:r>
      <w:r>
        <w:rPr/>
        <w:t>、依现行有效的有关法律法规，对《基金合同》的变更自中国证监会核准或出具无异议意见之日起生效。</w:t>
      </w:r>
    </w:p>
    <w:p>
      <w:pPr>
        <w:pStyle w:val="BodyText"/>
        <w:spacing w:line="417" w:lineRule="auto"/>
        <w:ind w:left="840" w:right="891" w:firstLine="419"/>
        <w:jc w:val="both"/>
      </w:pPr>
      <w:r>
        <w:rPr>
          <w:rFonts w:ascii="Times New Roman" w:eastAsia="Times New Roman"/>
        </w:rPr>
        <w:t>4</w:t>
      </w:r>
      <w:r>
        <w:rPr>
          <w:spacing w:val="-6"/>
        </w:rPr>
        <w:t>、除依本《基金合同》和</w:t>
      </w:r>
      <w:r>
        <w:rPr>
          <w:rFonts w:ascii="Times New Roman" w:eastAsia="Times New Roman"/>
        </w:rPr>
        <w:t>/</w:t>
      </w:r>
      <w:r>
        <w:rPr>
          <w:spacing w:val="-6"/>
        </w:rPr>
        <w:t>或依现行有效的有关法律法规，对《基金合同》的变更须基金份额持有人大会决议通过和</w:t>
      </w:r>
      <w:r>
        <w:rPr>
          <w:rFonts w:ascii="Times New Roman" w:eastAsia="Times New Roman"/>
        </w:rPr>
        <w:t>/</w:t>
      </w:r>
      <w:r>
        <w:rPr/>
        <w:t>或须报中国证监会核准以外的情形，经基金管理人和基金托</w:t>
      </w:r>
      <w:r>
        <w:rPr>
          <w:spacing w:val="-3"/>
        </w:rPr>
        <w:t>管人同意可对《基金合同》进行变更后公布，并报中国证监会备案。</w:t>
      </w:r>
    </w:p>
    <w:p>
      <w:pPr>
        <w:pStyle w:val="BodyText"/>
        <w:ind w:left="840"/>
      </w:pPr>
      <w:r>
        <w:rPr/>
        <w:t>（二</w:t>
      </w:r>
      <w:r>
        <w:rPr>
          <w:spacing w:val="-108"/>
        </w:rPr>
        <w:t>）</w:t>
      </w:r>
      <w:r>
        <w:rPr>
          <w:spacing w:val="-3"/>
        </w:rPr>
        <w:t>《基金合同》的终止</w:t>
      </w:r>
    </w:p>
    <w:p>
      <w:pPr>
        <w:spacing w:after="0"/>
        <w:sectPr>
          <w:pgSz w:w="11910" w:h="16840"/>
          <w:pgMar w:header="877" w:footer="995" w:top="1100" w:bottom="1180" w:left="960" w:right="900"/>
        </w:sectPr>
      </w:pPr>
    </w:p>
    <w:p>
      <w:pPr>
        <w:pStyle w:val="BodyText"/>
        <w:spacing w:before="4"/>
        <w:rPr>
          <w:sz w:val="27"/>
        </w:rPr>
      </w:pPr>
    </w:p>
    <w:p>
      <w:pPr>
        <w:pStyle w:val="BodyText"/>
        <w:spacing w:before="71"/>
        <w:ind w:left="1260"/>
      </w:pPr>
      <w:r>
        <w:rPr/>
        <w:t>有下列情形之一的，基金合同应当终止：</w:t>
      </w:r>
    </w:p>
    <w:p>
      <w:pPr>
        <w:pStyle w:val="BodyText"/>
        <w:spacing w:before="7"/>
        <w:rPr>
          <w:sz w:val="15"/>
        </w:rPr>
      </w:pPr>
    </w:p>
    <w:p>
      <w:pPr>
        <w:pStyle w:val="BodyText"/>
        <w:ind w:left="126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840" w:right="83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1260"/>
      </w:pPr>
      <w:r>
        <w:rPr>
          <w:rFonts w:ascii="Times New Roman" w:eastAsia="Times New Roman"/>
        </w:rPr>
        <w:t>3</w:t>
      </w:r>
      <w:r>
        <w:rPr/>
        <w:t>、《基金合同》约定的其他情形；</w:t>
      </w:r>
    </w:p>
    <w:p>
      <w:pPr>
        <w:pStyle w:val="BodyText"/>
        <w:spacing w:before="6"/>
        <w:rPr>
          <w:sz w:val="15"/>
        </w:rPr>
      </w:pPr>
    </w:p>
    <w:p>
      <w:pPr>
        <w:pStyle w:val="BodyText"/>
        <w:spacing w:before="1"/>
        <w:ind w:left="1260"/>
      </w:pPr>
      <w:r>
        <w:rPr>
          <w:rFonts w:ascii="Times New Roman" w:eastAsia="Times New Roman"/>
        </w:rPr>
        <w:t>4</w:t>
      </w:r>
      <w:r>
        <w:rPr/>
        <w:t>、相关法律法规和中国证监会规定的其他情况。</w:t>
      </w:r>
    </w:p>
    <w:p>
      <w:pPr>
        <w:pStyle w:val="BodyText"/>
        <w:spacing w:before="6"/>
        <w:rPr>
          <w:sz w:val="15"/>
        </w:rPr>
      </w:pPr>
    </w:p>
    <w:p>
      <w:pPr>
        <w:pStyle w:val="BodyText"/>
        <w:ind w:left="840"/>
      </w:pPr>
      <w:r>
        <w:rPr/>
        <w:t>（三）基金财产的清算</w:t>
      </w:r>
    </w:p>
    <w:p>
      <w:pPr>
        <w:pStyle w:val="BodyText"/>
        <w:spacing w:before="8"/>
        <w:rPr>
          <w:sz w:val="15"/>
        </w:rPr>
      </w:pPr>
    </w:p>
    <w:p>
      <w:pPr>
        <w:pStyle w:val="BodyText"/>
        <w:spacing w:line="417" w:lineRule="auto"/>
        <w:ind w:left="840" w:right="800" w:firstLine="419"/>
        <w:jc w:val="both"/>
      </w:pPr>
      <w:r>
        <w:rPr>
          <w:rFonts w:ascii="Times New Roman" w:eastAsia="Times New Roman"/>
        </w:rPr>
        <w:t>1</w:t>
      </w:r>
      <w:r>
        <w:rPr>
          <w:spacing w:val="-5"/>
        </w:rPr>
        <w:t>、基金财产清算小组：自出现基金合同终止事由之日起 </w:t>
      </w:r>
      <w:r>
        <w:rPr>
          <w:rFonts w:ascii="Times New Roman" w:eastAsia="Times New Roman"/>
        </w:rPr>
        <w:t>30 </w:t>
      </w:r>
      <w:r>
        <w:rPr>
          <w:spacing w:val="-3"/>
        </w:rPr>
        <w:t>个工作日内成立清算小组， 基金管理人组织基金财产清算小组并在中国证监会的监督下进行基金清算。</w:t>
      </w:r>
    </w:p>
    <w:p>
      <w:pPr>
        <w:pStyle w:val="BodyText"/>
        <w:spacing w:line="417" w:lineRule="auto"/>
        <w:ind w:left="840" w:right="891" w:firstLine="419"/>
        <w:jc w:val="both"/>
      </w:pPr>
      <w:r>
        <w:rPr>
          <w:rFonts w:ascii="Times New Roman" w:eastAsia="Times New Roman"/>
        </w:rPr>
        <w:t>2</w:t>
      </w:r>
      <w:r>
        <w:rPr>
          <w:spacing w:val="-3"/>
        </w:rPr>
        <w:t>、基金财产清算小组组成：基金财产清算小组成员由基金管理人、基金托管人、具有</w:t>
      </w:r>
      <w:r>
        <w:rPr>
          <w:spacing w:val="-10"/>
        </w:rPr>
        <w:t>从事证券、期货相关业务资格的注册会计师、律师以及中国证监会指定的人员组成。基金财</w:t>
      </w:r>
      <w:r>
        <w:rPr>
          <w:spacing w:val="-5"/>
        </w:rPr>
        <w:t>产清算小组可以聘用必要的工作人员。</w:t>
      </w:r>
    </w:p>
    <w:p>
      <w:pPr>
        <w:pStyle w:val="BodyText"/>
        <w:spacing w:line="417" w:lineRule="auto"/>
        <w:ind w:left="840" w:right="893"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1260"/>
      </w:pPr>
      <w:r>
        <w:rPr>
          <w:rFonts w:ascii="Times New Roman" w:eastAsia="Times New Roman"/>
        </w:rPr>
        <w:t>4</w:t>
      </w:r>
      <w:r>
        <w:rPr/>
        <w:t>、基金财产清算程序：</w:t>
      </w:r>
    </w:p>
    <w:p>
      <w:pPr>
        <w:pStyle w:val="BodyText"/>
        <w:spacing w:before="5"/>
        <w:rPr>
          <w:sz w:val="15"/>
        </w:rPr>
      </w:pPr>
    </w:p>
    <w:p>
      <w:pPr>
        <w:pStyle w:val="ListParagraph"/>
        <w:numPr>
          <w:ilvl w:val="0"/>
          <w:numId w:val="58"/>
        </w:numPr>
        <w:tabs>
          <w:tab w:pos="1790" w:val="left" w:leader="none"/>
        </w:tabs>
        <w:spacing w:line="240" w:lineRule="auto" w:before="1" w:after="0"/>
        <w:ind w:left="1789" w:right="0" w:hanging="530"/>
        <w:jc w:val="left"/>
        <w:rPr>
          <w:sz w:val="21"/>
        </w:rPr>
      </w:pPr>
      <w:r>
        <w:rPr>
          <w:spacing w:val="-3"/>
          <w:sz w:val="21"/>
        </w:rPr>
        <w:t>基金合同终止后，由基金财产清算小组统一接管基金；</w:t>
      </w:r>
    </w:p>
    <w:p>
      <w:pPr>
        <w:pStyle w:val="BodyText"/>
        <w:spacing w:before="6"/>
        <w:rPr>
          <w:sz w:val="15"/>
        </w:rPr>
      </w:pPr>
    </w:p>
    <w:p>
      <w:pPr>
        <w:pStyle w:val="ListParagraph"/>
        <w:numPr>
          <w:ilvl w:val="0"/>
          <w:numId w:val="58"/>
        </w:numPr>
        <w:tabs>
          <w:tab w:pos="1790" w:val="left" w:leader="none"/>
        </w:tabs>
        <w:spacing w:line="240" w:lineRule="auto" w:before="0" w:after="0"/>
        <w:ind w:left="178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58"/>
        </w:numPr>
        <w:tabs>
          <w:tab w:pos="1790" w:val="left" w:leader="none"/>
        </w:tabs>
        <w:spacing w:line="240" w:lineRule="auto" w:before="0" w:after="0"/>
        <w:ind w:left="178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58"/>
        </w:numPr>
        <w:tabs>
          <w:tab w:pos="1790" w:val="left" w:leader="none"/>
        </w:tabs>
        <w:spacing w:line="240" w:lineRule="auto" w:before="0" w:after="0"/>
        <w:ind w:left="1789" w:right="0" w:hanging="530"/>
        <w:jc w:val="left"/>
        <w:rPr>
          <w:sz w:val="21"/>
        </w:rPr>
      </w:pPr>
      <w:r>
        <w:rPr>
          <w:spacing w:val="-3"/>
          <w:sz w:val="21"/>
        </w:rPr>
        <w:t>对基金财产进行分配；</w:t>
      </w:r>
    </w:p>
    <w:p>
      <w:pPr>
        <w:pStyle w:val="BodyText"/>
        <w:spacing w:before="6"/>
        <w:rPr>
          <w:sz w:val="15"/>
        </w:rPr>
      </w:pPr>
    </w:p>
    <w:p>
      <w:pPr>
        <w:pStyle w:val="ListParagraph"/>
        <w:numPr>
          <w:ilvl w:val="0"/>
          <w:numId w:val="58"/>
        </w:numPr>
        <w:tabs>
          <w:tab w:pos="1790" w:val="left" w:leader="none"/>
        </w:tabs>
        <w:spacing w:line="240" w:lineRule="auto" w:before="1" w:after="0"/>
        <w:ind w:left="1789" w:right="0" w:hanging="530"/>
        <w:jc w:val="left"/>
        <w:rPr>
          <w:sz w:val="21"/>
        </w:rPr>
      </w:pPr>
      <w:r>
        <w:rPr>
          <w:spacing w:val="-3"/>
          <w:sz w:val="21"/>
        </w:rPr>
        <w:t>制作清算报告；</w:t>
      </w:r>
    </w:p>
    <w:p>
      <w:pPr>
        <w:pStyle w:val="BodyText"/>
        <w:spacing w:before="6"/>
        <w:rPr>
          <w:sz w:val="15"/>
        </w:rPr>
      </w:pPr>
    </w:p>
    <w:p>
      <w:pPr>
        <w:pStyle w:val="ListParagraph"/>
        <w:numPr>
          <w:ilvl w:val="0"/>
          <w:numId w:val="58"/>
        </w:numPr>
        <w:tabs>
          <w:tab w:pos="1790" w:val="left" w:leader="none"/>
        </w:tabs>
        <w:spacing w:line="417" w:lineRule="auto" w:before="0" w:after="0"/>
        <w:ind w:left="840" w:right="89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8"/>
        </w:numPr>
        <w:tabs>
          <w:tab w:pos="1790" w:val="left" w:leader="none"/>
        </w:tabs>
        <w:spacing w:line="240" w:lineRule="auto" w:before="1" w:after="0"/>
        <w:ind w:left="1789" w:right="0" w:hanging="530"/>
        <w:jc w:val="left"/>
        <w:rPr>
          <w:sz w:val="21"/>
        </w:rPr>
      </w:pPr>
      <w:r>
        <w:rPr>
          <w:spacing w:val="-3"/>
          <w:sz w:val="21"/>
        </w:rPr>
        <w:t>将清算报告报中国证监会备案并公告。</w:t>
      </w:r>
    </w:p>
    <w:p>
      <w:pPr>
        <w:pStyle w:val="BodyText"/>
        <w:spacing w:before="6"/>
        <w:rPr>
          <w:sz w:val="15"/>
        </w:rPr>
      </w:pPr>
    </w:p>
    <w:p>
      <w:pPr>
        <w:pStyle w:val="BodyText"/>
        <w:ind w:left="1260"/>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rPr>
          <w:sz w:val="15"/>
        </w:rPr>
      </w:pPr>
    </w:p>
    <w:p>
      <w:pPr>
        <w:pStyle w:val="BodyText"/>
        <w:ind w:left="1260"/>
      </w:pPr>
      <w:r>
        <w:rPr>
          <w:rFonts w:ascii="Times New Roman" w:eastAsia="Times New Roman"/>
        </w:rPr>
        <w:t>6</w:t>
      </w:r>
      <w:r>
        <w:rPr/>
        <w:t>、清算费用</w:t>
      </w:r>
    </w:p>
    <w:p>
      <w:pPr>
        <w:pStyle w:val="BodyText"/>
        <w:spacing w:before="7"/>
        <w:rPr>
          <w:sz w:val="15"/>
        </w:rPr>
      </w:pPr>
    </w:p>
    <w:p>
      <w:pPr>
        <w:pStyle w:val="BodyText"/>
        <w:spacing w:line="417" w:lineRule="auto"/>
        <w:ind w:left="840" w:right="89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1260"/>
      </w:pPr>
      <w:r>
        <w:rPr>
          <w:rFonts w:ascii="Times New Roman" w:eastAsia="Times New Roman"/>
        </w:rPr>
        <w:t>7</w:t>
      </w:r>
      <w:r>
        <w:rPr/>
        <w:t>、基金财产清算剩余资产的分配</w:t>
      </w:r>
    </w:p>
    <w:p>
      <w:pPr>
        <w:pStyle w:val="BodyText"/>
        <w:spacing w:before="7"/>
        <w:rPr>
          <w:sz w:val="15"/>
        </w:rPr>
      </w:pPr>
    </w:p>
    <w:p>
      <w:pPr>
        <w:pStyle w:val="BodyText"/>
        <w:spacing w:line="417" w:lineRule="auto"/>
        <w:ind w:left="840" w:right="891" w:firstLine="419"/>
      </w:pPr>
      <w:r>
        <w:rPr>
          <w:spacing w:val="-10"/>
        </w:rPr>
        <w:t>依据基金财产清算的分配方案，将基金财产清算后的全部剩余资产扣除基金财产清算费</w:t>
      </w:r>
      <w:r>
        <w:rPr>
          <w:spacing w:val="-5"/>
        </w:rPr>
        <w:t>用后，按基金份额持有人持有的基金份额比例进行分配。</w:t>
      </w:r>
    </w:p>
    <w:p>
      <w:pPr>
        <w:spacing w:after="0" w:line="417" w:lineRule="auto"/>
        <w:sectPr>
          <w:pgSz w:w="11910" w:h="16840"/>
          <w:pgMar w:header="877" w:footer="995" w:top="1100" w:bottom="1180" w:left="960" w:right="900"/>
        </w:sectPr>
      </w:pPr>
    </w:p>
    <w:p>
      <w:pPr>
        <w:pStyle w:val="BodyText"/>
        <w:spacing w:before="10"/>
        <w:rPr>
          <w:sz w:val="26"/>
        </w:rPr>
      </w:pPr>
    </w:p>
    <w:p>
      <w:pPr>
        <w:pStyle w:val="BodyText"/>
        <w:spacing w:before="78"/>
        <w:ind w:left="1260"/>
      </w:pPr>
      <w:r>
        <w:rPr>
          <w:rFonts w:ascii="Times New Roman" w:eastAsia="Times New Roman"/>
        </w:rPr>
        <w:t>8</w:t>
      </w:r>
      <w:r>
        <w:rPr/>
        <w:t>、基金财产清算的公告</w:t>
      </w:r>
    </w:p>
    <w:p>
      <w:pPr>
        <w:pStyle w:val="BodyText"/>
        <w:spacing w:before="7"/>
        <w:rPr>
          <w:sz w:val="15"/>
        </w:rPr>
      </w:pPr>
    </w:p>
    <w:p>
      <w:pPr>
        <w:pStyle w:val="BodyText"/>
        <w:spacing w:line="417" w:lineRule="auto"/>
        <w:ind w:left="840" w:right="891" w:firstLine="419"/>
        <w:jc w:val="both"/>
      </w:pPr>
      <w:r>
        <w:rPr>
          <w:spacing w:val="-13"/>
        </w:rPr>
        <w:t>基金财产清算报告在《基金合同》终止并报中国证监会备案后 </w:t>
      </w:r>
      <w:r>
        <w:rPr>
          <w:rFonts w:ascii="Times New Roman" w:eastAsia="Times New Roman"/>
        </w:rPr>
        <w:t>5 </w:t>
      </w:r>
      <w:r>
        <w:rPr>
          <w:spacing w:val="-3"/>
        </w:rPr>
        <w:t>个工作日内由基金财产</w:t>
      </w:r>
      <w:r>
        <w:rPr>
          <w:spacing w:val="-11"/>
        </w:rPr>
        <w:t>清算小组公告，基金财产清算小组应当将清算报告登载在指定网站上，并将清算报告提示性</w:t>
      </w:r>
      <w:r>
        <w:rPr>
          <w:spacing w:val="-13"/>
        </w:rPr>
        <w:t>公告登载在指定报刊上；清算过程中的有关重大事项须及时公告；基金财产清算报告经具有证券、期货相关业务资格的会计师事务所审计并由律师事务所出具法律意见书后报中国证监</w:t>
      </w:r>
      <w:r>
        <w:rPr>
          <w:spacing w:val="-6"/>
        </w:rPr>
        <w:t>会备案并公告。</w:t>
      </w:r>
    </w:p>
    <w:p>
      <w:pPr>
        <w:pStyle w:val="BodyText"/>
        <w:spacing w:line="268" w:lineRule="exact"/>
        <w:ind w:left="1260"/>
      </w:pPr>
      <w:r>
        <w:rPr>
          <w:rFonts w:ascii="Times New Roman" w:eastAsia="Times New Roman"/>
        </w:rPr>
        <w:t>9</w:t>
      </w:r>
      <w:r>
        <w:rPr/>
        <w:t>、基金财产清算账册及文件的保存</w:t>
      </w:r>
    </w:p>
    <w:p>
      <w:pPr>
        <w:pStyle w:val="BodyText"/>
        <w:spacing w:before="7"/>
        <w:rPr>
          <w:sz w:val="15"/>
        </w:rPr>
      </w:pPr>
    </w:p>
    <w:p>
      <w:pPr>
        <w:pStyle w:val="BodyText"/>
        <w:ind w:left="1260"/>
      </w:pPr>
      <w:r>
        <w:rPr/>
        <w:t>基金财产清算账册及有关文件由基金托管人保存 </w:t>
      </w:r>
      <w:r>
        <w:rPr>
          <w:rFonts w:ascii="Times New Roman" w:eastAsia="Times New Roman"/>
        </w:rPr>
        <w:t>15 </w:t>
      </w:r>
      <w:r>
        <w:rPr/>
        <w:t>年以上。</w:t>
      </w:r>
    </w:p>
    <w:p>
      <w:pPr>
        <w:pStyle w:val="BodyText"/>
        <w:rPr>
          <w:sz w:val="22"/>
        </w:rPr>
      </w:pPr>
    </w:p>
    <w:p>
      <w:pPr>
        <w:pStyle w:val="BodyText"/>
        <w:spacing w:before="1"/>
        <w:rPr>
          <w:sz w:val="30"/>
        </w:rPr>
      </w:pPr>
    </w:p>
    <w:p>
      <w:pPr>
        <w:pStyle w:val="Heading4"/>
      </w:pPr>
      <w:r>
        <w:rPr/>
        <w:t>八、争议解决方式</w:t>
      </w:r>
    </w:p>
    <w:p>
      <w:pPr>
        <w:pStyle w:val="BodyText"/>
        <w:spacing w:before="7"/>
        <w:rPr>
          <w:b/>
          <w:sz w:val="15"/>
        </w:rPr>
      </w:pPr>
    </w:p>
    <w:p>
      <w:pPr>
        <w:pStyle w:val="BodyText"/>
        <w:spacing w:line="417" w:lineRule="auto"/>
        <w:ind w:left="840" w:right="891" w:firstLine="419"/>
        <w:jc w:val="both"/>
      </w:pPr>
      <w:r>
        <w:rPr>
          <w:spacing w:val="-11"/>
        </w:rPr>
        <w:t>各方当事人同意，因《基金合同》而产生的或与《基金合同》有关的一切争议，如经友</w:t>
      </w:r>
      <w:r>
        <w:rPr>
          <w:spacing w:val="-13"/>
        </w:rPr>
        <w:t>好协商未能解决的，应提交中国国际经济贸易仲裁委员会根据该会当时有效的仲裁规则进行</w:t>
      </w:r>
      <w:r>
        <w:rPr>
          <w:spacing w:val="-11"/>
        </w:rPr>
        <w:t>仲裁，仲裁的地点在北京，仲裁裁决是终局性的并对各方当事人具有约束力，仲裁费由败诉</w:t>
      </w:r>
      <w:r>
        <w:rPr>
          <w:spacing w:val="-7"/>
        </w:rPr>
        <w:t>方承担。</w:t>
      </w:r>
    </w:p>
    <w:p>
      <w:pPr>
        <w:pStyle w:val="BodyText"/>
        <w:spacing w:line="269" w:lineRule="exact"/>
        <w:ind w:left="1260"/>
      </w:pPr>
      <w:r>
        <w:rPr/>
        <w:t>本《基金合同》受中国法律管辖。</w:t>
      </w:r>
    </w:p>
    <w:p>
      <w:pPr>
        <w:pStyle w:val="BodyText"/>
        <w:rPr>
          <w:sz w:val="20"/>
        </w:rPr>
      </w:pPr>
    </w:p>
    <w:p>
      <w:pPr>
        <w:pStyle w:val="BodyText"/>
        <w:rPr>
          <w:sz w:val="20"/>
        </w:rPr>
      </w:pPr>
    </w:p>
    <w:p>
      <w:pPr>
        <w:pStyle w:val="Heading4"/>
        <w:spacing w:before="154"/>
      </w:pPr>
      <w:r>
        <w:rPr/>
        <w:t>九、基金合同存放地和投资者取得合同的方式</w:t>
      </w:r>
    </w:p>
    <w:p>
      <w:pPr>
        <w:pStyle w:val="BodyText"/>
        <w:spacing w:before="7"/>
        <w:rPr>
          <w:b/>
          <w:sz w:val="15"/>
        </w:rPr>
      </w:pPr>
    </w:p>
    <w:p>
      <w:pPr>
        <w:pStyle w:val="BodyText"/>
        <w:spacing w:line="417" w:lineRule="auto"/>
        <w:ind w:left="840" w:right="891" w:firstLine="419"/>
        <w:jc w:val="both"/>
      </w:pPr>
      <w:r>
        <w:rPr>
          <w:spacing w:val="-10"/>
        </w:rPr>
        <w:t>《基金合同》可印制成册，供投资者在基金管理人、基金托管人、代销机构的办公场所</w:t>
      </w:r>
      <w:r>
        <w:rPr>
          <w:spacing w:val="-11"/>
        </w:rPr>
        <w:t>和营业场所查阅；投资者也可按工本费购买《基金合同》复制件或复印件，但内容应以本基</w:t>
      </w:r>
      <w:r>
        <w:rPr>
          <w:spacing w:val="-6"/>
        </w:rPr>
        <w:t>金合同正本为准。</w:t>
      </w:r>
    </w:p>
    <w:p>
      <w:pPr>
        <w:spacing w:after="0" w:line="417" w:lineRule="auto"/>
        <w:jc w:val="both"/>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59"/>
      </w:pPr>
      <w:bookmarkStart w:name="_TOC_250004" w:id="20"/>
      <w:bookmarkEnd w:id="20"/>
      <w:r>
        <w:rPr/>
        <w:t>二十、基金托管协议的内容摘要</w:t>
      </w:r>
    </w:p>
    <w:p>
      <w:pPr>
        <w:pStyle w:val="BodyText"/>
        <w:rPr>
          <w:rFonts w:ascii="黑体"/>
          <w:b/>
          <w:sz w:val="20"/>
        </w:rPr>
      </w:pPr>
    </w:p>
    <w:p>
      <w:pPr>
        <w:pStyle w:val="BodyText"/>
        <w:spacing w:before="4"/>
        <w:rPr>
          <w:rFonts w:ascii="黑体"/>
          <w:b/>
          <w:sz w:val="16"/>
        </w:rPr>
      </w:pPr>
    </w:p>
    <w:p>
      <w:pPr>
        <w:pStyle w:val="Heading4"/>
        <w:spacing w:before="72"/>
      </w:pPr>
      <w:r>
        <w:rPr/>
        <w:t>一、托管协议当事人</w:t>
      </w:r>
    </w:p>
    <w:p>
      <w:pPr>
        <w:pStyle w:val="BodyText"/>
        <w:spacing w:before="7"/>
        <w:rPr>
          <w:b/>
          <w:sz w:val="15"/>
        </w:rPr>
      </w:pPr>
    </w:p>
    <w:p>
      <w:pPr>
        <w:pStyle w:val="BodyText"/>
        <w:ind w:left="840"/>
      </w:pPr>
      <w:r>
        <w:rPr/>
        <w:t>（一）基金管理人</w:t>
      </w:r>
    </w:p>
    <w:p>
      <w:pPr>
        <w:pStyle w:val="BodyText"/>
        <w:spacing w:before="6"/>
        <w:rPr>
          <w:sz w:val="15"/>
        </w:rPr>
      </w:pPr>
    </w:p>
    <w:p>
      <w:pPr>
        <w:pStyle w:val="BodyText"/>
        <w:ind w:left="1260"/>
      </w:pPr>
      <w:r>
        <w:rPr/>
        <w:t>景顺长城基金管理有限公司</w:t>
      </w:r>
    </w:p>
    <w:p>
      <w:pPr>
        <w:pStyle w:val="BodyText"/>
        <w:spacing w:before="7"/>
        <w:rPr>
          <w:sz w:val="15"/>
        </w:rPr>
      </w:pPr>
    </w:p>
    <w:p>
      <w:pPr>
        <w:pStyle w:val="BodyText"/>
        <w:ind w:left="840"/>
      </w:pPr>
      <w:r>
        <w:rPr/>
        <w:t>（二）基金托管人</w:t>
      </w:r>
    </w:p>
    <w:p>
      <w:pPr>
        <w:pStyle w:val="BodyText"/>
        <w:spacing w:before="7"/>
        <w:rPr>
          <w:sz w:val="15"/>
        </w:rPr>
      </w:pPr>
    </w:p>
    <w:p>
      <w:pPr>
        <w:pStyle w:val="BodyText"/>
        <w:spacing w:before="1"/>
        <w:ind w:left="1260"/>
      </w:pPr>
      <w:r>
        <w:rPr/>
        <w:t>中国工商银行股份有限公司</w:t>
      </w:r>
    </w:p>
    <w:p>
      <w:pPr>
        <w:pStyle w:val="BodyText"/>
        <w:rPr>
          <w:sz w:val="20"/>
        </w:rPr>
      </w:pPr>
    </w:p>
    <w:p>
      <w:pPr>
        <w:pStyle w:val="BodyText"/>
        <w:rPr>
          <w:sz w:val="20"/>
        </w:rPr>
      </w:pPr>
    </w:p>
    <w:p>
      <w:pPr>
        <w:pStyle w:val="Heading4"/>
        <w:spacing w:before="154"/>
      </w:pPr>
      <w:r>
        <w:rPr/>
        <w:t>二、基金托管人对基金管理人的业务监督和核查</w:t>
      </w:r>
    </w:p>
    <w:p>
      <w:pPr>
        <w:pStyle w:val="BodyText"/>
        <w:spacing w:before="7"/>
        <w:rPr>
          <w:b/>
          <w:sz w:val="15"/>
        </w:rPr>
      </w:pPr>
    </w:p>
    <w:p>
      <w:pPr>
        <w:pStyle w:val="BodyText"/>
        <w:ind w:left="840"/>
      </w:pPr>
      <w:r>
        <w:rPr/>
        <w:t>（一）基金托管人对基金管理人的投资行为行使监督权</w:t>
      </w:r>
    </w:p>
    <w:p>
      <w:pPr>
        <w:pStyle w:val="BodyText"/>
        <w:spacing w:before="6"/>
        <w:rPr>
          <w:sz w:val="15"/>
        </w:rPr>
      </w:pPr>
    </w:p>
    <w:p>
      <w:pPr>
        <w:pStyle w:val="BodyText"/>
        <w:spacing w:line="417" w:lineRule="auto"/>
        <w:ind w:left="840" w:right="894" w:firstLine="419"/>
      </w:pPr>
      <w:r>
        <w:rPr>
          <w:rFonts w:ascii="Times New Roman" w:eastAsia="Times New Roman"/>
        </w:rPr>
        <w:t>1</w:t>
      </w:r>
      <w:r>
        <w:rPr/>
        <w:t>、基金托管人根据有关法律法规的规定和基金合同的约定，对下述基金投资范围、投资对象进行监督。</w:t>
      </w:r>
    </w:p>
    <w:p>
      <w:pPr>
        <w:pStyle w:val="BodyText"/>
        <w:spacing w:line="269" w:lineRule="exact"/>
        <w:ind w:left="1260"/>
      </w:pPr>
      <w:r>
        <w:rPr/>
        <w:t>本基金将投资于具有良好流动性的金融工具，包括国内依法发行和上市交易的公司股票</w:t>
      </w:r>
    </w:p>
    <w:p>
      <w:pPr>
        <w:pStyle w:val="BodyText"/>
        <w:spacing w:before="7"/>
        <w:rPr>
          <w:sz w:val="15"/>
        </w:rPr>
      </w:pPr>
    </w:p>
    <w:p>
      <w:pPr>
        <w:pStyle w:val="BodyText"/>
        <w:spacing w:before="1"/>
        <w:ind w:left="840"/>
      </w:pPr>
      <w:r>
        <w:rPr/>
        <w:t>（含存托凭证）和债券以及经中国证监会批准的允许基金投资的其他金融工具。</w:t>
      </w:r>
    </w:p>
    <w:p>
      <w:pPr>
        <w:pStyle w:val="BodyText"/>
        <w:spacing w:before="6"/>
        <w:rPr>
          <w:sz w:val="15"/>
        </w:rPr>
      </w:pPr>
    </w:p>
    <w:p>
      <w:pPr>
        <w:pStyle w:val="BodyText"/>
        <w:ind w:left="1260"/>
      </w:pPr>
      <w:r>
        <w:rPr/>
        <w:t>本基金不得投资于相关法律、法规、部门规章及《基金合同》禁止投资的投资工具。</w:t>
      </w:r>
    </w:p>
    <w:p>
      <w:pPr>
        <w:pStyle w:val="BodyText"/>
        <w:spacing w:before="7"/>
        <w:rPr>
          <w:sz w:val="15"/>
        </w:rPr>
      </w:pPr>
    </w:p>
    <w:p>
      <w:pPr>
        <w:pStyle w:val="BodyText"/>
        <w:spacing w:line="417" w:lineRule="auto"/>
        <w:ind w:left="840" w:right="894" w:firstLine="419"/>
      </w:pPr>
      <w:r>
        <w:rPr>
          <w:rFonts w:ascii="Times New Roman" w:eastAsia="Times New Roman"/>
        </w:rPr>
        <w:t>2</w:t>
      </w:r>
      <w:r>
        <w:rPr/>
        <w:t>、基金托管人根据有关法律法规的规定及基金合同的约定对下述基金投融资比例进行监督：</w:t>
      </w:r>
    </w:p>
    <w:p>
      <w:pPr>
        <w:pStyle w:val="ListParagraph"/>
        <w:numPr>
          <w:ilvl w:val="0"/>
          <w:numId w:val="59"/>
        </w:numPr>
        <w:tabs>
          <w:tab w:pos="1790" w:val="left" w:leader="none"/>
        </w:tabs>
        <w:spacing w:line="269" w:lineRule="exact" w:before="0" w:after="0"/>
        <w:ind w:left="1789" w:right="0" w:hanging="530"/>
        <w:jc w:val="left"/>
        <w:rPr>
          <w:sz w:val="21"/>
        </w:rPr>
      </w:pPr>
      <w:r>
        <w:rPr>
          <w:spacing w:val="-3"/>
          <w:sz w:val="21"/>
        </w:rPr>
        <w:t>按法律法规的规定及基金合同的约定，本基金的投资资产配置比例为：</w:t>
      </w:r>
    </w:p>
    <w:p>
      <w:pPr>
        <w:pStyle w:val="BodyText"/>
        <w:spacing w:before="7"/>
        <w:rPr>
          <w:sz w:val="15"/>
        </w:rPr>
      </w:pPr>
    </w:p>
    <w:p>
      <w:pPr>
        <w:pStyle w:val="BodyText"/>
        <w:spacing w:line="417" w:lineRule="auto"/>
        <w:ind w:left="840" w:right="888" w:firstLine="419"/>
        <w:jc w:val="both"/>
      </w:pPr>
      <w:r>
        <w:rPr>
          <w:spacing w:val="1"/>
        </w:rPr>
        <w:t>本基金是一只高持股的股票型基金，对于股票的投资不少于基金资产净值的 </w:t>
      </w:r>
      <w:r>
        <w:rPr>
          <w:rFonts w:ascii="Times New Roman" w:eastAsia="Times New Roman"/>
        </w:rPr>
        <w:t>65%</w:t>
      </w:r>
      <w:r>
        <w:rPr>
          <w:spacing w:val="-6"/>
        </w:rPr>
        <w:t>，持</w:t>
      </w:r>
      <w:r>
        <w:rPr>
          <w:spacing w:val="-4"/>
        </w:rPr>
        <w:t>有现金或者到期日在一年以内的政府债券的比例不低于基金资产净值的 </w:t>
      </w:r>
      <w:r>
        <w:rPr>
          <w:rFonts w:ascii="Times New Roman" w:eastAsia="Times New Roman"/>
          <w:spacing w:val="-4"/>
        </w:rPr>
        <w:t>5%</w:t>
      </w:r>
      <w:r>
        <w:rPr>
          <w:spacing w:val="-3"/>
        </w:rPr>
        <w:t>，其中现金不包括结算备付金、存出保证金和应收申购款等。</w:t>
      </w:r>
    </w:p>
    <w:p>
      <w:pPr>
        <w:pStyle w:val="BodyText"/>
        <w:spacing w:line="417" w:lineRule="auto"/>
        <w:ind w:left="840" w:right="894" w:firstLine="419"/>
      </w:pPr>
      <w:r>
        <w:rPr/>
        <w:t>基金托管人对上述投资资产配置比例的监督与检查自本基金合同生效之日起满六个月开始。</w:t>
      </w:r>
    </w:p>
    <w:p>
      <w:pPr>
        <w:pStyle w:val="BodyText"/>
        <w:spacing w:line="417" w:lineRule="auto"/>
        <w:ind w:left="840" w:right="891" w:firstLine="419"/>
        <w:jc w:val="both"/>
      </w:pPr>
      <w:r>
        <w:rPr>
          <w:spacing w:val="-6"/>
        </w:rPr>
        <w:t>基金管理人应每季度按照双方约定的形式向基金托管人提供成长型股票库，并有责任确</w:t>
      </w:r>
      <w:r>
        <w:rPr>
          <w:spacing w:val="-10"/>
        </w:rPr>
        <w:t>保该股票库符合基金合同的有关规定。基金托管人据此股票库监督本基金投资于成长型上市</w:t>
      </w:r>
      <w:r>
        <w:rPr>
          <w:spacing w:val="-5"/>
        </w:rPr>
        <w:t>公司股票的比例。</w:t>
      </w:r>
    </w:p>
    <w:p>
      <w:pPr>
        <w:pStyle w:val="BodyText"/>
        <w:spacing w:line="417" w:lineRule="auto"/>
        <w:ind w:left="840" w:right="891" w:firstLine="419"/>
        <w:jc w:val="both"/>
      </w:pPr>
      <w:r>
        <w:rPr>
          <w:spacing w:val="-6"/>
        </w:rPr>
        <w:t>基金管理人对成长型股票库的临时调整应事先发函通知基金托管人并加盖公司公章，基</w:t>
      </w:r>
      <w:r>
        <w:rPr>
          <w:spacing w:val="-13"/>
        </w:rPr>
        <w:t>金托管人及时回函确认。对成长型股票库的调整自基金托管人发出回函确认之日起第 </w:t>
      </w:r>
      <w:r>
        <w:rPr>
          <w:rFonts w:ascii="Times New Roman" w:eastAsia="Times New Roman"/>
        </w:rPr>
        <w:t>2 </w:t>
      </w:r>
      <w:r>
        <w:rPr>
          <w:spacing w:val="-3"/>
        </w:rPr>
        <w:t>日生</w:t>
      </w:r>
      <w:r>
        <w:rPr/>
        <w:t>效。</w:t>
      </w:r>
    </w:p>
    <w:p>
      <w:pPr>
        <w:spacing w:after="0" w:line="417" w:lineRule="auto"/>
        <w:jc w:val="both"/>
        <w:sectPr>
          <w:pgSz w:w="11910" w:h="16840"/>
          <w:pgMar w:header="877" w:footer="995" w:top="1100" w:bottom="1180" w:left="960" w:right="900"/>
        </w:sectPr>
      </w:pPr>
    </w:p>
    <w:p>
      <w:pPr>
        <w:pStyle w:val="BodyText"/>
        <w:spacing w:before="10"/>
        <w:rPr>
          <w:sz w:val="26"/>
        </w:rPr>
      </w:pPr>
    </w:p>
    <w:p>
      <w:pPr>
        <w:pStyle w:val="ListParagraph"/>
        <w:numPr>
          <w:ilvl w:val="0"/>
          <w:numId w:val="59"/>
        </w:numPr>
        <w:tabs>
          <w:tab w:pos="1790" w:val="left" w:leader="none"/>
        </w:tabs>
        <w:spacing w:line="240" w:lineRule="auto" w:before="78" w:after="0"/>
        <w:ind w:left="1789" w:right="0" w:hanging="530"/>
        <w:jc w:val="left"/>
        <w:rPr>
          <w:sz w:val="21"/>
        </w:rPr>
      </w:pPr>
      <w:r>
        <w:rPr>
          <w:spacing w:val="-3"/>
          <w:sz w:val="21"/>
        </w:rPr>
        <w:t>根据法律法规的规定及基金合同的约定，本基金投资组合遵循以下投资限制：</w:t>
      </w:r>
    </w:p>
    <w:p>
      <w:pPr>
        <w:pStyle w:val="BodyText"/>
        <w:spacing w:before="7"/>
        <w:rPr>
          <w:sz w:val="15"/>
        </w:rPr>
      </w:pPr>
    </w:p>
    <w:p>
      <w:pPr>
        <w:pStyle w:val="ListParagraph"/>
        <w:numPr>
          <w:ilvl w:val="1"/>
          <w:numId w:val="59"/>
        </w:numPr>
        <w:tabs>
          <w:tab w:pos="1742" w:val="left" w:leader="none"/>
        </w:tabs>
        <w:spacing w:line="240" w:lineRule="auto" w:before="0" w:after="0"/>
        <w:ind w:left="1741" w:right="0" w:hanging="482"/>
        <w:jc w:val="both"/>
        <w:rPr>
          <w:sz w:val="21"/>
        </w:rPr>
      </w:pPr>
      <w:r>
        <w:rPr>
          <w:spacing w:val="-5"/>
          <w:sz w:val="21"/>
        </w:rPr>
        <w:t>持有一家上市公司的股票，其市值不得超过基金资产净值的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1"/>
          <w:numId w:val="59"/>
        </w:numPr>
        <w:tabs>
          <w:tab w:pos="1799" w:val="left" w:leader="none"/>
        </w:tabs>
        <w:spacing w:line="417" w:lineRule="auto" w:before="1" w:after="0"/>
        <w:ind w:left="840" w:right="891" w:firstLine="419"/>
        <w:jc w:val="both"/>
        <w:rPr>
          <w:sz w:val="21"/>
        </w:rPr>
      </w:pPr>
      <w:r>
        <w:rPr>
          <w:spacing w:val="-3"/>
          <w:sz w:val="21"/>
        </w:rPr>
        <w:t>本基金与由本基金管理人管理的其他基金共同持有一家公司发行的证券，不得超</w:t>
      </w:r>
      <w:r>
        <w:rPr>
          <w:spacing w:val="-12"/>
          <w:sz w:val="21"/>
        </w:rPr>
        <w:t>过该证券的 </w:t>
      </w:r>
      <w:r>
        <w:rPr>
          <w:rFonts w:ascii="Times New Roman" w:eastAsia="Times New Roman"/>
          <w:sz w:val="21"/>
        </w:rPr>
        <w:t>10%</w:t>
      </w:r>
      <w:r>
        <w:rPr>
          <w:sz w:val="21"/>
        </w:rPr>
        <w:t>；</w:t>
      </w:r>
    </w:p>
    <w:p>
      <w:pPr>
        <w:pStyle w:val="ListParagraph"/>
        <w:numPr>
          <w:ilvl w:val="1"/>
          <w:numId w:val="59"/>
        </w:numPr>
        <w:tabs>
          <w:tab w:pos="1857" w:val="left" w:leader="none"/>
        </w:tabs>
        <w:spacing w:line="417" w:lineRule="auto" w:before="0" w:after="0"/>
        <w:ind w:left="840" w:right="893" w:firstLine="419"/>
        <w:jc w:val="both"/>
        <w:rPr>
          <w:sz w:val="21"/>
        </w:rPr>
      </w:pPr>
      <w:r>
        <w:rPr>
          <w:spacing w:val="-6"/>
          <w:sz w:val="21"/>
        </w:rPr>
        <w:t>本基金投资股权分置改革中产生的权证，在任何交易日买入的总金额，不超过 上一交易日基金资产净值的 </w:t>
      </w:r>
      <w:r>
        <w:rPr>
          <w:rFonts w:ascii="Times New Roman" w:eastAsia="Times New Roman"/>
          <w:spacing w:val="-9"/>
          <w:sz w:val="21"/>
        </w:rPr>
        <w:t>0.5%</w:t>
      </w:r>
      <w:r>
        <w:rPr>
          <w:spacing w:val="-6"/>
          <w:sz w:val="21"/>
        </w:rPr>
        <w:t>，基金持有的全部权证的市值不超过基金资产净值的 </w:t>
      </w:r>
      <w:r>
        <w:rPr>
          <w:rFonts w:ascii="Times New Roman" w:eastAsia="Times New Roman"/>
          <w:spacing w:val="-14"/>
          <w:sz w:val="21"/>
        </w:rPr>
        <w:t>3%</w:t>
      </w:r>
      <w:r>
        <w:rPr>
          <w:spacing w:val="-14"/>
          <w:sz w:val="21"/>
        </w:rPr>
        <w:t>， </w:t>
      </w:r>
      <w:r>
        <w:rPr>
          <w:spacing w:val="-6"/>
          <w:sz w:val="21"/>
        </w:rPr>
        <w:t>本公司管理的全部基金持有同一权证的比例不超过该权证的 </w:t>
      </w:r>
      <w:r>
        <w:rPr>
          <w:rFonts w:ascii="Times New Roman" w:eastAsia="Times New Roman"/>
          <w:sz w:val="21"/>
        </w:rPr>
        <w:t>10%</w:t>
      </w:r>
      <w:r>
        <w:rPr>
          <w:sz w:val="21"/>
        </w:rPr>
        <w:t>。其它权证的投资比例， </w:t>
      </w:r>
      <w:r>
        <w:rPr>
          <w:spacing w:val="-5"/>
          <w:sz w:val="21"/>
        </w:rPr>
        <w:t>遵从法规或监管部门的相关规定；</w:t>
      </w:r>
    </w:p>
    <w:p>
      <w:pPr>
        <w:pStyle w:val="ListParagraph"/>
        <w:numPr>
          <w:ilvl w:val="1"/>
          <w:numId w:val="59"/>
        </w:numPr>
        <w:tabs>
          <w:tab w:pos="1845" w:val="left" w:leader="none"/>
        </w:tabs>
        <w:spacing w:line="417" w:lineRule="auto" w:before="0" w:after="0"/>
        <w:ind w:left="840" w:right="891" w:firstLine="419"/>
        <w:jc w:val="both"/>
        <w:rPr>
          <w:sz w:val="21"/>
        </w:rPr>
      </w:pPr>
      <w:r>
        <w:rPr>
          <w:spacing w:val="-2"/>
          <w:sz w:val="21"/>
        </w:rPr>
        <w:t>本基金保持不低于基金资产净值 </w:t>
      </w:r>
      <w:r>
        <w:rPr>
          <w:rFonts w:ascii="Times New Roman" w:eastAsia="Times New Roman"/>
          <w:sz w:val="21"/>
        </w:rPr>
        <w:t>5%</w:t>
      </w:r>
      <w:r>
        <w:rPr>
          <w:spacing w:val="-3"/>
          <w:sz w:val="21"/>
        </w:rPr>
        <w:t>的现金或到期日在一年以内的政府债券，其中现金不包括结算备付金、存出保证金和应收申购款等；</w:t>
      </w:r>
    </w:p>
    <w:p>
      <w:pPr>
        <w:pStyle w:val="ListParagraph"/>
        <w:numPr>
          <w:ilvl w:val="1"/>
          <w:numId w:val="59"/>
        </w:numPr>
        <w:tabs>
          <w:tab w:pos="1787" w:val="left" w:leader="none"/>
        </w:tabs>
        <w:spacing w:line="417" w:lineRule="auto" w:before="0" w:after="0"/>
        <w:ind w:left="840" w:right="891" w:firstLine="419"/>
        <w:jc w:val="both"/>
        <w:rPr>
          <w:sz w:val="21"/>
        </w:rPr>
      </w:pPr>
      <w:r>
        <w:rPr>
          <w:spacing w:val="-3"/>
          <w:sz w:val="21"/>
        </w:rPr>
        <w:t>本基金管理人管理的全部开放式基金</w:t>
      </w:r>
      <w:r>
        <w:rPr>
          <w:sz w:val="21"/>
        </w:rPr>
        <w:t>（</w:t>
      </w:r>
      <w:r>
        <w:rPr>
          <w:spacing w:val="-3"/>
          <w:sz w:val="21"/>
        </w:rPr>
        <w:t>包括开放式基金以及处于开放期的定期开放基金）</w:t>
      </w:r>
      <w:r>
        <w:rPr>
          <w:spacing w:val="-2"/>
          <w:sz w:val="21"/>
        </w:rPr>
        <w:t>持有一家上市公司发行的可流通股票，不得超过该上市公司可流通股票的 </w:t>
      </w:r>
      <w:r>
        <w:rPr>
          <w:rFonts w:ascii="Times New Roman" w:eastAsia="Times New Roman"/>
          <w:spacing w:val="-4"/>
          <w:sz w:val="21"/>
        </w:rPr>
        <w:t>15%</w:t>
      </w:r>
      <w:r>
        <w:rPr>
          <w:spacing w:val="-4"/>
          <w:sz w:val="21"/>
        </w:rPr>
        <w:t>； </w:t>
      </w:r>
      <w:r>
        <w:rPr>
          <w:spacing w:val="-6"/>
          <w:sz w:val="21"/>
        </w:rPr>
        <w:t>本基金管理人管理的全部投资组合持有一家上市公司发行的可流通股票，不得超过该上市公</w:t>
      </w:r>
      <w:r>
        <w:rPr>
          <w:spacing w:val="-11"/>
          <w:sz w:val="21"/>
        </w:rPr>
        <w:t>司可流通股票的 </w:t>
      </w:r>
      <w:r>
        <w:rPr>
          <w:rFonts w:ascii="Times New Roman" w:eastAsia="Times New Roman"/>
          <w:sz w:val="21"/>
        </w:rPr>
        <w:t>30%</w:t>
      </w:r>
      <w:r>
        <w:rPr>
          <w:sz w:val="21"/>
        </w:rPr>
        <w:t>；</w:t>
      </w:r>
    </w:p>
    <w:p>
      <w:pPr>
        <w:pStyle w:val="ListParagraph"/>
        <w:numPr>
          <w:ilvl w:val="1"/>
          <w:numId w:val="59"/>
        </w:numPr>
        <w:tabs>
          <w:tab w:pos="1845" w:val="left" w:leader="none"/>
        </w:tabs>
        <w:spacing w:line="417" w:lineRule="auto" w:before="0" w:after="0"/>
        <w:ind w:left="840" w:right="891" w:firstLine="419"/>
        <w:jc w:val="both"/>
        <w:rPr>
          <w:sz w:val="21"/>
        </w:rPr>
      </w:pPr>
      <w:r>
        <w:rPr>
          <w:spacing w:val="-4"/>
          <w:sz w:val="21"/>
        </w:rPr>
        <w:t>本基金主动投资于流动性受限资产的市值合计不超过基金资产的 </w:t>
      </w:r>
      <w:r>
        <w:rPr>
          <w:rFonts w:ascii="Times New Roman" w:eastAsia="Times New Roman"/>
          <w:spacing w:val="-10"/>
          <w:sz w:val="21"/>
        </w:rPr>
        <w:t>15%</w:t>
      </w:r>
      <w:r>
        <w:rPr>
          <w:spacing w:val="-4"/>
          <w:sz w:val="21"/>
        </w:rPr>
        <w:t>；因证券市</w:t>
      </w:r>
      <w:r>
        <w:rPr>
          <w:spacing w:val="-12"/>
          <w:sz w:val="21"/>
        </w:rPr>
        <w:t>场波动、上市公司股票停牌、基金规模变动等基金管理人之外的因素致使基金不符合本项所</w:t>
      </w:r>
      <w:r>
        <w:rPr>
          <w:spacing w:val="-6"/>
          <w:sz w:val="21"/>
        </w:rPr>
        <w:t>规定的比例限制的，基金管理人不得主动新增流动性受限资产的投资；</w:t>
      </w:r>
    </w:p>
    <w:p>
      <w:pPr>
        <w:pStyle w:val="ListParagraph"/>
        <w:numPr>
          <w:ilvl w:val="1"/>
          <w:numId w:val="59"/>
        </w:numPr>
        <w:tabs>
          <w:tab w:pos="1909" w:val="left" w:leader="none"/>
        </w:tabs>
        <w:spacing w:line="417" w:lineRule="auto" w:before="0" w:after="0"/>
        <w:ind w:left="840" w:right="889" w:firstLine="419"/>
        <w:jc w:val="left"/>
        <w:rPr>
          <w:sz w:val="21"/>
        </w:rPr>
      </w:pPr>
      <w:r>
        <w:rPr>
          <w:sz w:val="21"/>
        </w:rPr>
        <w:t>本基金与私募类证券资管产品及中国证监会认定的其他主体为交易对手开展逆</w:t>
      </w:r>
      <w:r>
        <w:rPr>
          <w:spacing w:val="-3"/>
          <w:sz w:val="21"/>
        </w:rPr>
        <w:t>回购交易的，可接受质押品的资质要求应当与投资范围保持一致；</w:t>
      </w:r>
    </w:p>
    <w:p>
      <w:pPr>
        <w:pStyle w:val="ListParagraph"/>
        <w:numPr>
          <w:ilvl w:val="1"/>
          <w:numId w:val="59"/>
        </w:numPr>
        <w:tabs>
          <w:tab w:pos="1965" w:val="left" w:leader="none"/>
        </w:tabs>
        <w:spacing w:line="417" w:lineRule="auto" w:before="0" w:after="0"/>
        <w:ind w:left="840" w:right="895" w:firstLine="419"/>
        <w:jc w:val="left"/>
        <w:rPr>
          <w:sz w:val="21"/>
        </w:rPr>
      </w:pPr>
      <w:r>
        <w:rPr>
          <w:spacing w:val="-1"/>
          <w:sz w:val="21"/>
        </w:rPr>
        <w:t>本基金财产参与股票发行申购，所申报的金额不得超过本基金的总资产，所申</w:t>
      </w:r>
      <w:r>
        <w:rPr>
          <w:spacing w:val="-3"/>
          <w:sz w:val="21"/>
        </w:rPr>
        <w:t>报的股票数量不得超过拟发行股票公司本次发行股票的总量；</w:t>
      </w:r>
    </w:p>
    <w:p>
      <w:pPr>
        <w:pStyle w:val="ListParagraph"/>
        <w:numPr>
          <w:ilvl w:val="0"/>
          <w:numId w:val="60"/>
        </w:numPr>
        <w:tabs>
          <w:tab w:pos="1905" w:val="left" w:leader="none"/>
        </w:tabs>
        <w:spacing w:line="240" w:lineRule="auto" w:before="0" w:after="0"/>
        <w:ind w:left="1904" w:right="0" w:hanging="645"/>
        <w:jc w:val="left"/>
        <w:rPr>
          <w:sz w:val="21"/>
        </w:rPr>
      </w:pPr>
      <w:r>
        <w:rPr>
          <w:spacing w:val="-3"/>
          <w:sz w:val="21"/>
        </w:rPr>
        <w:t>本基金不得违反本基金合同关于投资范围、投资策略和投资比例的约定；</w:t>
      </w:r>
    </w:p>
    <w:p>
      <w:pPr>
        <w:pStyle w:val="ListParagraph"/>
        <w:numPr>
          <w:ilvl w:val="0"/>
          <w:numId w:val="60"/>
        </w:numPr>
        <w:tabs>
          <w:tab w:pos="1835" w:val="left" w:leader="none"/>
        </w:tabs>
        <w:spacing w:line="417" w:lineRule="auto" w:before="197" w:after="0"/>
        <w:ind w:left="840" w:right="894" w:firstLine="419"/>
        <w:jc w:val="left"/>
        <w:rPr>
          <w:sz w:val="21"/>
        </w:rPr>
      </w:pPr>
      <w:r>
        <w:rPr>
          <w:spacing w:val="-4"/>
          <w:sz w:val="21"/>
        </w:rPr>
        <w:t>本基金投资存托凭证的比例限制依照境内上市交易的股票执行，与境内上市交 </w:t>
      </w:r>
      <w:r>
        <w:rPr>
          <w:spacing w:val="-3"/>
          <w:sz w:val="21"/>
        </w:rPr>
        <w:t>易的股票合并计算；</w:t>
      </w:r>
    </w:p>
    <w:p>
      <w:pPr>
        <w:pStyle w:val="BodyText"/>
        <w:spacing w:line="269" w:lineRule="exact"/>
        <w:ind w:left="1260"/>
      </w:pPr>
      <w:r>
        <w:rPr/>
        <w:t>（Ⅺ）法律法规或监管部门取消上述限制，本基金不受上述限制。</w:t>
      </w:r>
    </w:p>
    <w:p>
      <w:pPr>
        <w:pStyle w:val="BodyText"/>
        <w:spacing w:before="7"/>
        <w:rPr>
          <w:sz w:val="15"/>
        </w:rPr>
      </w:pPr>
    </w:p>
    <w:p>
      <w:pPr>
        <w:pStyle w:val="ListParagraph"/>
        <w:numPr>
          <w:ilvl w:val="0"/>
          <w:numId w:val="59"/>
        </w:numPr>
        <w:tabs>
          <w:tab w:pos="1790" w:val="left" w:leader="none"/>
        </w:tabs>
        <w:spacing w:line="240" w:lineRule="auto" w:before="0" w:after="0"/>
        <w:ind w:left="1789" w:right="0" w:hanging="530"/>
        <w:jc w:val="left"/>
        <w:rPr>
          <w:sz w:val="21"/>
        </w:rPr>
      </w:pPr>
      <w:r>
        <w:rPr>
          <w:spacing w:val="-3"/>
          <w:sz w:val="21"/>
        </w:rPr>
        <w:t>法规允许的基金投资比例调整期限</w:t>
      </w:r>
    </w:p>
    <w:p>
      <w:pPr>
        <w:pStyle w:val="BodyText"/>
        <w:spacing w:before="6"/>
        <w:rPr>
          <w:sz w:val="15"/>
        </w:rPr>
      </w:pPr>
    </w:p>
    <w:p>
      <w:pPr>
        <w:pStyle w:val="BodyText"/>
        <w:spacing w:line="417" w:lineRule="auto" w:before="1"/>
        <w:ind w:left="840" w:right="891" w:firstLine="419"/>
        <w:jc w:val="both"/>
      </w:pPr>
      <w:r>
        <w:rPr>
          <w:spacing w:val="-2"/>
          <w:w w:val="100"/>
        </w:rPr>
        <w:t>除第</w:t>
      </w:r>
      <w:r>
        <w:rPr>
          <w:spacing w:val="-1"/>
          <w:w w:val="100"/>
        </w:rPr>
        <w:t>（</w:t>
      </w:r>
      <w:r>
        <w:rPr>
          <w:rFonts w:ascii="Times New Roman" w:eastAsia="Times New Roman"/>
          <w:spacing w:val="-2"/>
          <w:w w:val="100"/>
        </w:rPr>
        <w:t>i</w:t>
      </w:r>
      <w:r>
        <w:rPr>
          <w:rFonts w:ascii="Times New Roman" w:eastAsia="Times New Roman"/>
          <w:spacing w:val="-3"/>
          <w:w w:val="100"/>
        </w:rPr>
        <w:t>v</w:t>
      </w:r>
      <w:r>
        <w:rPr>
          <w:spacing w:val="-106"/>
          <w:w w:val="100"/>
        </w:rPr>
        <w:t>）</w:t>
      </w:r>
      <w:r>
        <w:rPr>
          <w:spacing w:val="-108"/>
          <w:w w:val="100"/>
        </w:rPr>
        <w:t>、</w:t>
      </w:r>
      <w:r>
        <w:rPr>
          <w:spacing w:val="-1"/>
          <w:w w:val="100"/>
        </w:rPr>
        <w:t>（</w:t>
      </w:r>
      <w:r>
        <w:rPr>
          <w:rFonts w:ascii="Times New Roman" w:eastAsia="Times New Roman"/>
          <w:spacing w:val="-3"/>
          <w:w w:val="100"/>
        </w:rPr>
        <w:t>v</w:t>
      </w:r>
      <w:r>
        <w:rPr>
          <w:rFonts w:ascii="Times New Roman" w:eastAsia="Times New Roman"/>
          <w:spacing w:val="-2"/>
          <w:w w:val="100"/>
        </w:rPr>
        <w:t>i</w:t>
      </w:r>
      <w:r>
        <w:rPr>
          <w:spacing w:val="-106"/>
          <w:w w:val="100"/>
        </w:rPr>
        <w:t>）</w:t>
      </w:r>
      <w:r>
        <w:rPr>
          <w:spacing w:val="-108"/>
          <w:w w:val="100"/>
        </w:rPr>
        <w:t>、</w:t>
      </w:r>
      <w:r>
        <w:rPr>
          <w:w w:val="100"/>
        </w:rPr>
        <w:t>（</w:t>
      </w:r>
      <w:r>
        <w:rPr>
          <w:rFonts w:ascii="Times New Roman" w:eastAsia="Times New Roman"/>
          <w:spacing w:val="-3"/>
          <w:w w:val="100"/>
        </w:rPr>
        <w:t>v</w:t>
      </w:r>
      <w:r>
        <w:rPr>
          <w:rFonts w:ascii="Times New Roman" w:eastAsia="Times New Roman"/>
          <w:spacing w:val="-2"/>
          <w:w w:val="100"/>
        </w:rPr>
        <w:t>ii</w:t>
      </w:r>
      <w:r>
        <w:rPr>
          <w:spacing w:val="-3"/>
          <w:w w:val="100"/>
        </w:rPr>
        <w:t>）</w:t>
      </w:r>
      <w:r>
        <w:rPr>
          <w:spacing w:val="-4"/>
          <w:w w:val="100"/>
        </w:rPr>
        <w:t>项外，由于证券市场波动、上市公司合并或基金规模变动等基</w:t>
      </w:r>
      <w:r>
        <w:rPr>
          <w:spacing w:val="-7"/>
        </w:rPr>
        <w:t>金管理人之外的原因导致的投资组合不符合上述约定的比例，不在限制之内，但基金管理人</w:t>
      </w:r>
      <w:r>
        <w:rPr>
          <w:spacing w:val="-23"/>
        </w:rPr>
        <w:t>应在 </w:t>
      </w:r>
      <w:r>
        <w:rPr>
          <w:rFonts w:ascii="Times New Roman" w:eastAsia="Times New Roman"/>
        </w:rPr>
        <w:t>10 </w:t>
      </w:r>
      <w:r>
        <w:rPr>
          <w:spacing w:val="-3"/>
        </w:rPr>
        <w:t>个交易日内进行调整，以达到规定的投资比例限制要求。</w:t>
      </w:r>
    </w:p>
    <w:p>
      <w:pPr>
        <w:pStyle w:val="ListParagraph"/>
        <w:numPr>
          <w:ilvl w:val="0"/>
          <w:numId w:val="59"/>
        </w:numPr>
        <w:tabs>
          <w:tab w:pos="1790" w:val="left" w:leader="none"/>
        </w:tabs>
        <w:spacing w:line="240" w:lineRule="auto" w:before="0" w:after="0"/>
        <w:ind w:left="1789" w:right="0" w:hanging="530"/>
        <w:jc w:val="left"/>
        <w:rPr>
          <w:sz w:val="21"/>
        </w:rPr>
      </w:pPr>
      <w:r>
        <w:rPr>
          <w:spacing w:val="-3"/>
          <w:sz w:val="21"/>
        </w:rPr>
        <w:t>本基金可以按照国家的有关规定进行融资。</w:t>
      </w:r>
    </w:p>
    <w:p>
      <w:pPr>
        <w:spacing w:after="0" w:line="240" w:lineRule="auto"/>
        <w:jc w:val="left"/>
        <w:rPr>
          <w:sz w:val="21"/>
        </w:rPr>
        <w:sectPr>
          <w:pgSz w:w="11910" w:h="16840"/>
          <w:pgMar w:header="877" w:footer="995" w:top="1100" w:bottom="1180" w:left="960" w:right="900"/>
        </w:sectPr>
      </w:pPr>
    </w:p>
    <w:p>
      <w:pPr>
        <w:pStyle w:val="BodyText"/>
        <w:spacing w:before="10"/>
        <w:rPr>
          <w:sz w:val="26"/>
        </w:rPr>
      </w:pPr>
    </w:p>
    <w:p>
      <w:pPr>
        <w:pStyle w:val="ListParagraph"/>
        <w:numPr>
          <w:ilvl w:val="0"/>
          <w:numId w:val="59"/>
        </w:numPr>
        <w:tabs>
          <w:tab w:pos="1790" w:val="left" w:leader="none"/>
        </w:tabs>
        <w:spacing w:line="240" w:lineRule="auto" w:before="78" w:after="0"/>
        <w:ind w:left="1789" w:right="0" w:hanging="530"/>
        <w:jc w:val="left"/>
        <w:rPr>
          <w:sz w:val="21"/>
        </w:rPr>
      </w:pPr>
      <w:r>
        <w:rPr>
          <w:spacing w:val="-3"/>
          <w:sz w:val="21"/>
        </w:rPr>
        <w:t>相关法律、法规或部门规章规定的其他比例限制。</w:t>
      </w:r>
    </w:p>
    <w:p>
      <w:pPr>
        <w:pStyle w:val="BodyText"/>
        <w:spacing w:before="7"/>
        <w:rPr>
          <w:sz w:val="15"/>
        </w:rPr>
      </w:pPr>
    </w:p>
    <w:p>
      <w:pPr>
        <w:pStyle w:val="BodyText"/>
        <w:spacing w:line="417" w:lineRule="auto"/>
        <w:ind w:left="840" w:right="891" w:firstLine="419"/>
      </w:pPr>
      <w:r>
        <w:rPr>
          <w:spacing w:val="-12"/>
        </w:rPr>
        <w:t>除投资资产配置比例外，基金托管人对基金的投资比例的监督和检查自本基金合同生效</w:t>
      </w:r>
      <w:r>
        <w:rPr>
          <w:spacing w:val="-6"/>
        </w:rPr>
        <w:t>之日起开始。</w:t>
      </w:r>
    </w:p>
    <w:p>
      <w:pPr>
        <w:pStyle w:val="BodyText"/>
        <w:spacing w:line="417" w:lineRule="auto"/>
        <w:ind w:left="840" w:right="894" w:firstLine="419"/>
      </w:pPr>
      <w:r>
        <w:rPr>
          <w:rFonts w:ascii="Times New Roman" w:eastAsia="Times New Roman"/>
        </w:rPr>
        <w:t>3</w:t>
      </w:r>
      <w:r>
        <w:rPr/>
        <w:t>、基金托管人根据有关法律法规的规定及基金合同的约定对下述基金投资禁止行为进行监督：</w:t>
      </w:r>
    </w:p>
    <w:p>
      <w:pPr>
        <w:pStyle w:val="BodyText"/>
        <w:spacing w:line="269" w:lineRule="exact"/>
        <w:ind w:left="1260"/>
      </w:pPr>
      <w:r>
        <w:rPr/>
        <w:t>根据法律法规的规定及基金合同的约定，本基金禁止从事下列行为：</w:t>
      </w:r>
    </w:p>
    <w:p>
      <w:pPr>
        <w:pStyle w:val="BodyText"/>
        <w:spacing w:before="6"/>
        <w:rPr>
          <w:sz w:val="15"/>
        </w:rPr>
      </w:pPr>
    </w:p>
    <w:p>
      <w:pPr>
        <w:pStyle w:val="ListParagraph"/>
        <w:numPr>
          <w:ilvl w:val="0"/>
          <w:numId w:val="61"/>
        </w:numPr>
        <w:tabs>
          <w:tab w:pos="1790" w:val="left" w:leader="none"/>
        </w:tabs>
        <w:spacing w:line="240" w:lineRule="auto" w:before="0" w:after="0"/>
        <w:ind w:left="1789" w:right="0" w:hanging="530"/>
        <w:jc w:val="left"/>
        <w:rPr>
          <w:sz w:val="21"/>
        </w:rPr>
      </w:pPr>
      <w:r>
        <w:rPr>
          <w:spacing w:val="-3"/>
          <w:sz w:val="21"/>
        </w:rPr>
        <w:t>承销证券；</w:t>
      </w:r>
    </w:p>
    <w:p>
      <w:pPr>
        <w:pStyle w:val="BodyText"/>
        <w:spacing w:before="7"/>
        <w:rPr>
          <w:sz w:val="15"/>
        </w:rPr>
      </w:pPr>
    </w:p>
    <w:p>
      <w:pPr>
        <w:pStyle w:val="ListParagraph"/>
        <w:numPr>
          <w:ilvl w:val="0"/>
          <w:numId w:val="61"/>
        </w:numPr>
        <w:tabs>
          <w:tab w:pos="1790" w:val="left" w:leader="none"/>
        </w:tabs>
        <w:spacing w:line="240" w:lineRule="auto" w:before="1" w:after="0"/>
        <w:ind w:left="1789" w:right="0" w:hanging="530"/>
        <w:jc w:val="left"/>
        <w:rPr>
          <w:sz w:val="21"/>
        </w:rPr>
      </w:pPr>
      <w:r>
        <w:rPr>
          <w:spacing w:val="-3"/>
          <w:sz w:val="21"/>
        </w:rPr>
        <w:t>向他人贷款或提供担保；</w:t>
      </w:r>
    </w:p>
    <w:p>
      <w:pPr>
        <w:pStyle w:val="BodyText"/>
        <w:spacing w:before="6"/>
        <w:rPr>
          <w:sz w:val="15"/>
        </w:rPr>
      </w:pPr>
    </w:p>
    <w:p>
      <w:pPr>
        <w:pStyle w:val="ListParagraph"/>
        <w:numPr>
          <w:ilvl w:val="0"/>
          <w:numId w:val="61"/>
        </w:numPr>
        <w:tabs>
          <w:tab w:pos="1790" w:val="left" w:leader="none"/>
        </w:tabs>
        <w:spacing w:line="240" w:lineRule="auto" w:before="0" w:after="0"/>
        <w:ind w:left="1789" w:right="0" w:hanging="530"/>
        <w:jc w:val="left"/>
        <w:rPr>
          <w:sz w:val="21"/>
        </w:rPr>
      </w:pPr>
      <w:r>
        <w:rPr>
          <w:spacing w:val="-3"/>
          <w:sz w:val="21"/>
        </w:rPr>
        <w:t>从事可能使基金承担无限责任的投资；</w:t>
      </w:r>
    </w:p>
    <w:p>
      <w:pPr>
        <w:pStyle w:val="BodyText"/>
        <w:spacing w:before="7"/>
        <w:rPr>
          <w:sz w:val="15"/>
        </w:rPr>
      </w:pPr>
    </w:p>
    <w:p>
      <w:pPr>
        <w:pStyle w:val="ListParagraph"/>
        <w:numPr>
          <w:ilvl w:val="0"/>
          <w:numId w:val="61"/>
        </w:numPr>
        <w:tabs>
          <w:tab w:pos="1790" w:val="left" w:leader="none"/>
        </w:tabs>
        <w:spacing w:line="240" w:lineRule="auto" w:before="0" w:after="0"/>
        <w:ind w:left="1789" w:right="0" w:hanging="530"/>
        <w:jc w:val="left"/>
        <w:rPr>
          <w:sz w:val="21"/>
        </w:rPr>
      </w:pPr>
      <w:r>
        <w:rPr>
          <w:spacing w:val="-3"/>
          <w:sz w:val="21"/>
        </w:rPr>
        <w:t>买卖其他基金份额，但国务院另有规定的除外；</w:t>
      </w:r>
    </w:p>
    <w:p>
      <w:pPr>
        <w:pStyle w:val="BodyText"/>
        <w:spacing w:before="7"/>
        <w:rPr>
          <w:sz w:val="15"/>
        </w:rPr>
      </w:pPr>
    </w:p>
    <w:p>
      <w:pPr>
        <w:pStyle w:val="ListParagraph"/>
        <w:numPr>
          <w:ilvl w:val="0"/>
          <w:numId w:val="61"/>
        </w:numPr>
        <w:tabs>
          <w:tab w:pos="1790" w:val="left" w:leader="none"/>
        </w:tabs>
        <w:spacing w:line="417" w:lineRule="auto" w:before="0" w:after="0"/>
        <w:ind w:left="840" w:right="894" w:firstLine="419"/>
        <w:jc w:val="left"/>
        <w:rPr>
          <w:sz w:val="21"/>
        </w:rPr>
      </w:pPr>
      <w:r>
        <w:rPr>
          <w:spacing w:val="-3"/>
          <w:sz w:val="21"/>
        </w:rPr>
        <w:t>向基金管理人、基金托管人出资或者买卖其基金管理人、基金托管人发行的股票或债券；</w:t>
      </w:r>
    </w:p>
    <w:p>
      <w:pPr>
        <w:pStyle w:val="ListParagraph"/>
        <w:numPr>
          <w:ilvl w:val="0"/>
          <w:numId w:val="61"/>
        </w:numPr>
        <w:tabs>
          <w:tab w:pos="1790" w:val="left" w:leader="none"/>
        </w:tabs>
        <w:spacing w:line="417" w:lineRule="auto" w:before="0" w:after="0"/>
        <w:ind w:left="840" w:right="894" w:firstLine="419"/>
        <w:jc w:val="left"/>
        <w:rPr>
          <w:sz w:val="21"/>
        </w:rPr>
      </w:pPr>
      <w:r>
        <w:rPr>
          <w:spacing w:val="-3"/>
          <w:sz w:val="21"/>
        </w:rPr>
        <w:t>买卖与基金管理人、基金托管人有控股关系的股东或者与基金管理人、基金托管人有其他重大利害关系的公司发行的证券或者承销期内承销的证券；</w:t>
      </w:r>
    </w:p>
    <w:p>
      <w:pPr>
        <w:pStyle w:val="ListParagraph"/>
        <w:numPr>
          <w:ilvl w:val="0"/>
          <w:numId w:val="61"/>
        </w:numPr>
        <w:tabs>
          <w:tab w:pos="1790" w:val="left" w:leader="none"/>
        </w:tabs>
        <w:spacing w:line="240" w:lineRule="auto" w:before="0" w:after="0"/>
        <w:ind w:left="1789" w:right="0" w:hanging="530"/>
        <w:jc w:val="left"/>
        <w:rPr>
          <w:sz w:val="21"/>
        </w:rPr>
      </w:pPr>
      <w:r>
        <w:rPr>
          <w:spacing w:val="-3"/>
          <w:sz w:val="21"/>
        </w:rPr>
        <w:t>从事内幕交易、操纵证券价格及其他不正当的证券交易活动；</w:t>
      </w:r>
    </w:p>
    <w:p>
      <w:pPr>
        <w:pStyle w:val="BodyText"/>
        <w:spacing w:before="6"/>
        <w:rPr>
          <w:sz w:val="15"/>
        </w:rPr>
      </w:pPr>
    </w:p>
    <w:p>
      <w:pPr>
        <w:pStyle w:val="ListParagraph"/>
        <w:numPr>
          <w:ilvl w:val="0"/>
          <w:numId w:val="61"/>
        </w:numPr>
        <w:tabs>
          <w:tab w:pos="1790" w:val="left" w:leader="none"/>
        </w:tabs>
        <w:spacing w:line="417" w:lineRule="auto" w:before="0" w:after="0"/>
        <w:ind w:left="1260" w:right="1112" w:firstLine="0"/>
        <w:jc w:val="left"/>
        <w:rPr>
          <w:sz w:val="21"/>
        </w:rPr>
      </w:pPr>
      <w:r>
        <w:rPr>
          <w:spacing w:val="-3"/>
          <w:sz w:val="21"/>
        </w:rPr>
        <w:t>当时有效的法律法规、中国证监会及《基金合同》规定禁止从事的其他行为。对上述事项，法律法规或监管部门取消相关限制，本基金不受上述限制。</w:t>
      </w:r>
    </w:p>
    <w:p>
      <w:pPr>
        <w:pStyle w:val="BodyText"/>
        <w:spacing w:line="417" w:lineRule="auto"/>
        <w:ind w:left="840" w:right="894" w:firstLine="419"/>
      </w:pPr>
      <w:r>
        <w:rPr>
          <w:rFonts w:ascii="Times New Roman" w:eastAsia="Times New Roman"/>
        </w:rPr>
        <w:t>4</w:t>
      </w:r>
      <w:r>
        <w:rPr/>
        <w:t>、基金托管人依据有关法律法规的规定和基金合同的约定对于基金关联投资限制进行监督。</w:t>
      </w:r>
    </w:p>
    <w:p>
      <w:pPr>
        <w:pStyle w:val="BodyText"/>
        <w:spacing w:line="417" w:lineRule="auto"/>
        <w:ind w:left="840" w:right="785" w:firstLine="419"/>
      </w:pPr>
      <w:r>
        <w:rPr>
          <w:spacing w:val="-8"/>
        </w:rPr>
        <w:t>根据法律法规有关基金禁止从事的关联交易的规定，基金管理人和基金托管人应事先相互提供与本机构有控股关系的股东或与本机构有其他重大利害关系的公司名单及其更新，并</w:t>
      </w:r>
      <w:r>
        <w:rPr>
          <w:spacing w:val="-14"/>
        </w:rPr>
        <w:t>确保所提供的关联交易名单的真实性、完整性、全面性。基金管理人有责任保管真实、完整、</w:t>
      </w:r>
      <w:r>
        <w:rPr>
          <w:spacing w:val="-13"/>
        </w:rPr>
        <w:t>全面的关联交易名单，并负责及时更新该名单。名单变更后基金管理人应及时发送基金托管</w:t>
      </w:r>
      <w:r>
        <w:rPr>
          <w:spacing w:val="-15"/>
        </w:rPr>
        <w:t>人，基金托管人于 </w:t>
      </w:r>
      <w:r>
        <w:rPr>
          <w:rFonts w:ascii="Times New Roman" w:eastAsia="Times New Roman"/>
        </w:rPr>
        <w:t>2 </w:t>
      </w:r>
      <w:r>
        <w:rPr>
          <w:spacing w:val="-6"/>
        </w:rPr>
        <w:t>个工作日内进行回函确认已知名单的变更。如果基金托管人在运作中严</w:t>
      </w:r>
      <w:r>
        <w:rPr>
          <w:spacing w:val="-11"/>
        </w:rPr>
        <w:t>格遵循了监督流程，基金管理人仍违规进行关联交易，并造成基金资产损失的，由基金管理</w:t>
      </w:r>
      <w:r>
        <w:rPr>
          <w:spacing w:val="-6"/>
        </w:rPr>
        <w:t>人承担责任。</w:t>
      </w:r>
    </w:p>
    <w:p>
      <w:pPr>
        <w:pStyle w:val="BodyText"/>
        <w:spacing w:line="417" w:lineRule="auto"/>
        <w:ind w:left="840" w:right="797" w:firstLine="419"/>
        <w:jc w:val="both"/>
      </w:pPr>
      <w:r>
        <w:rPr/>
        <w:t>若基金托管人发现基金管理人与关联交易名单中列示的关联方进行法律法规禁止基金 </w:t>
      </w:r>
      <w:r>
        <w:rPr>
          <w:spacing w:val="-12"/>
        </w:rPr>
        <w:t>从事的关联交易时，基金托管人应及时提醒并协助基金管理人采取必要措施阻止该关联交易的发生，若基金托管人采取必要措施后仍无法阻止关联交易发生时，基金托管人有权向中国</w:t>
      </w:r>
      <w:r>
        <w:rPr>
          <w:spacing w:val="-6"/>
        </w:rPr>
        <w:t>证监会报告。对于交易所场内已成交的关联交易，基金托管人无法阻止该关联交易的发生，</w:t>
      </w:r>
    </w:p>
    <w:p>
      <w:pPr>
        <w:spacing w:after="0" w:line="417" w:lineRule="auto"/>
        <w:jc w:val="both"/>
        <w:sectPr>
          <w:pgSz w:w="11910" w:h="16840"/>
          <w:pgMar w:header="877" w:footer="995" w:top="1100" w:bottom="1180" w:left="960" w:right="900"/>
        </w:sectPr>
      </w:pPr>
    </w:p>
    <w:p>
      <w:pPr>
        <w:pStyle w:val="BodyText"/>
        <w:spacing w:before="4"/>
        <w:rPr>
          <w:sz w:val="27"/>
        </w:rPr>
      </w:pPr>
    </w:p>
    <w:p>
      <w:pPr>
        <w:pStyle w:val="BodyText"/>
        <w:spacing w:before="71"/>
        <w:ind w:left="840"/>
      </w:pPr>
      <w:r>
        <w:rPr/>
        <w:t>只能进行结算，同时向中国证监会报告。</w:t>
      </w:r>
    </w:p>
    <w:p>
      <w:pPr>
        <w:pStyle w:val="BodyText"/>
        <w:spacing w:before="7"/>
        <w:rPr>
          <w:sz w:val="15"/>
        </w:rPr>
      </w:pPr>
    </w:p>
    <w:p>
      <w:pPr>
        <w:pStyle w:val="BodyText"/>
        <w:spacing w:line="417" w:lineRule="auto"/>
        <w:ind w:left="840" w:right="894" w:firstLine="419"/>
      </w:pPr>
      <w:r>
        <w:rPr>
          <w:rFonts w:ascii="Times New Roman" w:eastAsia="Times New Roman"/>
        </w:rPr>
        <w:t>5</w:t>
      </w:r>
      <w:r>
        <w:rPr/>
        <w:t>、基金托管人依据有关法律法规的规定和基金合同的约定对基金管理人参与银行间债券市场进行监督。</w:t>
      </w:r>
    </w:p>
    <w:p>
      <w:pPr>
        <w:pStyle w:val="ListParagraph"/>
        <w:numPr>
          <w:ilvl w:val="0"/>
          <w:numId w:val="62"/>
        </w:numPr>
        <w:tabs>
          <w:tab w:pos="1790" w:val="left" w:leader="none"/>
        </w:tabs>
        <w:spacing w:line="417" w:lineRule="auto" w:before="0" w:after="0"/>
        <w:ind w:left="840" w:right="894" w:firstLine="419"/>
        <w:jc w:val="left"/>
        <w:rPr>
          <w:sz w:val="21"/>
        </w:rPr>
      </w:pPr>
      <w:r>
        <w:rPr>
          <w:spacing w:val="-3"/>
          <w:sz w:val="21"/>
        </w:rPr>
        <w:t>基金托管人依据有关法律法规的规定和基金合同的约定对于基金管理人参与银行间市场交易时面临的交易对手资信风险进行监督。</w:t>
      </w:r>
    </w:p>
    <w:p>
      <w:pPr>
        <w:pStyle w:val="BodyText"/>
        <w:spacing w:line="417" w:lineRule="auto"/>
        <w:ind w:left="840" w:right="797" w:firstLine="419"/>
      </w:pPr>
      <w:r>
        <w:rPr>
          <w:spacing w:val="-3"/>
        </w:rPr>
        <w:t>基金管理人向基金托管人提供符合法律法规及行业标准的银行间市场交易对手的名单， </w:t>
      </w:r>
      <w:r>
        <w:rPr>
          <w:spacing w:val="-6"/>
        </w:rPr>
        <w:t>并按照审慎的风险控制原则在该名单中约定各交易对手所适用的交易结算方式。基金托管人</w:t>
      </w:r>
      <w:r>
        <w:rPr>
          <w:spacing w:val="-10"/>
        </w:rPr>
        <w:t>在收到名单后 </w:t>
      </w:r>
      <w:r>
        <w:rPr>
          <w:rFonts w:ascii="Times New Roman" w:eastAsia="Times New Roman"/>
        </w:rPr>
        <w:t>2 </w:t>
      </w:r>
      <w:r>
        <w:rPr>
          <w:spacing w:val="-10"/>
        </w:rPr>
        <w:t>个工作日内回函确认收到该名单。基金管理人应定期或不定期对银行间市场</w:t>
      </w:r>
      <w:r>
        <w:rPr>
          <w:spacing w:val="-11"/>
        </w:rPr>
        <w:t>现券及回购交易对手的名单进行更新，名单中增加或减少银行间市场交易对手时须向基金托</w:t>
      </w:r>
      <w:r>
        <w:rPr>
          <w:spacing w:val="-12"/>
        </w:rPr>
        <w:t>管人提出书面申请，基金托管人于 </w:t>
      </w:r>
      <w:r>
        <w:rPr>
          <w:rFonts w:ascii="Times New Roman" w:eastAsia="Times New Roman"/>
        </w:rPr>
        <w:t>2 </w:t>
      </w:r>
      <w:r>
        <w:rPr>
          <w:spacing w:val="-8"/>
        </w:rPr>
        <w:t>个工作日内回函确认收到后，对名单进行更新。基金管</w:t>
      </w:r>
      <w:r>
        <w:rPr>
          <w:spacing w:val="-10"/>
        </w:rPr>
        <w:t>理人收到基金托管人书面确认后，被确认调整的名单开始生效，新名单生效前已与本次剔除</w:t>
      </w:r>
      <w:r>
        <w:rPr>
          <w:spacing w:val="-5"/>
        </w:rPr>
        <w:t>的交易对手所进行但尚未结算的交易，仍应按照协议进行结算。</w:t>
      </w:r>
    </w:p>
    <w:p>
      <w:pPr>
        <w:pStyle w:val="BodyText"/>
        <w:spacing w:line="417" w:lineRule="auto"/>
        <w:ind w:left="840" w:right="891" w:firstLine="419"/>
        <w:jc w:val="both"/>
      </w:pPr>
      <w:r>
        <w:rPr>
          <w:spacing w:val="-6"/>
        </w:rPr>
        <w:t>如果基金托管人发现基金管理人与不在名单内的银行间市场交易对手进行交易，应及时</w:t>
      </w:r>
      <w:r>
        <w:rPr>
          <w:spacing w:val="-10"/>
        </w:rPr>
        <w:t>提醒基金管理人撤销交易，经提醒后基金管理人仍执行交易并造成基金资产损失的，基金托</w:t>
      </w:r>
      <w:r>
        <w:rPr>
          <w:spacing w:val="-5"/>
        </w:rPr>
        <w:t>管人不承担责任，发生此种情形时，托管人有权报告中国证监会。</w:t>
      </w:r>
    </w:p>
    <w:p>
      <w:pPr>
        <w:pStyle w:val="ListParagraph"/>
        <w:numPr>
          <w:ilvl w:val="0"/>
          <w:numId w:val="62"/>
        </w:numPr>
        <w:tabs>
          <w:tab w:pos="1790" w:val="left" w:leader="none"/>
        </w:tabs>
        <w:spacing w:line="240" w:lineRule="auto" w:before="0" w:after="0"/>
        <w:ind w:left="1789" w:right="0" w:hanging="530"/>
        <w:jc w:val="left"/>
        <w:rPr>
          <w:sz w:val="21"/>
        </w:rPr>
      </w:pPr>
      <w:r>
        <w:rPr>
          <w:spacing w:val="-3"/>
          <w:sz w:val="21"/>
        </w:rPr>
        <w:t>基金托管人对于基金管理人参与银行间市场交易的交易方式的控制</w:t>
      </w:r>
    </w:p>
    <w:p>
      <w:pPr>
        <w:pStyle w:val="BodyText"/>
        <w:spacing w:line="417" w:lineRule="auto" w:before="198"/>
        <w:ind w:left="840" w:right="800" w:firstLine="419"/>
        <w:jc w:val="both"/>
      </w:pPr>
      <w:r>
        <w:rPr>
          <w:spacing w:val="-7"/>
        </w:rPr>
        <w:t>基金管理人在银行间市场进行现券买卖和回购交易时，需按交易对手名单中约定的该交</w:t>
      </w:r>
      <w:r>
        <w:rPr>
          <w:spacing w:val="-10"/>
        </w:rPr>
        <w:t>易对手所适用的交易结算方式进行交易。如果基金托管人发现基金管理人没有按照事先约定的有利于信用风险控制的交易方式进行交易时，基金托管人应及时提醒基金管理人与交易对</w:t>
      </w:r>
      <w:r>
        <w:rPr>
          <w:spacing w:val="-5"/>
        </w:rPr>
        <w:t>手重新确定交易方式，经提醒后仍未改正时造成基金资产损失的，基金托管人不承担责任。</w:t>
      </w:r>
    </w:p>
    <w:p>
      <w:pPr>
        <w:pStyle w:val="ListParagraph"/>
        <w:numPr>
          <w:ilvl w:val="0"/>
          <w:numId w:val="62"/>
        </w:numPr>
        <w:tabs>
          <w:tab w:pos="1790" w:val="left" w:leader="none"/>
        </w:tabs>
        <w:spacing w:line="417" w:lineRule="auto" w:before="0" w:after="0"/>
        <w:ind w:left="840" w:right="785" w:firstLine="419"/>
        <w:jc w:val="left"/>
        <w:rPr>
          <w:sz w:val="21"/>
        </w:rPr>
      </w:pPr>
      <w:r>
        <w:rPr>
          <w:spacing w:val="-3"/>
          <w:sz w:val="21"/>
        </w:rPr>
        <w:t>基金管理人参与银行间市场交易的核心交易对手为中国工商银行股份有限公司、</w:t>
      </w:r>
      <w:r>
        <w:rPr>
          <w:spacing w:val="-10"/>
          <w:sz w:val="21"/>
        </w:rPr>
        <w:t>中国银行股份有限公司、中国建设银行股份有限公司、中国农业银行和交通银行股份有限公</w:t>
      </w:r>
      <w:r>
        <w:rPr>
          <w:spacing w:val="-18"/>
          <w:sz w:val="21"/>
        </w:rPr>
        <w:t>司，基金管理人与基金托管人协商一致后，可以根据当时的市场情况调整核心交易对手名单。基金管理人有责任控制交易对手的资信风险，在与核心交易对手以外的交易对手进行交易 </w:t>
      </w:r>
      <w:r>
        <w:rPr>
          <w:spacing w:val="-12"/>
          <w:sz w:val="21"/>
        </w:rPr>
        <w:t>时，由于交易对手资信风险引起的损失先由基金管理人承担，其后有权要求相关责任人进行赔偿。如果基金托管人在运作中严格遵循了上述监督流程，则对于由于交易对手资信风险引</w:t>
      </w:r>
      <w:r>
        <w:rPr>
          <w:spacing w:val="-6"/>
          <w:sz w:val="21"/>
        </w:rPr>
        <w:t>起的损失，不承担赔偿责任。</w:t>
      </w:r>
    </w:p>
    <w:p>
      <w:pPr>
        <w:pStyle w:val="BodyText"/>
        <w:spacing w:line="268" w:lineRule="exact"/>
        <w:ind w:left="1260"/>
      </w:pPr>
      <w:r>
        <w:rPr>
          <w:rFonts w:ascii="Times New Roman" w:eastAsia="Times New Roman"/>
        </w:rPr>
        <w:t>6</w:t>
      </w:r>
      <w:r>
        <w:rPr/>
        <w:t>、基金托管人对基金管理人选择存款银行进行监督。</w:t>
      </w:r>
    </w:p>
    <w:p>
      <w:pPr>
        <w:pStyle w:val="BodyText"/>
        <w:spacing w:before="6"/>
        <w:rPr>
          <w:sz w:val="15"/>
        </w:rPr>
      </w:pPr>
    </w:p>
    <w:p>
      <w:pPr>
        <w:pStyle w:val="BodyText"/>
        <w:spacing w:line="417" w:lineRule="auto"/>
        <w:ind w:left="840" w:right="891" w:firstLine="419"/>
      </w:pPr>
      <w:r>
        <w:rPr>
          <w:spacing w:val="-6"/>
        </w:rPr>
        <w:t>基金管理人将符合法律法规及行业标准的存款银行名单提供给基金托管人，基金托管人</w:t>
      </w:r>
      <w:r>
        <w:rPr>
          <w:spacing w:val="-1"/>
        </w:rPr>
        <w:t>对该名单于 </w:t>
      </w:r>
      <w:r>
        <w:rPr>
          <w:rFonts w:ascii="Times New Roman" w:eastAsia="Times New Roman"/>
        </w:rPr>
        <w:t>2 </w:t>
      </w:r>
      <w:r>
        <w:rPr>
          <w:spacing w:val="-3"/>
        </w:rPr>
        <w:t>个工作日内回函确认。如果基金管理人投资存款的银行不在上述名单范围之</w:t>
      </w:r>
    </w:p>
    <w:p>
      <w:pPr>
        <w:spacing w:after="0" w:line="417" w:lineRule="auto"/>
        <w:sectPr>
          <w:footerReference w:type="default" r:id="rId174"/>
          <w:pgSz w:w="11910" w:h="16840"/>
          <w:pgMar w:footer="995" w:header="877" w:top="1100" w:bottom="1180" w:left="960" w:right="900"/>
        </w:sectPr>
      </w:pPr>
    </w:p>
    <w:p>
      <w:pPr>
        <w:pStyle w:val="BodyText"/>
        <w:spacing w:before="4"/>
        <w:rPr>
          <w:sz w:val="27"/>
        </w:rPr>
      </w:pPr>
    </w:p>
    <w:p>
      <w:pPr>
        <w:pStyle w:val="BodyText"/>
        <w:spacing w:before="71"/>
        <w:ind w:left="840"/>
      </w:pPr>
      <w:r>
        <w:rPr/>
        <w:t>内，基金托管人有权不予执行，由此造成基金财产损失的，应由基金管理人承担。</w:t>
      </w:r>
    </w:p>
    <w:p>
      <w:pPr>
        <w:pStyle w:val="BodyText"/>
        <w:spacing w:before="7"/>
        <w:rPr>
          <w:sz w:val="15"/>
        </w:rPr>
      </w:pPr>
    </w:p>
    <w:p>
      <w:pPr>
        <w:pStyle w:val="BodyText"/>
        <w:spacing w:line="417" w:lineRule="auto"/>
        <w:ind w:left="840" w:right="891" w:firstLine="419"/>
        <w:jc w:val="both"/>
      </w:pPr>
      <w:r>
        <w:rPr>
          <w:spacing w:val="-7"/>
        </w:rPr>
        <w:t>基金管理人应定期或不定期对存款银行名单进行更新，名单中增加或减少存款银行时应</w:t>
      </w:r>
      <w:r>
        <w:rPr>
          <w:spacing w:val="-11"/>
        </w:rPr>
        <w:t>向基金托管人提出书面申请，基金托管人于 </w:t>
      </w:r>
      <w:r>
        <w:rPr>
          <w:rFonts w:ascii="Times New Roman" w:eastAsia="Times New Roman"/>
        </w:rPr>
        <w:t>2 </w:t>
      </w:r>
      <w:r>
        <w:rPr>
          <w:spacing w:val="-7"/>
        </w:rPr>
        <w:t>个工作日内对回函确认收到，基金托管人回函</w:t>
      </w:r>
      <w:r>
        <w:rPr>
          <w:spacing w:val="-5"/>
        </w:rPr>
        <w:t>确认收到名单两天后，被确认调整的存款银行名单开始生效。</w:t>
      </w:r>
    </w:p>
    <w:p>
      <w:pPr>
        <w:pStyle w:val="BodyText"/>
        <w:spacing w:line="417" w:lineRule="auto"/>
        <w:ind w:left="840" w:right="797" w:firstLine="419"/>
      </w:pPr>
      <w:r>
        <w:rPr>
          <w:spacing w:val="-7"/>
        </w:rPr>
        <w:t>本基金投资银行存款的信用风险主要包括存款银行的信用等级、存款银行的支付能力等</w:t>
      </w:r>
      <w:r>
        <w:rPr>
          <w:spacing w:val="-5"/>
        </w:rPr>
        <w:t>涉及到存款银行选择方面的风险。本基金核心存款银行名单为中国工商银行股份有限公司、</w:t>
      </w:r>
      <w:r>
        <w:rPr>
          <w:spacing w:val="-11"/>
        </w:rPr>
        <w:t>中国银行股份有限公司、中国建设银行股份有限公司、中国农业银行和交通银行股份有限公司，本基金投资除核心存款银行以外的银行存款出现由于存款银行信用风险而造成的损失 时，先由基金管理人负责赔偿，之后有权要求相关责任人进行赔偿，如果基金托管人在运作过程中遵循上述监督流程，则对于由于存款银行信用风险引起的损失，不承担赔偿责任。基</w:t>
      </w:r>
      <w:r>
        <w:rPr>
          <w:spacing w:val="-12"/>
        </w:rPr>
        <w:t>金管理人与基金托管人协商一致后，可以根据当时的市场情况对于核心存款银行名单进行调整。</w:t>
      </w:r>
    </w:p>
    <w:p>
      <w:pPr>
        <w:pStyle w:val="BodyText"/>
        <w:spacing w:line="417" w:lineRule="auto"/>
        <w:ind w:left="840" w:right="785" w:firstLine="419"/>
      </w:pPr>
      <w:r>
        <w:rPr/>
        <w:t>（</w:t>
      </w:r>
      <w:r>
        <w:rPr>
          <w:spacing w:val="-3"/>
        </w:rPr>
        <w:t>二</w:t>
      </w:r>
      <w:r>
        <w:rPr>
          <w:spacing w:val="-99"/>
        </w:rPr>
        <w:t>）</w:t>
      </w:r>
      <w:r>
        <w:rPr>
          <w:spacing w:val="-7"/>
        </w:rPr>
        <w:t>基金托管人应根据有关法律法规的规定及基金合同的约定，对基金资产净值计算、</w:t>
      </w:r>
      <w:r>
        <w:rPr>
          <w:spacing w:val="-12"/>
        </w:rPr>
        <w:t>基金份额净值计算、应收资金到账、基金费用开支及收入确定、基金收益分配、相关信息披</w:t>
      </w:r>
      <w:r>
        <w:rPr>
          <w:spacing w:val="-6"/>
        </w:rPr>
        <w:t>露、基金宣传推介材料中登载基金业绩表现数据等进行监督和核查。</w:t>
      </w:r>
    </w:p>
    <w:p>
      <w:pPr>
        <w:pStyle w:val="BodyText"/>
        <w:spacing w:line="417" w:lineRule="auto"/>
        <w:ind w:left="840" w:right="891" w:firstLine="419"/>
        <w:jc w:val="both"/>
      </w:pPr>
      <w:r>
        <w:rPr/>
        <w:t>（三）</w:t>
      </w:r>
      <w:r>
        <w:rPr>
          <w:spacing w:val="-7"/>
        </w:rPr>
        <w:t>基金托管人发现基金管理人的投资运作及其他运作违反《基金法》、基金合同、</w:t>
      </w:r>
      <w:r>
        <w:rPr>
          <w:spacing w:val="-10"/>
        </w:rPr>
        <w:t>基金托管协议及其他有关规定时，应及时以书面形式通知基金管理人限期纠正，基金管理人收到通知后应在下一个工作日及时核对，并以书面形式向基金托管人发出回函，进行解释或举证。</w:t>
      </w:r>
    </w:p>
    <w:p>
      <w:pPr>
        <w:pStyle w:val="BodyText"/>
        <w:spacing w:line="417" w:lineRule="auto"/>
        <w:ind w:left="840" w:right="891" w:firstLine="419"/>
        <w:jc w:val="both"/>
      </w:pPr>
      <w:r>
        <w:rPr>
          <w:spacing w:val="-10"/>
        </w:rPr>
        <w:t>在限期内，基金托管人有权随时对通知事项进行复查，督促基金管理人改正。基金管理</w:t>
      </w:r>
      <w:r>
        <w:rPr>
          <w:spacing w:val="-9"/>
        </w:rPr>
        <w:t>人对基金托管人通知的违规事项未能在限期内纠正的，基金托管人应报告中国证监会。基金</w:t>
      </w:r>
      <w:r>
        <w:rPr>
          <w:spacing w:val="-5"/>
        </w:rPr>
        <w:t>托管人有义务要求基金管理人赔偿因其违反基金合同而致使投资者遭受的损失。</w:t>
      </w:r>
    </w:p>
    <w:p>
      <w:pPr>
        <w:pStyle w:val="BodyText"/>
        <w:spacing w:line="417" w:lineRule="auto"/>
        <w:ind w:left="840" w:right="891" w:firstLine="419"/>
        <w:jc w:val="both"/>
      </w:pPr>
      <w:r>
        <w:rPr>
          <w:spacing w:val="-7"/>
        </w:rPr>
        <w:t>基金管理人应积极配合和协助基金托管人的监督和核查，必须在规定时间内答复基金托</w:t>
      </w:r>
      <w:r>
        <w:rPr>
          <w:spacing w:val="-12"/>
        </w:rPr>
        <w:t>管人并改正，就基金托管人的疑义进行解释或举证，对基金托管人按照法规要求需向中国证</w:t>
      </w:r>
      <w:r>
        <w:rPr>
          <w:spacing w:val="-6"/>
        </w:rPr>
        <w:t>监会报送基金监督报告的，基金管理人应积极配合提供相关数据资料和制度等。</w:t>
      </w:r>
    </w:p>
    <w:p>
      <w:pPr>
        <w:pStyle w:val="BodyText"/>
        <w:spacing w:line="417" w:lineRule="auto"/>
        <w:ind w:left="840" w:right="891" w:firstLine="419"/>
      </w:pPr>
      <w:r>
        <w:rPr>
          <w:spacing w:val="-8"/>
        </w:rPr>
        <w:t>基金托管人发现基金管理人有重大违规行为，应立即报告中国证监会，同时通知基金管</w:t>
      </w:r>
      <w:r>
        <w:rPr>
          <w:spacing w:val="-5"/>
        </w:rPr>
        <w:t>理人限期纠正。</w:t>
      </w:r>
    </w:p>
    <w:p>
      <w:pPr>
        <w:pStyle w:val="BodyText"/>
        <w:spacing w:line="417" w:lineRule="auto"/>
        <w:ind w:left="840" w:right="891" w:firstLine="419"/>
        <w:jc w:val="both"/>
      </w:pPr>
      <w:r>
        <w:rPr>
          <w:spacing w:val="-9"/>
        </w:rPr>
        <w:t>基金管理人无正当理由，拒绝、阻挠基金托管人根据本协议规定行使监督权，或采取拖</w:t>
      </w:r>
      <w:r>
        <w:rPr>
          <w:spacing w:val="-11"/>
        </w:rPr>
        <w:t>延、欺诈等手段妨碍基金托管人进行有效监督，情节严重或经基金托管人提出警告仍不改正</w:t>
      </w:r>
      <w:r>
        <w:rPr>
          <w:spacing w:val="-6"/>
        </w:rPr>
        <w:t>的，基金托管人应报告中国证监会。</w:t>
      </w:r>
    </w:p>
    <w:p>
      <w:pPr>
        <w:spacing w:after="0" w:line="417" w:lineRule="auto"/>
        <w:jc w:val="both"/>
        <w:sectPr>
          <w:footerReference w:type="default" r:id="rId175"/>
          <w:pgSz w:w="11910" w:h="16840"/>
          <w:pgMar w:footer="995" w:header="877" w:top="1100" w:bottom="1180" w:left="960" w:right="900"/>
          <w:pgNumType w:start="151"/>
        </w:sectPr>
      </w:pPr>
    </w:p>
    <w:p>
      <w:pPr>
        <w:pStyle w:val="BodyText"/>
        <w:rPr>
          <w:sz w:val="20"/>
        </w:rPr>
      </w:pPr>
    </w:p>
    <w:p>
      <w:pPr>
        <w:pStyle w:val="BodyText"/>
        <w:rPr>
          <w:sz w:val="20"/>
        </w:rPr>
      </w:pPr>
    </w:p>
    <w:p>
      <w:pPr>
        <w:pStyle w:val="BodyText"/>
        <w:spacing w:before="10"/>
        <w:rPr>
          <w:sz w:val="23"/>
        </w:rPr>
      </w:pPr>
    </w:p>
    <w:p>
      <w:pPr>
        <w:pStyle w:val="Heading4"/>
        <w:spacing w:before="72"/>
      </w:pPr>
      <w:r>
        <w:rPr/>
        <w:t>三、基金管理人对基金托管人的业务核查</w:t>
      </w:r>
    </w:p>
    <w:p>
      <w:pPr>
        <w:pStyle w:val="BodyText"/>
        <w:spacing w:before="7"/>
        <w:rPr>
          <w:b/>
          <w:sz w:val="15"/>
        </w:rPr>
      </w:pPr>
    </w:p>
    <w:p>
      <w:pPr>
        <w:pStyle w:val="BodyText"/>
        <w:spacing w:line="417" w:lineRule="auto"/>
        <w:ind w:left="840" w:right="891" w:firstLine="419"/>
        <w:jc w:val="both"/>
      </w:pPr>
      <w:r>
        <w:rPr>
          <w:spacing w:val="-7"/>
        </w:rPr>
        <w:t>基金管理人对基金托管人履行托管职责情况进行核查，核查事项包括但不限于基金托管</w:t>
      </w:r>
      <w:r>
        <w:rPr>
          <w:spacing w:val="-12"/>
        </w:rPr>
        <w:t>人安全保管基金财产、开设基金财产的资金账户和证券账户、复核基金管理人计算的基金资</w:t>
      </w:r>
      <w:r>
        <w:rPr>
          <w:spacing w:val="-13"/>
        </w:rPr>
        <w:t>产净值和基金份额净值、根据管理人指令办理清算交收、相关信息披露和监督基金投资运作</w:t>
      </w:r>
      <w:r>
        <w:rPr>
          <w:spacing w:val="-8"/>
        </w:rPr>
        <w:t>等行为。</w:t>
      </w:r>
    </w:p>
    <w:p>
      <w:pPr>
        <w:pStyle w:val="BodyText"/>
        <w:spacing w:line="417" w:lineRule="auto"/>
        <w:ind w:left="840" w:right="785" w:firstLine="419"/>
      </w:pPr>
      <w:r>
        <w:rPr>
          <w:spacing w:val="-8"/>
        </w:rPr>
        <w:t>基金管理人发现基金托管人擅自挪用基金财产、未对基金财产实行分账管理、未执行或</w:t>
      </w:r>
      <w:r>
        <w:rPr>
          <w:spacing w:val="-11"/>
        </w:rPr>
        <w:t>无故延迟执行基金管理人资金划拨指令、泄露基金投资信息等违反《基金法》</w:t>
      </w:r>
      <w:r>
        <w:rPr>
          <w:spacing w:val="-33"/>
        </w:rPr>
        <w:t>、《基金合同》、</w:t>
      </w:r>
      <w:r>
        <w:rPr>
          <w:spacing w:val="-14"/>
        </w:rPr>
        <w:t>本托管协议及其他有关规定时，基金管理人应及时以书面形式通知基金托管人限期纠正，基</w:t>
      </w:r>
      <w:r>
        <w:rPr>
          <w:spacing w:val="-11"/>
        </w:rPr>
        <w:t>金托管人收到通知后应及时核对确认并以书面形式向基金管理人发出回函。在限期内，基金</w:t>
      </w:r>
      <w:r>
        <w:rPr>
          <w:spacing w:val="-10"/>
        </w:rPr>
        <w:t>管理人有权随时对通知事项进行复查，督促基金托管人改正，并予协助配合。基金托管人对基金管理人通知的违规事项未能在限期内纠正的，基金管理人应报告中国证监会。基金管理</w:t>
      </w:r>
      <w:r>
        <w:rPr>
          <w:spacing w:val="-5"/>
        </w:rPr>
        <w:t>人有义务要求基金托管人赔偿基金因此所遭受的损失。</w:t>
      </w:r>
    </w:p>
    <w:p>
      <w:pPr>
        <w:pStyle w:val="BodyText"/>
        <w:spacing w:line="417" w:lineRule="auto"/>
        <w:ind w:left="840" w:right="891" w:firstLine="419"/>
      </w:pPr>
      <w:r>
        <w:rPr>
          <w:spacing w:val="-8"/>
        </w:rPr>
        <w:t>基金管理人发现基金托管人有重大违规行为，应立即报告中国证监会和银行业监督管理</w:t>
      </w:r>
      <w:r>
        <w:rPr>
          <w:spacing w:val="-5"/>
        </w:rPr>
        <w:t>机构，同时通知基金托管人限期纠正。</w:t>
      </w:r>
    </w:p>
    <w:p>
      <w:pPr>
        <w:pStyle w:val="BodyText"/>
        <w:spacing w:line="417" w:lineRule="auto"/>
        <w:ind w:left="840" w:right="891" w:firstLine="419"/>
      </w:pPr>
      <w:r>
        <w:rPr>
          <w:spacing w:val="-8"/>
        </w:rPr>
        <w:t>基金托管人应积极配合基金管理人的核查行为，包括但不限于：提交相关资料以供基金</w:t>
      </w:r>
      <w:r>
        <w:rPr>
          <w:spacing w:val="-5"/>
        </w:rPr>
        <w:t>管理人核查托管财产的完整性和真实性，在规定时间内答复基金管理人并改正。</w:t>
      </w:r>
    </w:p>
    <w:p>
      <w:pPr>
        <w:pStyle w:val="BodyText"/>
        <w:spacing w:line="417" w:lineRule="auto"/>
        <w:ind w:left="840" w:right="891" w:firstLine="419"/>
        <w:jc w:val="both"/>
      </w:pPr>
      <w:r>
        <w:rPr>
          <w:spacing w:val="-9"/>
        </w:rPr>
        <w:t>基金托管人无正当理由，拒绝、阻挠基金管理人根据本协议规定行使监督权，或采取拖</w:t>
      </w:r>
      <w:r>
        <w:rPr>
          <w:spacing w:val="-11"/>
        </w:rPr>
        <w:t>延、欺诈等手段妨碍基金管理人进行有效监督，情节严重或经基金管理人提出警告仍不改正</w:t>
      </w:r>
      <w:r>
        <w:rPr>
          <w:spacing w:val="-6"/>
        </w:rPr>
        <w:t>的，基金管理人应报告中国证监会。</w:t>
      </w:r>
    </w:p>
    <w:p>
      <w:pPr>
        <w:pStyle w:val="BodyText"/>
        <w:rPr>
          <w:sz w:val="20"/>
        </w:rPr>
      </w:pPr>
    </w:p>
    <w:p>
      <w:pPr>
        <w:pStyle w:val="BodyText"/>
        <w:spacing w:before="5"/>
        <w:rPr>
          <w:sz w:val="16"/>
        </w:rPr>
      </w:pPr>
    </w:p>
    <w:p>
      <w:pPr>
        <w:pStyle w:val="Heading4"/>
      </w:pPr>
      <w:r>
        <w:rPr/>
        <w:t>四、基金财产保管</w:t>
      </w:r>
    </w:p>
    <w:p>
      <w:pPr>
        <w:pStyle w:val="BodyText"/>
        <w:spacing w:before="7"/>
        <w:rPr>
          <w:b/>
          <w:sz w:val="15"/>
        </w:rPr>
      </w:pPr>
    </w:p>
    <w:p>
      <w:pPr>
        <w:pStyle w:val="BodyText"/>
        <w:ind w:left="840"/>
      </w:pPr>
      <w:r>
        <w:rPr/>
        <w:t>（一）基金财产保管的原则</w:t>
      </w:r>
    </w:p>
    <w:p>
      <w:pPr>
        <w:pStyle w:val="BodyText"/>
        <w:spacing w:before="6"/>
        <w:rPr>
          <w:sz w:val="15"/>
        </w:rPr>
      </w:pPr>
    </w:p>
    <w:p>
      <w:pPr>
        <w:pStyle w:val="BodyText"/>
        <w:spacing w:before="1"/>
        <w:ind w:left="1260"/>
      </w:pPr>
      <w:r>
        <w:rPr>
          <w:rFonts w:ascii="Times New Roman" w:eastAsia="Times New Roman"/>
        </w:rPr>
        <w:t>1</w:t>
      </w:r>
      <w:r>
        <w:rPr/>
        <w:t>、基金财产应独立于基金管理人、基金托管人的固有财产。</w:t>
      </w:r>
    </w:p>
    <w:p>
      <w:pPr>
        <w:pStyle w:val="BodyText"/>
        <w:spacing w:before="6"/>
        <w:rPr>
          <w:sz w:val="15"/>
        </w:rPr>
      </w:pPr>
    </w:p>
    <w:p>
      <w:pPr>
        <w:pStyle w:val="BodyText"/>
        <w:spacing w:line="417" w:lineRule="auto"/>
        <w:ind w:left="840" w:right="893" w:firstLine="419"/>
      </w:pPr>
      <w:r>
        <w:rPr>
          <w:rFonts w:ascii="Times New Roman" w:eastAsia="Times New Roman"/>
        </w:rPr>
        <w:t>2</w:t>
      </w:r>
      <w:r>
        <w:rPr/>
        <w:t>、基金托管人应安全保管基金财产。未经基金管理人的正当指令，不得自行运用、处分、分配基金的任何财产。</w:t>
      </w:r>
    </w:p>
    <w:p>
      <w:pPr>
        <w:pStyle w:val="BodyText"/>
        <w:spacing w:line="269" w:lineRule="exact"/>
        <w:ind w:left="1260"/>
      </w:pPr>
      <w:r>
        <w:rPr>
          <w:rFonts w:ascii="Times New Roman" w:eastAsia="Times New Roman"/>
        </w:rPr>
        <w:t>3</w:t>
      </w:r>
      <w:r>
        <w:rPr/>
        <w:t>、基金托管人按照规定开设基金财产的资金账户和证券账户。</w:t>
      </w:r>
    </w:p>
    <w:p>
      <w:pPr>
        <w:pStyle w:val="BodyText"/>
        <w:spacing w:before="7"/>
        <w:rPr>
          <w:sz w:val="15"/>
        </w:rPr>
      </w:pPr>
    </w:p>
    <w:p>
      <w:pPr>
        <w:pStyle w:val="BodyText"/>
        <w:spacing w:line="417" w:lineRule="auto"/>
        <w:ind w:left="840" w:right="894" w:firstLine="419"/>
      </w:pPr>
      <w:r>
        <w:rPr>
          <w:rFonts w:ascii="Times New Roman" w:eastAsia="Times New Roman"/>
        </w:rPr>
        <w:t>4</w:t>
      </w:r>
      <w:r>
        <w:rPr/>
        <w:t>、基金托管人对所托管的不同基金财产分别设置账户，与基金托管人的其他业务和其他基金的托管业务实行严格的分账管理，确保基金财产的完整与独立。</w:t>
      </w:r>
    </w:p>
    <w:p>
      <w:pPr>
        <w:pStyle w:val="BodyText"/>
        <w:ind w:left="1260"/>
      </w:pPr>
      <w:r>
        <w:rPr>
          <w:rFonts w:ascii="Times New Roman" w:eastAsia="Times New Roman"/>
        </w:rPr>
        <w:t>5</w:t>
      </w:r>
      <w:r>
        <w:rPr/>
        <w:t>、对于因基金认（申）购、基金投资过程中产生的应收财产，应由基金管理人负责与</w:t>
      </w:r>
    </w:p>
    <w:p>
      <w:pPr>
        <w:spacing w:after="0"/>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jc w:val="both"/>
      </w:pPr>
      <w:r>
        <w:rPr>
          <w:spacing w:val="-8"/>
        </w:rPr>
        <w:t>有关当事人确定到账日期并通知托管人，到账日基金财产没有到达托管人处的，托管人应及</w:t>
      </w:r>
      <w:r>
        <w:rPr>
          <w:spacing w:val="-10"/>
        </w:rPr>
        <w:t>时通知基金管理人采取措施进行催收。由此给基金造成损失的，基金管理人应负责向有关当</w:t>
      </w:r>
      <w:r>
        <w:rPr>
          <w:spacing w:val="-5"/>
        </w:rPr>
        <w:t>事人追偿基金的损失，基金托管人对此不承担任何责任。</w:t>
      </w:r>
    </w:p>
    <w:p>
      <w:pPr>
        <w:pStyle w:val="BodyText"/>
        <w:spacing w:line="269" w:lineRule="exact"/>
        <w:ind w:left="840"/>
      </w:pPr>
      <w:r>
        <w:rPr/>
        <w:t>（二）募集资金的验证</w:t>
      </w:r>
    </w:p>
    <w:p>
      <w:pPr>
        <w:pStyle w:val="BodyText"/>
        <w:spacing w:before="7"/>
        <w:rPr>
          <w:sz w:val="15"/>
        </w:rPr>
      </w:pPr>
    </w:p>
    <w:p>
      <w:pPr>
        <w:pStyle w:val="BodyText"/>
        <w:spacing w:line="417" w:lineRule="auto"/>
        <w:ind w:left="840" w:right="891" w:firstLine="419"/>
        <w:jc w:val="both"/>
      </w:pPr>
      <w:r>
        <w:rPr>
          <w:spacing w:val="-8"/>
        </w:rPr>
        <w:t>募集期内销售机构按销售与服务代理协议的约定，将认购资金划入基金管理人在具有托</w:t>
      </w:r>
      <w:r>
        <w:rPr>
          <w:spacing w:val="-9"/>
        </w:rPr>
        <w:t>管资格的商业银行开设的景顺长城基金管理有限公司基金认购专户。该账户由基金管理人开</w:t>
      </w:r>
      <w:r>
        <w:rPr>
          <w:spacing w:val="-12"/>
        </w:rPr>
        <w:t>立并管理。基金募集期满，募集的基金份额总额、基金募集金额、基金份额持有人人数符合</w:t>
      </w:r>
    </w:p>
    <w:p>
      <w:pPr>
        <w:pStyle w:val="BodyText"/>
        <w:spacing w:line="417" w:lineRule="auto"/>
        <w:ind w:left="840" w:right="891"/>
        <w:jc w:val="both"/>
      </w:pPr>
      <w:r>
        <w:rPr>
          <w:spacing w:val="-20"/>
        </w:rPr>
        <w:t>《基金法》、《运作办法》等有关规定后，由基金管理人聘请具有从事证券业务资格的会计师</w:t>
      </w:r>
      <w:r>
        <w:rPr>
          <w:spacing w:val="-13"/>
        </w:rPr>
        <w:t>事务所进行验资，出具验资报告，出具的验资报告应由参加验资的 </w:t>
      </w:r>
      <w:r>
        <w:rPr>
          <w:rFonts w:ascii="Times New Roman" w:eastAsia="Times New Roman"/>
        </w:rPr>
        <w:t>2 </w:t>
      </w:r>
      <w:r>
        <w:rPr>
          <w:spacing w:val="-11"/>
        </w:rPr>
        <w:t>名以上</w:t>
      </w:r>
      <w:r>
        <w:rPr/>
        <w:t>（</w:t>
      </w:r>
      <w:r>
        <w:rPr>
          <w:spacing w:val="-21"/>
        </w:rPr>
        <w:t>含 </w:t>
      </w:r>
      <w:r>
        <w:rPr>
          <w:rFonts w:ascii="Times New Roman" w:eastAsia="Times New Roman"/>
        </w:rPr>
        <w:t>2 </w:t>
      </w:r>
      <w:r>
        <w:rPr/>
        <w:t>名</w:t>
      </w:r>
      <w:r>
        <w:rPr>
          <w:spacing w:val="-27"/>
        </w:rPr>
        <w:t>）</w:t>
      </w:r>
      <w:r>
        <w:rPr/>
        <w:t>中国</w:t>
      </w:r>
      <w:r>
        <w:rPr>
          <w:spacing w:val="-11"/>
        </w:rPr>
        <w:t>注册会计师签字有效。验资完成，基金管理人应将募集的属于本基金财产的全部资金划入基</w:t>
      </w:r>
      <w:r>
        <w:rPr>
          <w:spacing w:val="-6"/>
        </w:rPr>
        <w:t>金托管人为基金开立的资产托管专户中，基金托管人在收到资金当日出具确认文件。</w:t>
      </w:r>
    </w:p>
    <w:p>
      <w:pPr>
        <w:pStyle w:val="BodyText"/>
        <w:spacing w:line="417" w:lineRule="auto"/>
        <w:ind w:left="840" w:right="891" w:firstLine="419"/>
      </w:pPr>
      <w:r>
        <w:rPr>
          <w:spacing w:val="-10"/>
        </w:rPr>
        <w:t>若基金募集期限届满，未能达到基金合同生效的条件，由基金管理人按规定办理退款事宜。</w:t>
      </w:r>
    </w:p>
    <w:p>
      <w:pPr>
        <w:pStyle w:val="BodyText"/>
        <w:spacing w:line="269" w:lineRule="exact"/>
        <w:ind w:left="840"/>
      </w:pPr>
      <w:r>
        <w:rPr/>
        <w:t>（三）基金的银行账户的开立和管理</w:t>
      </w:r>
    </w:p>
    <w:p>
      <w:pPr>
        <w:pStyle w:val="BodyText"/>
        <w:spacing w:before="6"/>
        <w:rPr>
          <w:sz w:val="15"/>
        </w:rPr>
      </w:pPr>
    </w:p>
    <w:p>
      <w:pPr>
        <w:pStyle w:val="BodyText"/>
        <w:spacing w:line="417" w:lineRule="auto" w:before="1"/>
        <w:ind w:left="840" w:right="891" w:firstLine="419"/>
        <w:jc w:val="both"/>
      </w:pPr>
      <w:r>
        <w:rPr/>
        <w:t>基金托管人以基金托管人的名义在其营业机构开设资产托管专户，保管基金的银行存</w:t>
      </w:r>
      <w:r>
        <w:rPr>
          <w:spacing w:val="-10"/>
        </w:rPr>
        <w:t>款。该资产托管专户是指基金托管人在集中托管模式下，代表所托管的基金与中国证券登记结算有限责任公司进行一级结算的专用账户。该账户的开设和管理由基金托管人承担。本基</w:t>
      </w:r>
      <w:r>
        <w:rPr>
          <w:spacing w:val="-5"/>
        </w:rPr>
        <w:t>金的一切货币收支活动，均需通过基金托管人的资产托管专户进行。</w:t>
      </w:r>
    </w:p>
    <w:p>
      <w:pPr>
        <w:pStyle w:val="BodyText"/>
        <w:spacing w:line="417" w:lineRule="auto"/>
        <w:ind w:left="840" w:right="891" w:firstLine="419"/>
        <w:jc w:val="both"/>
      </w:pPr>
      <w:r>
        <w:rPr>
          <w:spacing w:val="-9"/>
        </w:rPr>
        <w:t>资产托管专户的开立和使用，限于满足开展本基金业务的需要。基金托管人和基金管理</w:t>
      </w:r>
      <w:r>
        <w:rPr>
          <w:spacing w:val="-10"/>
        </w:rPr>
        <w:t>人不得假借本基金的名义开立其他任何银行账户；亦不得使用基金的任何银行账户进行本基</w:t>
      </w:r>
      <w:r>
        <w:rPr>
          <w:spacing w:val="-5"/>
        </w:rPr>
        <w:t>金业务以外的活动。</w:t>
      </w:r>
    </w:p>
    <w:p>
      <w:pPr>
        <w:pStyle w:val="BodyText"/>
        <w:spacing w:line="417" w:lineRule="auto"/>
        <w:ind w:left="840" w:right="891" w:firstLine="419"/>
        <w:jc w:val="both"/>
      </w:pPr>
      <w:r>
        <w:rPr>
          <w:spacing w:val="-11"/>
        </w:rPr>
        <w:t>资产托管专户的管理应符合《银行账户管理办法》</w:t>
      </w:r>
      <w:r>
        <w:rPr>
          <w:spacing w:val="-27"/>
        </w:rPr>
        <w:t>、《现金管理条例》、《中国人民银行利</w:t>
      </w:r>
      <w:r>
        <w:rPr>
          <w:spacing w:val="-20"/>
        </w:rPr>
        <w:t>率管理的有关规定》、《关于大额现金支付管理的通知》</w:t>
      </w:r>
      <w:r>
        <w:rPr>
          <w:spacing w:val="-16"/>
        </w:rPr>
        <w:t>、《支付结算办法》以及银行业监督管</w:t>
      </w:r>
      <w:r>
        <w:rPr>
          <w:spacing w:val="-7"/>
        </w:rPr>
        <w:t>理机构的其他规定。</w:t>
      </w:r>
    </w:p>
    <w:p>
      <w:pPr>
        <w:pStyle w:val="BodyText"/>
        <w:spacing w:line="269" w:lineRule="exact"/>
        <w:ind w:left="840"/>
      </w:pPr>
      <w:r>
        <w:rPr/>
        <w:t>（四）基金证券账户与证券交易资金账户的开设和管理</w:t>
      </w:r>
    </w:p>
    <w:p>
      <w:pPr>
        <w:pStyle w:val="BodyText"/>
        <w:spacing w:before="6"/>
        <w:rPr>
          <w:sz w:val="15"/>
        </w:rPr>
      </w:pPr>
    </w:p>
    <w:p>
      <w:pPr>
        <w:pStyle w:val="BodyText"/>
        <w:spacing w:line="417" w:lineRule="auto"/>
        <w:ind w:left="840" w:right="894" w:firstLine="419"/>
      </w:pPr>
      <w:r>
        <w:rPr/>
        <w:t>基金托管人以基金托管人和本基金联名的方式在中国证券登记结算有限公司上海分公司</w:t>
      </w:r>
      <w:r>
        <w:rPr>
          <w:rFonts w:ascii="Times New Roman" w:eastAsia="Times New Roman"/>
        </w:rPr>
        <w:t>/</w:t>
      </w:r>
      <w:r>
        <w:rPr/>
        <w:t>深圳分公司开设证券账户。</w:t>
      </w:r>
    </w:p>
    <w:p>
      <w:pPr>
        <w:pStyle w:val="BodyText"/>
        <w:spacing w:line="417" w:lineRule="auto"/>
        <w:ind w:left="840" w:right="891" w:firstLine="419"/>
      </w:pPr>
      <w:r>
        <w:rPr/>
        <w:t>基金托管人以基金托管人的名义在中国证券登记结算有限责任公司上海分公司</w:t>
      </w:r>
      <w:r>
        <w:rPr>
          <w:rFonts w:ascii="Times New Roman" w:eastAsia="Times New Roman"/>
        </w:rPr>
        <w:t>/</w:t>
      </w:r>
      <w:r>
        <w:rPr/>
        <w:t>深圳分公司开立基金证券交易资金账户，用于证券清算。</w:t>
      </w:r>
    </w:p>
    <w:p>
      <w:pPr>
        <w:pStyle w:val="BodyText"/>
        <w:ind w:left="1260"/>
      </w:pPr>
      <w:r>
        <w:rPr/>
        <w:t>基金证券账户的开立和使用，限于满足开展本基金业务的需要。基金托管人和基金管理</w:t>
      </w:r>
    </w:p>
    <w:p>
      <w:pPr>
        <w:spacing w:after="0"/>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pPr>
      <w:r>
        <w:rPr>
          <w:spacing w:val="-7"/>
        </w:rPr>
        <w:t>人不得出借和未经对方同意擅自转让基金的任何证券账户；亦不得使用基金的任何账户进行</w:t>
      </w:r>
      <w:r>
        <w:rPr>
          <w:spacing w:val="-5"/>
        </w:rPr>
        <w:t>本基金业务以外的活动。</w:t>
      </w:r>
    </w:p>
    <w:p>
      <w:pPr>
        <w:pStyle w:val="BodyText"/>
        <w:spacing w:line="269" w:lineRule="exact"/>
        <w:ind w:left="840"/>
      </w:pPr>
      <w:r>
        <w:rPr/>
        <w:t>（五）债券托管账户的开立和管理</w:t>
      </w:r>
    </w:p>
    <w:p>
      <w:pPr>
        <w:pStyle w:val="BodyText"/>
        <w:spacing w:before="7"/>
        <w:rPr>
          <w:sz w:val="15"/>
        </w:rPr>
      </w:pPr>
    </w:p>
    <w:p>
      <w:pPr>
        <w:pStyle w:val="BodyText"/>
        <w:spacing w:line="417" w:lineRule="auto"/>
        <w:ind w:left="840" w:right="891" w:firstLine="419"/>
        <w:jc w:val="both"/>
      </w:pPr>
      <w:r>
        <w:rPr>
          <w:rFonts w:ascii="Times New Roman" w:eastAsia="Times New Roman"/>
        </w:rPr>
        <w:t>1</w:t>
      </w:r>
      <w:r>
        <w:rPr>
          <w:spacing w:val="-3"/>
        </w:rPr>
        <w:t>、基金合同生效后，基金管理人负责以基金的名义申请并取得进入全国银行间同业拆</w:t>
      </w:r>
      <w:r>
        <w:rPr>
          <w:spacing w:val="-12"/>
        </w:rPr>
        <w:t>借市场的交易资格，并代表基金进行交易；基金托管人负责以基金的名义在中央国债登记结</w:t>
      </w:r>
      <w:r>
        <w:rPr>
          <w:spacing w:val="-10"/>
        </w:rPr>
        <w:t>算有限责任公司开设银行间债券市场债券托管自营账户，并由基金托管人负责基金的债券的</w:t>
      </w:r>
      <w:r>
        <w:rPr>
          <w:spacing w:val="-5"/>
        </w:rPr>
        <w:t>后台匹配及资金的清算。</w:t>
      </w:r>
    </w:p>
    <w:p>
      <w:pPr>
        <w:pStyle w:val="BodyText"/>
        <w:spacing w:line="417" w:lineRule="auto"/>
        <w:ind w:left="840" w:right="894" w:firstLine="419"/>
      </w:pPr>
      <w:r>
        <w:rPr>
          <w:rFonts w:ascii="Times New Roman" w:eastAsia="Times New Roman"/>
        </w:rPr>
        <w:t>2</w:t>
      </w:r>
      <w:r>
        <w:rPr/>
        <w:t>、基金管理人和基金托管人应一起负责为基金对外签订全国银行间国债市场回购主协议，正本由基金托管人保管，基金管理人保存副本。</w:t>
      </w:r>
    </w:p>
    <w:p>
      <w:pPr>
        <w:pStyle w:val="BodyText"/>
        <w:spacing w:line="269" w:lineRule="exact"/>
        <w:ind w:left="840"/>
      </w:pPr>
      <w:r>
        <w:rPr/>
        <w:t>（六）其他账户的开设和管理</w:t>
      </w:r>
    </w:p>
    <w:p>
      <w:pPr>
        <w:pStyle w:val="BodyText"/>
        <w:spacing w:before="7"/>
        <w:rPr>
          <w:sz w:val="15"/>
        </w:rPr>
      </w:pPr>
    </w:p>
    <w:p>
      <w:pPr>
        <w:pStyle w:val="BodyText"/>
        <w:spacing w:line="417" w:lineRule="auto"/>
        <w:ind w:left="840" w:right="891" w:firstLine="419"/>
        <w:jc w:val="both"/>
      </w:pPr>
      <w:r>
        <w:rPr>
          <w:spacing w:val="-11"/>
        </w:rPr>
        <w:t>在本托管协议订立日之后，本基金被允许从事符合法律法规规定和基金合同约定的其他</w:t>
      </w:r>
      <w:r>
        <w:rPr>
          <w:spacing w:val="-13"/>
        </w:rPr>
        <w:t>投资品种的投资业务时，如果涉及相关账户的开设和使用，由基金管理人协助托管人根据有</w:t>
      </w:r>
      <w:r>
        <w:rPr>
          <w:spacing w:val="-6"/>
        </w:rPr>
        <w:t>关法律法规的规定和基金合同的约定，开立有关账户。该账户按有关规则使用并管理。</w:t>
      </w:r>
    </w:p>
    <w:p>
      <w:pPr>
        <w:pStyle w:val="BodyText"/>
        <w:spacing w:line="269" w:lineRule="exact"/>
        <w:ind w:left="840"/>
      </w:pPr>
      <w:r>
        <w:rPr/>
        <w:t>（七）基金财产投资的有关实物证券等有价凭证的保管</w:t>
      </w:r>
    </w:p>
    <w:p>
      <w:pPr>
        <w:pStyle w:val="BodyText"/>
        <w:spacing w:before="7"/>
        <w:rPr>
          <w:sz w:val="15"/>
        </w:rPr>
      </w:pPr>
    </w:p>
    <w:p>
      <w:pPr>
        <w:pStyle w:val="BodyText"/>
        <w:spacing w:line="417" w:lineRule="auto"/>
        <w:ind w:left="840" w:right="891" w:firstLine="419"/>
        <w:jc w:val="both"/>
      </w:pPr>
      <w:r>
        <w:rPr>
          <w:spacing w:val="-6"/>
        </w:rPr>
        <w:t>基金财产投资的有关实物证券由基金托管人存放于托管银行的保管库；其中实物证券也可存入中央国债登记结算有限责任公司或中国证券登记结算有限责任公司上海分公司</w:t>
      </w:r>
      <w:r>
        <w:rPr>
          <w:rFonts w:ascii="Times New Roman" w:eastAsia="Times New Roman"/>
        </w:rPr>
        <w:t>/</w:t>
      </w:r>
      <w:r>
        <w:rPr>
          <w:spacing w:val="-6"/>
        </w:rPr>
        <w:t>深圳</w:t>
      </w:r>
      <w:r>
        <w:rPr>
          <w:spacing w:val="-8"/>
        </w:rPr>
        <w:t>分公司或票据营业中心的代保管库。实物证券的购买和转让，由基金托管人根据基金管理人</w:t>
      </w:r>
      <w:r>
        <w:rPr>
          <w:spacing w:val="-11"/>
        </w:rPr>
        <w:t>的指令办理。属于基金托管人实际有效控制下的实物证券在基金托管人保管期间的损坏、灭</w:t>
      </w:r>
      <w:r>
        <w:rPr>
          <w:spacing w:val="-12"/>
        </w:rPr>
        <w:t>失，由此产生的责任应由基金托管人承担。托管人对托管人以外机构实际有效控制的证券不</w:t>
      </w:r>
      <w:r>
        <w:rPr>
          <w:spacing w:val="-6"/>
        </w:rPr>
        <w:t>承担保管责任。</w:t>
      </w:r>
    </w:p>
    <w:p>
      <w:pPr>
        <w:pStyle w:val="BodyText"/>
        <w:spacing w:line="268" w:lineRule="exact"/>
        <w:ind w:left="840"/>
      </w:pPr>
      <w:r>
        <w:rPr/>
        <w:t>（八）与基金财产有关的重大合同的保管</w:t>
      </w:r>
    </w:p>
    <w:p>
      <w:pPr>
        <w:pStyle w:val="BodyText"/>
        <w:spacing w:before="7"/>
        <w:rPr>
          <w:sz w:val="15"/>
        </w:rPr>
      </w:pPr>
    </w:p>
    <w:p>
      <w:pPr>
        <w:pStyle w:val="BodyText"/>
        <w:spacing w:line="417" w:lineRule="auto"/>
        <w:ind w:left="840" w:right="891" w:firstLine="419"/>
        <w:jc w:val="both"/>
      </w:pPr>
      <w:r>
        <w:rPr>
          <w:spacing w:val="-6"/>
        </w:rPr>
        <w:t>由基金管理人代表基金签署的与基金有关的重大合同的原件分别应由基金托管人、基金</w:t>
      </w:r>
      <w:r>
        <w:rPr>
          <w:spacing w:val="-12"/>
        </w:rPr>
        <w:t>管理人保管。除本协议另有规定外，基金管理人在代表基金签署与基金有关的重大合同时应保证基金一方持有两份以上的正本，以便基金管理人和基金托管人至少各持有一份正本的原</w:t>
      </w:r>
      <w:r>
        <w:rPr>
          <w:spacing w:val="-11"/>
        </w:rPr>
        <w:t>件。基金管理人在合同签署后 </w:t>
      </w:r>
      <w:r>
        <w:rPr>
          <w:rFonts w:ascii="Times New Roman" w:eastAsia="Times New Roman"/>
        </w:rPr>
        <w:t>5 </w:t>
      </w:r>
      <w:r>
        <w:rPr>
          <w:spacing w:val="-7"/>
        </w:rPr>
        <w:t>个工作日内通过专人送达、挂号邮寄等安全方式将合同原件</w:t>
      </w:r>
    </w:p>
    <w:p>
      <w:pPr>
        <w:pStyle w:val="BodyText"/>
        <w:spacing w:line="417" w:lineRule="auto"/>
        <w:ind w:left="840" w:right="893"/>
        <w:jc w:val="both"/>
      </w:pPr>
      <w:r>
        <w:rPr>
          <w:spacing w:val="-4"/>
        </w:rPr>
        <w:t>送达基金托管人处。合同原件应存放于基金管理人和基金托管人各自文件保管部门 </w:t>
      </w:r>
      <w:r>
        <w:rPr>
          <w:rFonts w:ascii="Times New Roman" w:eastAsia="Times New Roman"/>
        </w:rPr>
        <w:t>15 </w:t>
      </w:r>
      <w:r>
        <w:rPr>
          <w:spacing w:val="-3"/>
        </w:rPr>
        <w:t>年以</w:t>
      </w:r>
      <w:r>
        <w:rPr/>
        <w:t>上。</w:t>
      </w:r>
    </w:p>
    <w:p>
      <w:pPr>
        <w:pStyle w:val="BodyText"/>
        <w:rPr>
          <w:sz w:val="20"/>
        </w:rPr>
      </w:pPr>
    </w:p>
    <w:p>
      <w:pPr>
        <w:pStyle w:val="BodyText"/>
        <w:spacing w:before="6"/>
        <w:rPr>
          <w:sz w:val="16"/>
        </w:rPr>
      </w:pPr>
    </w:p>
    <w:p>
      <w:pPr>
        <w:pStyle w:val="Heading4"/>
      </w:pPr>
      <w:r>
        <w:rPr/>
        <w:t>五、基金资产净值计算和会计核算</w:t>
      </w:r>
    </w:p>
    <w:p>
      <w:pPr>
        <w:pStyle w:val="BodyText"/>
        <w:spacing w:before="7"/>
        <w:rPr>
          <w:b/>
          <w:sz w:val="15"/>
        </w:rPr>
      </w:pPr>
    </w:p>
    <w:p>
      <w:pPr>
        <w:pStyle w:val="BodyText"/>
        <w:ind w:left="840"/>
      </w:pPr>
      <w:r>
        <w:rPr/>
        <w:t>（一）基金资产净值的计算</w:t>
      </w:r>
    </w:p>
    <w:p>
      <w:pPr>
        <w:spacing w:after="0"/>
        <w:sectPr>
          <w:pgSz w:w="11910" w:h="16840"/>
          <w:pgMar w:header="877" w:footer="995" w:top="1100" w:bottom="1180" w:left="960" w:right="900"/>
        </w:sectPr>
      </w:pPr>
    </w:p>
    <w:p>
      <w:pPr>
        <w:pStyle w:val="BodyText"/>
        <w:spacing w:before="4"/>
        <w:rPr>
          <w:sz w:val="27"/>
        </w:rPr>
      </w:pPr>
    </w:p>
    <w:p>
      <w:pPr>
        <w:pStyle w:val="BodyText"/>
        <w:spacing w:before="71"/>
        <w:ind w:right="4265"/>
        <w:jc w:val="center"/>
      </w:pPr>
      <w:r>
        <w:rPr/>
        <w:t>1、基金资产净值的计算、复核的时间和程序</w:t>
      </w:r>
    </w:p>
    <w:p>
      <w:pPr>
        <w:pStyle w:val="BodyText"/>
        <w:spacing w:before="7"/>
        <w:rPr>
          <w:sz w:val="15"/>
        </w:rPr>
      </w:pPr>
    </w:p>
    <w:p>
      <w:pPr>
        <w:pStyle w:val="BodyText"/>
        <w:spacing w:line="417" w:lineRule="auto"/>
        <w:ind w:left="840" w:right="891" w:firstLine="419"/>
        <w:jc w:val="both"/>
      </w:pPr>
      <w:r>
        <w:rPr>
          <w:spacing w:val="-8"/>
        </w:rPr>
        <w:t>基金资产净值是指基金资产总值减去负债后的价值。基金份额净值是指计算日基金资产</w:t>
      </w:r>
      <w:r>
        <w:rPr>
          <w:spacing w:val="-9"/>
        </w:rPr>
        <w:t>净值除以该计算日基金份额总份额后的数值。基金份额净值的计算保留到小数点后 </w:t>
      </w:r>
      <w:r>
        <w:rPr>
          <w:rFonts w:ascii="Times New Roman" w:eastAsia="Times New Roman"/>
        </w:rPr>
        <w:t>3 </w:t>
      </w:r>
      <w:r>
        <w:rPr>
          <w:spacing w:val="-18"/>
        </w:rPr>
        <w:t>位，小</w:t>
      </w:r>
    </w:p>
    <w:p>
      <w:pPr>
        <w:pStyle w:val="BodyText"/>
        <w:spacing w:line="269" w:lineRule="exact"/>
        <w:ind w:left="840"/>
        <w:jc w:val="both"/>
      </w:pPr>
      <w:r>
        <w:rPr/>
        <w:t>数点后第 </w:t>
      </w:r>
      <w:r>
        <w:rPr>
          <w:rFonts w:ascii="Times New Roman" w:eastAsia="Times New Roman"/>
        </w:rPr>
        <w:t>4 </w:t>
      </w:r>
      <w:r>
        <w:rPr/>
        <w:t>位四舍五入。</w:t>
      </w:r>
    </w:p>
    <w:p>
      <w:pPr>
        <w:pStyle w:val="BodyText"/>
        <w:spacing w:before="7"/>
        <w:rPr>
          <w:sz w:val="15"/>
        </w:rPr>
      </w:pPr>
    </w:p>
    <w:p>
      <w:pPr>
        <w:pStyle w:val="BodyText"/>
        <w:spacing w:line="417" w:lineRule="auto"/>
        <w:ind w:left="840" w:right="790" w:firstLine="419"/>
        <w:jc w:val="both"/>
      </w:pPr>
      <w:r>
        <w:rPr>
          <w:spacing w:val="-11"/>
        </w:rPr>
        <w:t>基金管理人应每工作日对基金资产估值。估值原则应符合《基金合同》</w:t>
      </w:r>
      <w:r>
        <w:rPr>
          <w:spacing w:val="-21"/>
        </w:rPr>
        <w:t>、《证券投资基金</w:t>
      </w:r>
      <w:r>
        <w:rPr>
          <w:spacing w:val="-15"/>
        </w:rPr>
        <w:t>会计核算办法》及其他法律、法规的规定。用于基金信息披露的基金资产净值和基金份额净</w:t>
      </w:r>
      <w:r>
        <w:rPr>
          <w:spacing w:val="-13"/>
        </w:rPr>
        <w:t>值由基金管理人负责计算，基金托管人复核。基金管理人应于每个工作日交易结束后计算当</w:t>
      </w:r>
      <w:r>
        <w:rPr>
          <w:spacing w:val="-10"/>
        </w:rPr>
        <w:t>日的基金份额资产净值并以加密传真方式发送给基金托管人。基金托管人对净值计算结果复</w:t>
      </w:r>
      <w:r>
        <w:rPr>
          <w:spacing w:val="-18"/>
        </w:rPr>
        <w:t>核后，签名、盖章并以加密传真方式传送给基金管理人，由基金管理人对基金净值予以公布。</w:t>
      </w:r>
    </w:p>
    <w:p>
      <w:pPr>
        <w:pStyle w:val="BodyText"/>
        <w:spacing w:line="417" w:lineRule="auto"/>
        <w:ind w:left="840" w:right="891" w:firstLine="419"/>
        <w:jc w:val="both"/>
      </w:pPr>
      <w:r>
        <w:rPr>
          <w:spacing w:val="-7"/>
        </w:rPr>
        <w:t>基金资产净值计算和基金会计核算的义务由基金管理人承担。因此，就与本基金有关的</w:t>
      </w:r>
      <w:r>
        <w:rPr>
          <w:spacing w:val="-12"/>
        </w:rPr>
        <w:t>会计问题，本基金的会计责任方是基金管理人，如经相关各方在平等基础上充分讨论后，仍</w:t>
      </w:r>
      <w:r>
        <w:rPr>
          <w:spacing w:val="-6"/>
        </w:rPr>
        <w:t>无法达成一致的意见，按照基金管理人对基金净值信息的计算结果对外予以公布。</w:t>
      </w:r>
    </w:p>
    <w:p>
      <w:pPr>
        <w:pStyle w:val="BodyText"/>
        <w:spacing w:line="417" w:lineRule="auto"/>
        <w:ind w:left="840" w:right="6890"/>
      </w:pPr>
      <w:r>
        <w:rPr/>
        <w:t>（二</w:t>
      </w:r>
      <w:r>
        <w:rPr>
          <w:spacing w:val="-3"/>
        </w:rPr>
        <w:t>）</w:t>
      </w:r>
      <w:r>
        <w:rPr>
          <w:spacing w:val="-5"/>
        </w:rPr>
        <w:t>基金资产估值方法</w:t>
      </w:r>
      <w:r>
        <w:rPr/>
        <w:t>1</w:t>
      </w:r>
      <w:r>
        <w:rPr>
          <w:spacing w:val="-3"/>
        </w:rPr>
        <w:t>、估值对象</w:t>
      </w:r>
    </w:p>
    <w:p>
      <w:pPr>
        <w:pStyle w:val="BodyText"/>
        <w:spacing w:line="417" w:lineRule="auto"/>
        <w:ind w:left="840" w:right="2898" w:firstLine="419"/>
      </w:pPr>
      <w:r>
        <w:rPr>
          <w:spacing w:val="-3"/>
        </w:rPr>
        <w:t>基金所拥有的股票、债券、权证和银行存款本息等资产和负债。2、估值方法</w:t>
      </w:r>
    </w:p>
    <w:p>
      <w:pPr>
        <w:pStyle w:val="BodyText"/>
        <w:spacing w:line="269" w:lineRule="exact"/>
        <w:ind w:left="1260"/>
      </w:pPr>
      <w:r>
        <w:rPr/>
        <w:t>本基金按以下方式进行估值：</w:t>
      </w:r>
    </w:p>
    <w:p>
      <w:pPr>
        <w:pStyle w:val="BodyText"/>
        <w:spacing w:before="6"/>
        <w:rPr>
          <w:sz w:val="15"/>
        </w:rPr>
      </w:pPr>
    </w:p>
    <w:p>
      <w:pPr>
        <w:pStyle w:val="ListParagraph"/>
        <w:numPr>
          <w:ilvl w:val="0"/>
          <w:numId w:val="63"/>
        </w:numPr>
        <w:tabs>
          <w:tab w:pos="1790" w:val="left" w:leader="none"/>
        </w:tabs>
        <w:spacing w:line="240" w:lineRule="auto" w:before="0" w:after="0"/>
        <w:ind w:left="1789" w:right="4266" w:hanging="1790"/>
        <w:jc w:val="left"/>
        <w:rPr>
          <w:sz w:val="21"/>
        </w:rPr>
      </w:pPr>
      <w:r>
        <w:rPr>
          <w:spacing w:val="-3"/>
          <w:sz w:val="21"/>
        </w:rPr>
        <w:t>已上市流通的有价证券的估值</w:t>
      </w:r>
    </w:p>
    <w:p>
      <w:pPr>
        <w:pStyle w:val="BodyText"/>
        <w:spacing w:before="6"/>
        <w:rPr>
          <w:sz w:val="15"/>
        </w:rPr>
      </w:pPr>
    </w:p>
    <w:p>
      <w:pPr>
        <w:pStyle w:val="ListParagraph"/>
        <w:numPr>
          <w:ilvl w:val="0"/>
          <w:numId w:val="64"/>
        </w:numPr>
        <w:tabs>
          <w:tab w:pos="1579" w:val="left" w:leader="none"/>
        </w:tabs>
        <w:spacing w:line="240" w:lineRule="auto" w:before="1" w:after="0"/>
        <w:ind w:left="1578" w:right="0" w:hanging="319"/>
        <w:jc w:val="left"/>
        <w:rPr>
          <w:sz w:val="21"/>
        </w:rPr>
      </w:pPr>
      <w:r>
        <w:rPr>
          <w:spacing w:val="-6"/>
          <w:sz w:val="21"/>
        </w:rPr>
        <w:t>交易所上市的有价证券</w:t>
      </w:r>
      <w:r>
        <w:rPr>
          <w:sz w:val="21"/>
        </w:rPr>
        <w:t>（</w:t>
      </w:r>
      <w:r>
        <w:rPr>
          <w:spacing w:val="-7"/>
          <w:sz w:val="21"/>
        </w:rPr>
        <w:t>包括股票、权证等</w:t>
      </w:r>
      <w:r>
        <w:rPr>
          <w:spacing w:val="-67"/>
          <w:sz w:val="21"/>
        </w:rPr>
        <w:t>）</w:t>
      </w:r>
      <w:r>
        <w:rPr>
          <w:spacing w:val="-10"/>
          <w:sz w:val="21"/>
        </w:rPr>
        <w:t>，以其估值日在证券交易所挂牌的市价</w:t>
      </w:r>
    </w:p>
    <w:p>
      <w:pPr>
        <w:pStyle w:val="BodyText"/>
        <w:spacing w:before="6"/>
        <w:rPr>
          <w:sz w:val="15"/>
        </w:rPr>
      </w:pPr>
    </w:p>
    <w:p>
      <w:pPr>
        <w:pStyle w:val="BodyText"/>
        <w:spacing w:line="417" w:lineRule="auto"/>
        <w:ind w:left="840" w:right="891"/>
        <w:jc w:val="both"/>
      </w:pPr>
      <w:r>
        <w:rPr/>
        <w:t>（</w:t>
      </w:r>
      <w:r>
        <w:rPr>
          <w:spacing w:val="-2"/>
        </w:rPr>
        <w:t>收盘价</w:t>
      </w:r>
      <w:r>
        <w:rPr>
          <w:spacing w:val="-27"/>
        </w:rPr>
        <w:t>）</w:t>
      </w:r>
      <w:r>
        <w:rPr>
          <w:spacing w:val="-10"/>
        </w:rPr>
        <w:t>估值；估值日无交易的，且最近交易日后经济环境未发生重大变化，以最近交易</w:t>
      </w:r>
      <w:r>
        <w:rPr>
          <w:spacing w:val="-13"/>
        </w:rPr>
        <w:t>日的市价</w:t>
      </w:r>
      <w:r>
        <w:rPr>
          <w:spacing w:val="-3"/>
        </w:rPr>
        <w:t>（</w:t>
      </w:r>
      <w:r>
        <w:rPr>
          <w:spacing w:val="-2"/>
        </w:rPr>
        <w:t>收盘价</w:t>
      </w:r>
      <w:r>
        <w:rPr>
          <w:spacing w:val="-27"/>
        </w:rPr>
        <w:t>）</w:t>
      </w:r>
      <w:r>
        <w:rPr>
          <w:spacing w:val="-7"/>
        </w:rPr>
        <w:t>估值；如最近交易日后经济环境发生了重大变化的，可参考类似投资品</w:t>
      </w:r>
      <w:r>
        <w:rPr>
          <w:spacing w:val="-5"/>
        </w:rPr>
        <w:t>种的现行市价及重大变化因素，调整最近交易市价，确定公允价格。</w:t>
      </w:r>
    </w:p>
    <w:p>
      <w:pPr>
        <w:pStyle w:val="ListParagraph"/>
        <w:numPr>
          <w:ilvl w:val="0"/>
          <w:numId w:val="64"/>
        </w:numPr>
        <w:tabs>
          <w:tab w:pos="1579" w:val="left" w:leader="none"/>
        </w:tabs>
        <w:spacing w:line="417" w:lineRule="auto" w:before="1" w:after="0"/>
        <w:ind w:left="840" w:right="797" w:firstLine="419"/>
        <w:jc w:val="left"/>
        <w:rPr>
          <w:sz w:val="21"/>
        </w:rPr>
      </w:pPr>
      <w:r>
        <w:rPr>
          <w:spacing w:val="-3"/>
          <w:sz w:val="21"/>
        </w:rPr>
        <w:t>交易所上市实行净价交易的债券按估值日收盘价估值，估值日没有交易的，且最近</w:t>
      </w:r>
      <w:r>
        <w:rPr>
          <w:spacing w:val="-8"/>
          <w:sz w:val="21"/>
        </w:rPr>
        <w:t>交易日后经济环境未发生重大变化，按最近交易日的收盘价估值。如最近交易日后经济环境</w:t>
      </w:r>
      <w:r>
        <w:rPr>
          <w:spacing w:val="-5"/>
          <w:sz w:val="21"/>
        </w:rPr>
        <w:t>发生了重大变化的，可参考类似投资品种的现行市价及重大变化因素，调整最近交易市价， </w:t>
      </w:r>
      <w:r>
        <w:rPr>
          <w:spacing w:val="-4"/>
          <w:sz w:val="21"/>
        </w:rPr>
        <w:t>确定公允价格；</w:t>
      </w:r>
    </w:p>
    <w:p>
      <w:pPr>
        <w:pStyle w:val="ListParagraph"/>
        <w:numPr>
          <w:ilvl w:val="0"/>
          <w:numId w:val="64"/>
        </w:numPr>
        <w:tabs>
          <w:tab w:pos="1579" w:val="left" w:leader="none"/>
        </w:tabs>
        <w:spacing w:line="417" w:lineRule="auto" w:before="0" w:after="0"/>
        <w:ind w:left="840" w:right="785" w:firstLine="419"/>
        <w:jc w:val="left"/>
        <w:rPr>
          <w:sz w:val="21"/>
        </w:rPr>
      </w:pPr>
      <w:r>
        <w:rPr>
          <w:spacing w:val="-3"/>
          <w:sz w:val="21"/>
        </w:rPr>
        <w:t>交易所上市未实行净价交易的债券按估值日收盘价减去债券收盘价中所含的债券应</w:t>
      </w:r>
      <w:r>
        <w:rPr>
          <w:spacing w:val="-16"/>
          <w:sz w:val="21"/>
        </w:rPr>
        <w:t>收利息得到的净价进行估值；估值日没有交易的，且最近交易日后经济环境未发生重大变化， </w:t>
      </w:r>
      <w:r>
        <w:rPr>
          <w:spacing w:val="-10"/>
          <w:sz w:val="21"/>
        </w:rPr>
        <w:t>按最近交易日债券收盘价减去债券收盘价中所含的债券应收利息得到的净价进行估值。如最</w:t>
      </w:r>
      <w:r>
        <w:rPr>
          <w:spacing w:val="-5"/>
          <w:sz w:val="21"/>
        </w:rPr>
        <w:t>近交易日后经济环境发生了重大变化的，可参考类似投资品种的现行市价及重大变化因素，</w:t>
      </w:r>
    </w:p>
    <w:p>
      <w:pPr>
        <w:spacing w:after="0" w:line="417" w:lineRule="auto"/>
        <w:jc w:val="left"/>
        <w:rPr>
          <w:sz w:val="21"/>
        </w:rPr>
        <w:sectPr>
          <w:pgSz w:w="11910" w:h="16840"/>
          <w:pgMar w:header="877" w:footer="995" w:top="1100" w:bottom="1180" w:left="960" w:right="900"/>
        </w:sectPr>
      </w:pPr>
    </w:p>
    <w:p>
      <w:pPr>
        <w:pStyle w:val="BodyText"/>
        <w:spacing w:before="4"/>
        <w:rPr>
          <w:sz w:val="27"/>
        </w:rPr>
      </w:pPr>
    </w:p>
    <w:p>
      <w:pPr>
        <w:pStyle w:val="BodyText"/>
        <w:spacing w:before="71"/>
        <w:ind w:left="840"/>
      </w:pPr>
      <w:r>
        <w:rPr/>
        <w:t>调整最近交易市价，确定公允价格；</w:t>
      </w:r>
    </w:p>
    <w:p>
      <w:pPr>
        <w:pStyle w:val="BodyText"/>
        <w:spacing w:before="7"/>
        <w:rPr>
          <w:sz w:val="15"/>
        </w:rPr>
      </w:pPr>
    </w:p>
    <w:p>
      <w:pPr>
        <w:pStyle w:val="ListParagraph"/>
        <w:numPr>
          <w:ilvl w:val="0"/>
          <w:numId w:val="64"/>
        </w:numPr>
        <w:tabs>
          <w:tab w:pos="1579" w:val="left" w:leader="none"/>
        </w:tabs>
        <w:spacing w:line="417" w:lineRule="auto" w:before="0" w:after="0"/>
        <w:ind w:left="840" w:right="785" w:firstLine="419"/>
        <w:jc w:val="left"/>
        <w:rPr>
          <w:sz w:val="21"/>
        </w:rPr>
      </w:pPr>
      <w:r>
        <w:rPr>
          <w:spacing w:val="-3"/>
          <w:sz w:val="21"/>
        </w:rPr>
        <w:t>交易所上市不存在活跃市场的有价证券，采用估值技术确定公允价值。交易所上市</w:t>
      </w:r>
      <w:r>
        <w:rPr>
          <w:spacing w:val="-17"/>
          <w:sz w:val="21"/>
        </w:rPr>
        <w:t>的资产支持证券，采用估值技术确定公允价值，在估值技术难以可靠计量公允价值的情况下， </w:t>
      </w:r>
      <w:r>
        <w:rPr>
          <w:spacing w:val="-8"/>
          <w:sz w:val="21"/>
        </w:rPr>
        <w:t>按成本估值。</w:t>
      </w:r>
    </w:p>
    <w:p>
      <w:pPr>
        <w:pStyle w:val="ListParagraph"/>
        <w:numPr>
          <w:ilvl w:val="0"/>
          <w:numId w:val="63"/>
        </w:numPr>
        <w:tabs>
          <w:tab w:pos="1790" w:val="left" w:leader="none"/>
        </w:tabs>
        <w:spacing w:line="269" w:lineRule="exact" w:before="0" w:after="0"/>
        <w:ind w:left="1789" w:right="0" w:hanging="530"/>
        <w:jc w:val="left"/>
        <w:rPr>
          <w:sz w:val="21"/>
        </w:rPr>
      </w:pPr>
      <w:r>
        <w:rPr>
          <w:spacing w:val="-3"/>
          <w:sz w:val="21"/>
        </w:rPr>
        <w:t>处于未上市期间的有价证券应区分如下情况处理：</w:t>
      </w:r>
    </w:p>
    <w:p>
      <w:pPr>
        <w:pStyle w:val="BodyText"/>
        <w:spacing w:before="7"/>
        <w:rPr>
          <w:sz w:val="15"/>
        </w:rPr>
      </w:pPr>
    </w:p>
    <w:p>
      <w:pPr>
        <w:pStyle w:val="ListParagraph"/>
        <w:numPr>
          <w:ilvl w:val="0"/>
          <w:numId w:val="65"/>
        </w:numPr>
        <w:tabs>
          <w:tab w:pos="1579" w:val="left" w:leader="none"/>
        </w:tabs>
        <w:spacing w:line="417" w:lineRule="auto" w:before="0" w:after="0"/>
        <w:ind w:left="840" w:right="894" w:firstLine="419"/>
        <w:jc w:val="left"/>
        <w:rPr>
          <w:sz w:val="21"/>
        </w:rPr>
      </w:pPr>
      <w:r>
        <w:rPr>
          <w:spacing w:val="-3"/>
          <w:sz w:val="21"/>
        </w:rPr>
        <w:t>送股、转增股、配股和公开增发的新股，按估值日在证券交易所挂牌的同一股票的市价（</w:t>
      </w:r>
      <w:r>
        <w:rPr>
          <w:spacing w:val="-2"/>
          <w:sz w:val="21"/>
        </w:rPr>
        <w:t>收盘价</w:t>
      </w:r>
      <w:r>
        <w:rPr>
          <w:spacing w:val="-3"/>
          <w:sz w:val="21"/>
        </w:rPr>
        <w:t>）估值；该日无交易的，以最近一日的市价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65"/>
        </w:numPr>
        <w:tabs>
          <w:tab w:pos="1579" w:val="left" w:leader="none"/>
        </w:tabs>
        <w:spacing w:line="417" w:lineRule="auto" w:before="0" w:after="0"/>
        <w:ind w:left="840" w:right="894"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65"/>
        </w:numPr>
        <w:tabs>
          <w:tab w:pos="1579" w:val="left" w:leader="none"/>
        </w:tabs>
        <w:spacing w:line="417" w:lineRule="auto" w:before="0" w:after="0"/>
        <w:ind w:left="840" w:right="891" w:firstLine="419"/>
        <w:jc w:val="both"/>
        <w:rPr>
          <w:sz w:val="21"/>
        </w:rPr>
      </w:pPr>
      <w:r>
        <w:rPr>
          <w:spacing w:val="-3"/>
          <w:sz w:val="21"/>
        </w:rPr>
        <w:t>流通受限的股票，包括非公开发行股票、首次公开发行股票时公司股东公开发售股</w:t>
      </w:r>
      <w:r>
        <w:rPr>
          <w:spacing w:val="-8"/>
          <w:sz w:val="21"/>
        </w:rPr>
        <w:t>份、通过大宗交易取得的带限售期的股票等</w:t>
      </w:r>
      <w:r>
        <w:rPr>
          <w:spacing w:val="-3"/>
          <w:sz w:val="21"/>
        </w:rPr>
        <w:t>（</w:t>
      </w:r>
      <w:r>
        <w:rPr>
          <w:spacing w:val="-9"/>
          <w:sz w:val="21"/>
        </w:rPr>
        <w:t>不包括停牌、新发行未上市、回购交易中的质</w:t>
      </w:r>
      <w:r>
        <w:rPr>
          <w:spacing w:val="-5"/>
          <w:w w:val="100"/>
          <w:sz w:val="21"/>
        </w:rPr>
        <w:t>押券等流通受限股票</w:t>
      </w:r>
      <w:r>
        <w:rPr>
          <w:spacing w:val="-106"/>
          <w:w w:val="100"/>
          <w:sz w:val="21"/>
        </w:rPr>
        <w:t>）</w:t>
      </w:r>
      <w:r>
        <w:rPr>
          <w:spacing w:val="-3"/>
          <w:w w:val="100"/>
          <w:sz w:val="21"/>
        </w:rPr>
        <w:t>，按监管机构或行业协会有关规定确定公允价值。</w:t>
      </w:r>
    </w:p>
    <w:p>
      <w:pPr>
        <w:pStyle w:val="ListParagraph"/>
        <w:numPr>
          <w:ilvl w:val="0"/>
          <w:numId w:val="65"/>
        </w:numPr>
        <w:tabs>
          <w:tab w:pos="1579" w:val="left" w:leader="none"/>
        </w:tabs>
        <w:spacing w:line="417" w:lineRule="auto" w:before="0" w:after="0"/>
        <w:ind w:left="840" w:right="893" w:firstLine="419"/>
        <w:jc w:val="left"/>
        <w:rPr>
          <w:sz w:val="21"/>
        </w:rPr>
      </w:pPr>
      <w:r>
        <w:rPr>
          <w:spacing w:val="-3"/>
          <w:sz w:val="21"/>
        </w:rPr>
        <w:t>因持有股票而享有的配股权，从配股除权日起到配股确认日止，如果收盘价高于配股价，按收盘价高于配股价的差额估值。收盘价等于或低于配股价，则估值为零。</w:t>
      </w:r>
    </w:p>
    <w:p>
      <w:pPr>
        <w:pStyle w:val="ListParagraph"/>
        <w:numPr>
          <w:ilvl w:val="0"/>
          <w:numId w:val="63"/>
        </w:numPr>
        <w:tabs>
          <w:tab w:pos="1790" w:val="left" w:leader="none"/>
        </w:tabs>
        <w:spacing w:line="417" w:lineRule="auto" w:before="0" w:after="0"/>
        <w:ind w:left="840" w:right="894" w:firstLine="419"/>
        <w:jc w:val="left"/>
        <w:rPr>
          <w:sz w:val="21"/>
        </w:rPr>
      </w:pPr>
      <w:r>
        <w:rPr>
          <w:spacing w:val="-3"/>
          <w:sz w:val="21"/>
        </w:rPr>
        <w:t>全国银行间债券市场交易的债券、资产支持证券等固定收益品种，采用估值技术确定公允价值。</w:t>
      </w:r>
    </w:p>
    <w:p>
      <w:pPr>
        <w:pStyle w:val="ListParagraph"/>
        <w:numPr>
          <w:ilvl w:val="0"/>
          <w:numId w:val="63"/>
        </w:numPr>
        <w:tabs>
          <w:tab w:pos="1790" w:val="left" w:leader="none"/>
        </w:tabs>
        <w:spacing w:line="269" w:lineRule="exact" w:before="0" w:after="0"/>
        <w:ind w:left="1789" w:right="0" w:hanging="530"/>
        <w:jc w:val="left"/>
        <w:rPr>
          <w:sz w:val="21"/>
        </w:rPr>
      </w:pPr>
      <w:r>
        <w:rPr>
          <w:spacing w:val="-3"/>
          <w:sz w:val="21"/>
        </w:rPr>
        <w:t>同一债券同时在两个或两个以上市场交易的，按债券所处的市场分别估值。</w:t>
      </w:r>
    </w:p>
    <w:p>
      <w:pPr>
        <w:pStyle w:val="BodyText"/>
        <w:spacing w:before="6"/>
        <w:rPr>
          <w:sz w:val="15"/>
        </w:rPr>
      </w:pPr>
    </w:p>
    <w:p>
      <w:pPr>
        <w:pStyle w:val="ListParagraph"/>
        <w:numPr>
          <w:ilvl w:val="0"/>
          <w:numId w:val="63"/>
        </w:numPr>
        <w:tabs>
          <w:tab w:pos="1790" w:val="left" w:leader="none"/>
        </w:tabs>
        <w:spacing w:line="417" w:lineRule="auto" w:before="0" w:after="0"/>
        <w:ind w:left="840" w:right="894" w:firstLine="419"/>
        <w:jc w:val="left"/>
        <w:rPr>
          <w:sz w:val="21"/>
        </w:rPr>
      </w:pPr>
      <w:r>
        <w:rPr>
          <w:spacing w:val="-3"/>
          <w:sz w:val="21"/>
        </w:rPr>
        <w:t>当发生大额申购或赎回情形时，在履行适当程序后，基金管理人可以采用摆动定价机制以确保基金估值的公平性。</w:t>
      </w:r>
    </w:p>
    <w:p>
      <w:pPr>
        <w:pStyle w:val="ListParagraph"/>
        <w:numPr>
          <w:ilvl w:val="0"/>
          <w:numId w:val="63"/>
        </w:numPr>
        <w:tabs>
          <w:tab w:pos="1790" w:val="left" w:leader="none"/>
        </w:tabs>
        <w:spacing w:line="417" w:lineRule="auto" w:before="0" w:after="0"/>
        <w:ind w:left="840" w:right="894" w:firstLine="419"/>
        <w:jc w:val="left"/>
        <w:rPr>
          <w:sz w:val="21"/>
        </w:rPr>
      </w:pPr>
      <w:r>
        <w:rPr>
          <w:spacing w:val="-3"/>
          <w:sz w:val="21"/>
        </w:rPr>
        <w:t>如有确凿证据表明按上述方法进行估值不能客观反映其公允价值的，基金管理人可根据具体情况与基金托管人商定后，按最能反映公允价值的价格估值。</w:t>
      </w:r>
    </w:p>
    <w:p>
      <w:pPr>
        <w:pStyle w:val="ListParagraph"/>
        <w:numPr>
          <w:ilvl w:val="0"/>
          <w:numId w:val="63"/>
        </w:numPr>
        <w:tabs>
          <w:tab w:pos="1790" w:val="left" w:leader="none"/>
        </w:tabs>
        <w:spacing w:line="240" w:lineRule="auto" w:before="0" w:after="0"/>
        <w:ind w:left="1789" w:right="0" w:hanging="530"/>
        <w:jc w:val="left"/>
        <w:rPr>
          <w:sz w:val="21"/>
        </w:rPr>
      </w:pPr>
      <w:r>
        <w:rPr>
          <w:spacing w:val="-3"/>
          <w:sz w:val="21"/>
        </w:rPr>
        <w:t>本基金投资存托凭证的估值核算，依照境内上市交易的股票进行。</w:t>
      </w:r>
    </w:p>
    <w:p>
      <w:pPr>
        <w:pStyle w:val="BodyText"/>
        <w:spacing w:before="7"/>
        <w:rPr>
          <w:sz w:val="15"/>
        </w:rPr>
      </w:pPr>
    </w:p>
    <w:p>
      <w:pPr>
        <w:pStyle w:val="ListParagraph"/>
        <w:numPr>
          <w:ilvl w:val="0"/>
          <w:numId w:val="63"/>
        </w:numPr>
        <w:tabs>
          <w:tab w:pos="1790" w:val="left" w:leader="none"/>
        </w:tabs>
        <w:spacing w:line="417" w:lineRule="auto" w:before="0" w:after="0"/>
        <w:ind w:left="840" w:right="894" w:firstLine="419"/>
        <w:jc w:val="left"/>
        <w:rPr>
          <w:sz w:val="21"/>
        </w:rPr>
      </w:pPr>
      <w:r>
        <w:rPr>
          <w:spacing w:val="-3"/>
          <w:sz w:val="21"/>
        </w:rPr>
        <w:t>相关法律法规以及监管部门有强制规定的，从其规定。如有新增事项，按国家最新规定估值。</w:t>
      </w:r>
    </w:p>
    <w:p>
      <w:pPr>
        <w:pStyle w:val="BodyText"/>
        <w:spacing w:line="417" w:lineRule="auto"/>
        <w:ind w:left="840" w:right="891" w:firstLine="419"/>
        <w:jc w:val="both"/>
      </w:pPr>
      <w:r>
        <w:rPr>
          <w:spacing w:val="-12"/>
        </w:rPr>
        <w:t>根据《基金法》，基金管理人计算并公告基金资产净值，基金托管人复核、审查基金管理人计算的基金资产净值。因此，就与本基金有关的会计问题，如经相关各方在平等基础上</w:t>
      </w:r>
      <w:r>
        <w:rPr>
          <w:spacing w:val="-13"/>
        </w:rPr>
        <w:t>充分讨论后，仍无法达成一致的意见，按照基金管理人对基金资产净值的计算结果对外予以公布。</w:t>
      </w:r>
    </w:p>
    <w:p>
      <w:pPr>
        <w:pStyle w:val="BodyText"/>
        <w:rPr>
          <w:sz w:val="20"/>
        </w:rPr>
      </w:pPr>
    </w:p>
    <w:p>
      <w:pPr>
        <w:pStyle w:val="BodyText"/>
        <w:spacing w:before="6"/>
        <w:rPr>
          <w:sz w:val="16"/>
        </w:rPr>
      </w:pPr>
    </w:p>
    <w:p>
      <w:pPr>
        <w:pStyle w:val="BodyText"/>
        <w:ind w:left="840"/>
      </w:pPr>
      <w:r>
        <w:rPr/>
        <w:t>（三）基金资产净值计算与复核事项</w:t>
      </w:r>
    </w:p>
    <w:p>
      <w:pPr>
        <w:spacing w:after="0"/>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3" w:firstLine="419"/>
      </w:pPr>
      <w:r>
        <w:rPr>
          <w:rFonts w:ascii="Times New Roman" w:eastAsia="Times New Roman"/>
        </w:rPr>
        <w:t>1</w:t>
      </w:r>
      <w:r>
        <w:rPr/>
        <w:t>、当相关法规或基金合同规定的估值方法不能客观反映基金财产公允价值时，基金管理人与托管人商定估值方法的情形和处理程序</w:t>
      </w:r>
    </w:p>
    <w:p>
      <w:pPr>
        <w:pStyle w:val="BodyText"/>
        <w:spacing w:line="417" w:lineRule="auto"/>
        <w:ind w:left="840" w:right="797" w:firstLine="419"/>
      </w:pPr>
      <w:r>
        <w:rPr>
          <w:spacing w:val="-6"/>
        </w:rPr>
        <w:t>当相关法规或基金合同规定的估值方法不能客观反映基金财产公允价值时，基金管理人</w:t>
      </w:r>
      <w:r>
        <w:rPr>
          <w:spacing w:val="-4"/>
        </w:rPr>
        <w:t>可根据具体情况与基金托管人商定后，按最能反映公允价值的价格估值。若双方各持异议， </w:t>
      </w:r>
      <w:r>
        <w:rPr>
          <w:spacing w:val="-3"/>
        </w:rPr>
        <w:t>则上报中国证监会。</w:t>
      </w:r>
    </w:p>
    <w:p>
      <w:pPr>
        <w:pStyle w:val="BodyText"/>
        <w:spacing w:line="417" w:lineRule="auto"/>
        <w:ind w:left="840" w:right="892" w:firstLine="419"/>
        <w:jc w:val="both"/>
      </w:pPr>
      <w:r>
        <w:rPr>
          <w:rFonts w:ascii="Times New Roman" w:eastAsia="Times New Roman"/>
        </w:rPr>
        <w:t>2</w:t>
      </w:r>
      <w:r>
        <w:rPr>
          <w:spacing w:val="-3"/>
        </w:rPr>
        <w:t>、基金管理人、基金托管人发现基金估值违反基金合同订明的估值方法、程序以及相</w:t>
      </w:r>
      <w:r>
        <w:rPr>
          <w:spacing w:val="-4"/>
        </w:rPr>
        <w:t>关法律法规的规定或者未能充分维护基金份额持有人利益时的处理方式和程序处理原则及</w:t>
      </w:r>
      <w:r>
        <w:rPr>
          <w:spacing w:val="-15"/>
        </w:rPr>
        <w:t>程序同 </w:t>
      </w:r>
      <w:r>
        <w:rPr>
          <w:rFonts w:ascii="Times New Roman" w:eastAsia="Times New Roman"/>
        </w:rPr>
        <w:t>1</w:t>
      </w:r>
      <w:r>
        <w:rPr/>
        <w:t>。</w:t>
      </w:r>
    </w:p>
    <w:p>
      <w:pPr>
        <w:pStyle w:val="BodyText"/>
        <w:ind w:left="1260"/>
      </w:pPr>
      <w:r>
        <w:rPr>
          <w:rFonts w:ascii="Times New Roman" w:eastAsia="Times New Roman"/>
        </w:rPr>
        <w:t>3</w:t>
      </w:r>
      <w:r>
        <w:rPr/>
        <w:t>、估值差错处理程序</w:t>
      </w:r>
    </w:p>
    <w:p>
      <w:pPr>
        <w:pStyle w:val="BodyText"/>
        <w:spacing w:before="6"/>
        <w:rPr>
          <w:sz w:val="15"/>
        </w:rPr>
      </w:pPr>
    </w:p>
    <w:p>
      <w:pPr>
        <w:pStyle w:val="BodyText"/>
        <w:spacing w:line="417" w:lineRule="auto"/>
        <w:ind w:left="840" w:right="891" w:firstLine="419"/>
      </w:pPr>
      <w:r>
        <w:rPr>
          <w:spacing w:val="-7"/>
        </w:rPr>
        <w:t>因基金估值错误给投资者造成损失的应先由基金管理人承担，基金管理人对不应由其承</w:t>
      </w:r>
      <w:r>
        <w:rPr>
          <w:spacing w:val="-5"/>
        </w:rPr>
        <w:t>担的责任，有权向过错人追偿。</w:t>
      </w:r>
    </w:p>
    <w:p>
      <w:pPr>
        <w:pStyle w:val="BodyText"/>
        <w:spacing w:line="417" w:lineRule="auto"/>
        <w:ind w:left="840" w:right="797" w:firstLine="419"/>
      </w:pPr>
      <w:r>
        <w:rPr>
          <w:spacing w:val="-3"/>
        </w:rPr>
        <w:t>当基金管理人计算的基金资产净值、基金份额净值已由基金托管人复核确认后公告的， </w:t>
      </w:r>
      <w:r>
        <w:rPr>
          <w:spacing w:val="-8"/>
        </w:rPr>
        <w:t>由此造成的投资者或基金的损失，应根据法律法规的规定对投资者或基金支付赔偿金，就实</w:t>
      </w:r>
      <w:r>
        <w:rPr>
          <w:spacing w:val="-11"/>
        </w:rPr>
        <w:t>际向投资者或基金支付的赔偿金额，由基金管理人与基金托管人按照管理费率和托管费率的</w:t>
      </w:r>
      <w:r>
        <w:rPr>
          <w:spacing w:val="-6"/>
        </w:rPr>
        <w:t>比例各自承担相应的责任。</w:t>
      </w:r>
    </w:p>
    <w:p>
      <w:pPr>
        <w:pStyle w:val="BodyText"/>
        <w:spacing w:line="417" w:lineRule="auto"/>
        <w:ind w:left="840" w:right="891" w:firstLine="419"/>
        <w:jc w:val="both"/>
      </w:pPr>
      <w:r>
        <w:rPr>
          <w:spacing w:val="-10"/>
        </w:rPr>
        <w:t>由于一方当事人提供的信息错误，另一方当事人在采取了必要合理的措施后仍不能发现</w:t>
      </w:r>
      <w:r>
        <w:rPr>
          <w:spacing w:val="-13"/>
        </w:rPr>
        <w:t>该错误，进而导致基金资产净值、基金资产净值、基金份额净值计算错误造成投资者或基金的损失，以及由此造成以后交易日基金资产净值、基金份额净值计算顺延错误而引起的投资</w:t>
      </w:r>
      <w:r>
        <w:rPr>
          <w:spacing w:val="-6"/>
        </w:rPr>
        <w:t>者或基金的损失，由提供错误信息的当事人一方负责赔偿。</w:t>
      </w:r>
    </w:p>
    <w:p>
      <w:pPr>
        <w:pStyle w:val="BodyText"/>
        <w:spacing w:line="417" w:lineRule="auto"/>
        <w:ind w:left="840" w:right="788" w:firstLine="419"/>
      </w:pPr>
      <w:r>
        <w:rPr>
          <w:spacing w:val="-7"/>
        </w:rPr>
        <w:t>由于证券交易所及其登记结算公司发送的数据错误，或由于其他不可抗力原因，基金管</w:t>
      </w:r>
      <w:r>
        <w:rPr>
          <w:spacing w:val="-14"/>
        </w:rPr>
        <w:t>理人和基金托管人虽然已经采取必要、适当、合理的措施进行检查，但是未能发现该错误的， </w:t>
      </w:r>
      <w:r>
        <w:rPr>
          <w:spacing w:val="-13"/>
        </w:rPr>
        <w:t>由此造成的基金资产估值错误，基金管理人和基金托管人可以免除赔偿责任。但基金管理人</w:t>
      </w:r>
      <w:r>
        <w:rPr>
          <w:spacing w:val="-6"/>
        </w:rPr>
        <w:t>和基金托管人应当积极采取必要的措施消除由此造成的影响。</w:t>
      </w:r>
    </w:p>
    <w:p>
      <w:pPr>
        <w:pStyle w:val="BodyText"/>
        <w:spacing w:line="417" w:lineRule="auto"/>
        <w:ind w:left="840" w:right="894" w:firstLine="419"/>
      </w:pPr>
      <w:r>
        <w:rPr>
          <w:rFonts w:ascii="Times New Roman" w:eastAsia="Times New Roman"/>
        </w:rPr>
        <w:t>4</w:t>
      </w:r>
      <w:r>
        <w:rPr/>
        <w:t>、基金管理人和基金托管人在基金资产净值计算方法上意见不一致且协商不成时的处理原则和程序</w:t>
      </w:r>
    </w:p>
    <w:p>
      <w:pPr>
        <w:pStyle w:val="BodyText"/>
        <w:spacing w:line="417" w:lineRule="auto"/>
        <w:ind w:left="840" w:right="891" w:firstLine="419"/>
        <w:jc w:val="both"/>
      </w:pPr>
      <w:r>
        <w:rPr>
          <w:spacing w:val="-6"/>
        </w:rPr>
        <w:t>当基金管理人计算的基金资产净值与基金托管人的计算结果不一致时，相关各方应本着</w:t>
      </w:r>
      <w:r>
        <w:rPr>
          <w:spacing w:val="-10"/>
        </w:rPr>
        <w:t>勤勉尽责的态度重新计算核对，如果最后仍无法达成一致，应以基金管理人的计算结果为准</w:t>
      </w:r>
      <w:r>
        <w:rPr>
          <w:spacing w:val="-13"/>
        </w:rPr>
        <w:t>对外公布，由此造成的损失以及因该交易日基金资产净值计算顺延错误而引起的损失由基金</w:t>
      </w:r>
      <w:r>
        <w:rPr>
          <w:spacing w:val="-6"/>
        </w:rPr>
        <w:t>管理人承担赔偿责任，基金托管人不负赔偿责任。</w:t>
      </w:r>
    </w:p>
    <w:p>
      <w:pPr>
        <w:spacing w:after="0" w:line="417" w:lineRule="auto"/>
        <w:jc w:val="both"/>
        <w:sectPr>
          <w:pgSz w:w="11910" w:h="16840"/>
          <w:pgMar w:header="877" w:footer="995" w:top="1100" w:bottom="1180" w:left="960" w:right="900"/>
        </w:sectPr>
      </w:pPr>
    </w:p>
    <w:p>
      <w:pPr>
        <w:pStyle w:val="BodyText"/>
        <w:spacing w:before="4"/>
        <w:rPr>
          <w:sz w:val="27"/>
        </w:rPr>
      </w:pPr>
    </w:p>
    <w:p>
      <w:pPr>
        <w:pStyle w:val="BodyText"/>
        <w:spacing w:before="71"/>
        <w:ind w:left="840"/>
      </w:pPr>
      <w:r>
        <w:rPr/>
        <w:t>（四）基金账册的建立</w:t>
      </w:r>
    </w:p>
    <w:p>
      <w:pPr>
        <w:pStyle w:val="BodyText"/>
        <w:spacing w:before="7"/>
        <w:rPr>
          <w:sz w:val="15"/>
        </w:rPr>
      </w:pPr>
    </w:p>
    <w:p>
      <w:pPr>
        <w:pStyle w:val="BodyText"/>
        <w:spacing w:line="417" w:lineRule="auto"/>
        <w:ind w:left="840" w:right="891" w:firstLine="419"/>
        <w:jc w:val="both"/>
      </w:pPr>
      <w:r>
        <w:rPr>
          <w:spacing w:val="-8"/>
        </w:rPr>
        <w:t>基金管理人和基金托管人在基金合同生效后，应按照相关各方约定的同一记账方法和会</w:t>
      </w:r>
      <w:r>
        <w:rPr>
          <w:spacing w:val="-12"/>
        </w:rPr>
        <w:t>计处理原则，分别独立地设置、登录和保管本基金的全套账册，对相关各方各自的账册定期进行核对，互相监督，以保证基金资产的安全。若双方对会计处理方法存在分歧，应以基金</w:t>
      </w:r>
      <w:r>
        <w:rPr>
          <w:spacing w:val="-6"/>
        </w:rPr>
        <w:t>管理人的处理方法为准。</w:t>
      </w:r>
    </w:p>
    <w:p>
      <w:pPr>
        <w:pStyle w:val="BodyText"/>
        <w:spacing w:line="417" w:lineRule="auto"/>
        <w:ind w:left="840" w:right="891" w:firstLine="419"/>
        <w:jc w:val="both"/>
      </w:pPr>
      <w:r>
        <w:rPr>
          <w:spacing w:val="-9"/>
        </w:rPr>
        <w:t>经对账发现相关各方的账目存在不符的，基金管理人和基金托管人必须及时查明原因并</w:t>
      </w:r>
      <w:r>
        <w:rPr>
          <w:spacing w:val="-10"/>
        </w:rPr>
        <w:t>纠正，保证相关各方平行登录的账册记录完全相符。若当日核对不符，暂时无法查找到错账</w:t>
      </w:r>
      <w:r>
        <w:rPr>
          <w:spacing w:val="-5"/>
        </w:rPr>
        <w:t>的原因而影响到基金净值信息的计算和公告的，以基金管理人的账册为准。</w:t>
      </w:r>
    </w:p>
    <w:p>
      <w:pPr>
        <w:pStyle w:val="BodyText"/>
        <w:rPr>
          <w:sz w:val="20"/>
        </w:rPr>
      </w:pPr>
    </w:p>
    <w:p>
      <w:pPr>
        <w:pStyle w:val="BodyText"/>
        <w:spacing w:before="6"/>
        <w:rPr>
          <w:sz w:val="16"/>
        </w:rPr>
      </w:pPr>
    </w:p>
    <w:p>
      <w:pPr>
        <w:pStyle w:val="BodyText"/>
        <w:ind w:left="840"/>
      </w:pPr>
      <w:r>
        <w:rPr/>
        <w:t>（五）会计数据和财务指标的核对</w:t>
      </w:r>
    </w:p>
    <w:p>
      <w:pPr>
        <w:pStyle w:val="BodyText"/>
        <w:spacing w:before="7"/>
        <w:rPr>
          <w:sz w:val="15"/>
        </w:rPr>
      </w:pPr>
    </w:p>
    <w:p>
      <w:pPr>
        <w:pStyle w:val="BodyText"/>
        <w:spacing w:line="417" w:lineRule="auto"/>
        <w:ind w:left="840" w:right="788" w:firstLine="419"/>
      </w:pPr>
      <w:r>
        <w:rPr>
          <w:spacing w:val="-15"/>
        </w:rPr>
        <w:t>每日核对的主要数据包括：基金净值、估值增值、股票投资、债券投资、证券投资成本、</w:t>
      </w:r>
      <w:r>
        <w:rPr>
          <w:spacing w:val="-7"/>
        </w:rPr>
        <w:t>银行存款、证券清算款、基金资产、基金负债、实收资本。</w:t>
      </w:r>
    </w:p>
    <w:p>
      <w:pPr>
        <w:pStyle w:val="BodyText"/>
        <w:rPr>
          <w:sz w:val="20"/>
        </w:rPr>
      </w:pPr>
    </w:p>
    <w:p>
      <w:pPr>
        <w:pStyle w:val="BodyText"/>
        <w:spacing w:before="6"/>
        <w:rPr>
          <w:sz w:val="16"/>
        </w:rPr>
      </w:pPr>
    </w:p>
    <w:p>
      <w:pPr>
        <w:pStyle w:val="BodyText"/>
        <w:ind w:left="840"/>
      </w:pPr>
      <w:r>
        <w:rPr/>
        <w:t>（六）基金定期报告的编制和复核</w:t>
      </w:r>
    </w:p>
    <w:p>
      <w:pPr>
        <w:pStyle w:val="BodyText"/>
        <w:spacing w:before="7"/>
        <w:rPr>
          <w:sz w:val="15"/>
        </w:rPr>
      </w:pPr>
    </w:p>
    <w:p>
      <w:pPr>
        <w:pStyle w:val="BodyText"/>
        <w:spacing w:line="417" w:lineRule="auto" w:before="1"/>
        <w:ind w:left="840" w:right="891" w:firstLine="419"/>
        <w:jc w:val="both"/>
      </w:pPr>
      <w:r>
        <w:rPr>
          <w:spacing w:val="-7"/>
        </w:rPr>
        <w:t>基金财务报表由基金管理人和基金托管人每月分别独立编制。月度报表的编制，应于每</w:t>
      </w:r>
      <w:r>
        <w:rPr>
          <w:spacing w:val="-10"/>
        </w:rPr>
        <w:t>月终了后 </w:t>
      </w:r>
      <w:r>
        <w:rPr>
          <w:rFonts w:ascii="Times New Roman" w:eastAsia="Times New Roman"/>
        </w:rPr>
        <w:t>5 </w:t>
      </w:r>
      <w:r>
        <w:rPr>
          <w:spacing w:val="-12"/>
        </w:rPr>
        <w:t>个工作日内完成。《基金合同》生效后，基金招募说明书、基金产品资料概要的</w:t>
      </w:r>
      <w:r>
        <w:rPr>
          <w:spacing w:val="-13"/>
        </w:rPr>
        <w:t>信息发生重大变更的，基金管理人应当在三个工作日内，更新基金招募说明书和基金产品资</w:t>
      </w:r>
      <w:r>
        <w:rPr>
          <w:spacing w:val="-12"/>
        </w:rPr>
        <w:t>料概要并登载在指定网站上；基金招募说明书、基金产品资料概要其他信息发生变更的，基</w:t>
      </w:r>
      <w:r>
        <w:rPr>
          <w:spacing w:val="-6"/>
        </w:rPr>
        <w:t>金管理人至少每年更新一次。基金终止运作的，基金管理人不再更新基金招募说明书。</w:t>
      </w:r>
    </w:p>
    <w:p>
      <w:pPr>
        <w:pStyle w:val="BodyText"/>
        <w:spacing w:line="417" w:lineRule="auto"/>
        <w:ind w:left="840" w:right="891" w:firstLine="419"/>
        <w:jc w:val="both"/>
      </w:pPr>
      <w:r>
        <w:rPr>
          <w:spacing w:val="-5"/>
        </w:rPr>
        <w:t>基金管理人在季度结束之日起 </w:t>
      </w:r>
      <w:r>
        <w:rPr>
          <w:rFonts w:ascii="Times New Roman" w:eastAsia="Times New Roman"/>
        </w:rPr>
        <w:t>15 </w:t>
      </w:r>
      <w:r>
        <w:rPr>
          <w:spacing w:val="-3"/>
        </w:rPr>
        <w:t>个工作日内完成季度报告编制并公告；在上半年结束</w:t>
      </w:r>
      <w:r>
        <w:rPr>
          <w:spacing w:val="-8"/>
        </w:rPr>
        <w:t>之日起两个月内完成中期报告编制并公告；在每年结束之日起三个月内完成年度报告编制并公告。</w:t>
      </w:r>
    </w:p>
    <w:p>
      <w:pPr>
        <w:pStyle w:val="BodyText"/>
        <w:spacing w:line="417" w:lineRule="auto"/>
        <w:ind w:left="840" w:right="797" w:firstLine="419"/>
      </w:pPr>
      <w:r>
        <w:rPr>
          <w:spacing w:val="-8"/>
        </w:rPr>
        <w:t>基金管理人在月度报表完成当日，对报表加盖公章后，以加密传真方式将有关报表提供</w:t>
      </w:r>
      <w:r>
        <w:rPr>
          <w:spacing w:val="-7"/>
        </w:rPr>
        <w:t>基金托管人复核；基金托管人在 </w:t>
      </w:r>
      <w:r>
        <w:rPr>
          <w:rFonts w:ascii="Times New Roman" w:eastAsia="Times New Roman"/>
        </w:rPr>
        <w:t>2 </w:t>
      </w:r>
      <w:r>
        <w:rPr>
          <w:spacing w:val="-3"/>
        </w:rPr>
        <w:t>日内进行复核，并将复核结果及时书面通知基金管理人。</w:t>
      </w:r>
      <w:r>
        <w:rPr>
          <w:spacing w:val="-8"/>
        </w:rPr>
        <w:t>基金管理人在季度报告完成当日，将有关报告提供基金托管人复核，基金托管人在收到后一</w:t>
      </w:r>
      <w:r>
        <w:rPr>
          <w:spacing w:val="-12"/>
        </w:rPr>
        <w:t>个月内进行复核，并将复核结果书面通知基金管理人。基金管理人在中期报告完成当日，将有关报告提供基金托管人复核，基金托管人在收到后一个月内进行复核，并将复核结果书面</w:t>
      </w:r>
      <w:r>
        <w:rPr>
          <w:spacing w:val="-11"/>
        </w:rPr>
        <w:t>通知基金管理人。基金管理人在年度报告完成当日，将有关报告提供基金托管人复核，基金</w:t>
      </w:r>
      <w:r>
        <w:rPr>
          <w:spacing w:val="-6"/>
        </w:rPr>
        <w:t>托管人在收到后一个月内复核，并将复核结果书面通知基金管理人。</w:t>
      </w:r>
    </w:p>
    <w:p>
      <w:pPr>
        <w:pStyle w:val="BodyText"/>
        <w:spacing w:line="268" w:lineRule="exact"/>
        <w:ind w:left="1260"/>
      </w:pPr>
      <w:r>
        <w:rPr/>
        <w:t>基金托管人在复核过程中，发现相关各方的报表存在不符时，基金管理人和基金托管人</w:t>
      </w:r>
    </w:p>
    <w:p>
      <w:pPr>
        <w:spacing w:after="0" w:line="268" w:lineRule="exact"/>
        <w:sectPr>
          <w:pgSz w:w="11910" w:h="16840"/>
          <w:pgMar w:header="877" w:footer="995" w:top="1100" w:bottom="1180" w:left="960" w:right="900"/>
        </w:sectPr>
      </w:pPr>
    </w:p>
    <w:p>
      <w:pPr>
        <w:pStyle w:val="BodyText"/>
        <w:spacing w:before="4"/>
        <w:rPr>
          <w:sz w:val="27"/>
        </w:rPr>
      </w:pPr>
    </w:p>
    <w:p>
      <w:pPr>
        <w:pStyle w:val="BodyText"/>
        <w:spacing w:line="417" w:lineRule="auto" w:before="71"/>
        <w:ind w:left="840" w:right="891"/>
        <w:jc w:val="both"/>
      </w:pPr>
      <w:r>
        <w:rPr>
          <w:spacing w:val="-10"/>
        </w:rPr>
        <w:t>应共同查明原因，进行调整，调整以相关各方认可的账务处理方式为准。核对无误后，基金托管人在基金管理人提供的报告上加盖业务印鉴或者出具加盖托管业务部门公章的复核意</w:t>
      </w:r>
      <w:r>
        <w:rPr>
          <w:spacing w:val="-13"/>
        </w:rPr>
        <w:t>见书，相关各方各自留存一份。如果基金管理人与基金托管人不能于应当发布公告之日之前就相关报表达成一致，基金管理人有权按照其编制的报表对外发布公告，基金托管人有权就</w:t>
      </w:r>
      <w:r>
        <w:rPr>
          <w:spacing w:val="-6"/>
        </w:rPr>
        <w:t>相关情况报证监会备案。</w:t>
      </w:r>
    </w:p>
    <w:p>
      <w:pPr>
        <w:pStyle w:val="BodyText"/>
        <w:spacing w:line="417" w:lineRule="auto"/>
        <w:ind w:left="840" w:right="891" w:firstLine="419"/>
      </w:pPr>
      <w:r>
        <w:rPr>
          <w:spacing w:val="-9"/>
        </w:rPr>
        <w:t>基金托管人在对财务会计报告、中期报告或年度报告复核完毕后，需盖章确认或出具相</w:t>
      </w:r>
      <w:r>
        <w:rPr>
          <w:spacing w:val="-5"/>
        </w:rPr>
        <w:t>应的复核确认书，以备有权机构对相关文件审核时提示。</w:t>
      </w:r>
    </w:p>
    <w:p>
      <w:pPr>
        <w:pStyle w:val="BodyText"/>
        <w:rPr>
          <w:sz w:val="20"/>
        </w:rPr>
      </w:pPr>
    </w:p>
    <w:p>
      <w:pPr>
        <w:pStyle w:val="BodyText"/>
        <w:spacing w:before="6"/>
        <w:rPr>
          <w:sz w:val="16"/>
        </w:rPr>
      </w:pPr>
    </w:p>
    <w:p>
      <w:pPr>
        <w:pStyle w:val="Heading4"/>
        <w:spacing w:before="1"/>
      </w:pPr>
      <w:r>
        <w:rPr/>
        <w:t>六、基金份额持有人名册的保管</w:t>
      </w:r>
    </w:p>
    <w:p>
      <w:pPr>
        <w:pStyle w:val="BodyText"/>
        <w:spacing w:before="6"/>
        <w:rPr>
          <w:b/>
          <w:sz w:val="15"/>
        </w:rPr>
      </w:pPr>
    </w:p>
    <w:p>
      <w:pPr>
        <w:pStyle w:val="BodyText"/>
        <w:spacing w:line="417" w:lineRule="auto"/>
        <w:ind w:left="840" w:right="800" w:firstLine="419"/>
        <w:jc w:val="both"/>
      </w:pPr>
      <w:r>
        <w:rPr/>
        <w:t>基金管理人和基金托管人须分别妥善保管的基金份额持有人名册，包括基金合同生效 </w:t>
      </w:r>
      <w:r>
        <w:rPr>
          <w:spacing w:val="-5"/>
        </w:rPr>
        <w:t>日、基金合同终止日、基金份额持有人大会权利登记日、每年 </w:t>
      </w:r>
      <w:r>
        <w:rPr>
          <w:rFonts w:ascii="Times New Roman" w:eastAsia="Times New Roman"/>
        </w:rPr>
        <w:t>6</w:t>
      </w:r>
      <w:r>
        <w:rPr>
          <w:rFonts w:ascii="Times New Roman" w:eastAsia="Times New Roman"/>
          <w:spacing w:val="11"/>
        </w:rPr>
        <w:t> </w:t>
      </w:r>
      <w:r>
        <w:rPr>
          <w:spacing w:val="-19"/>
        </w:rPr>
        <w:t>月 </w:t>
      </w:r>
      <w:r>
        <w:rPr>
          <w:rFonts w:ascii="Times New Roman" w:eastAsia="Times New Roman"/>
        </w:rPr>
        <w:t>30</w:t>
      </w:r>
      <w:r>
        <w:rPr>
          <w:rFonts w:ascii="Times New Roman" w:eastAsia="Times New Roman"/>
          <w:spacing w:val="11"/>
        </w:rPr>
        <w:t> </w:t>
      </w:r>
      <w:r>
        <w:rPr/>
        <w:t>日、</w:t>
      </w:r>
      <w:r>
        <w:rPr>
          <w:rFonts w:ascii="Times New Roman" w:eastAsia="Times New Roman"/>
        </w:rPr>
        <w:t>12</w:t>
      </w:r>
      <w:r>
        <w:rPr>
          <w:rFonts w:ascii="Times New Roman" w:eastAsia="Times New Roman"/>
          <w:spacing w:val="15"/>
        </w:rPr>
        <w:t> </w:t>
      </w:r>
      <w:r>
        <w:rPr>
          <w:spacing w:val="-21"/>
        </w:rPr>
        <w:t>月 </w:t>
      </w:r>
      <w:r>
        <w:rPr>
          <w:rFonts w:ascii="Times New Roman" w:eastAsia="Times New Roman"/>
        </w:rPr>
        <w:t>31</w:t>
      </w:r>
      <w:r>
        <w:rPr>
          <w:rFonts w:ascii="Times New Roman" w:eastAsia="Times New Roman"/>
          <w:spacing w:val="11"/>
        </w:rPr>
        <w:t> </w:t>
      </w:r>
      <w:r>
        <w:rPr>
          <w:spacing w:val="-2"/>
        </w:rPr>
        <w:t>日的基</w:t>
      </w:r>
      <w:r>
        <w:rPr>
          <w:spacing w:val="-3"/>
        </w:rPr>
        <w:t>金份额持有人名册。基金份额持有人名册的内容必须包括持有人的名称和持有的基金份额。</w:t>
      </w:r>
    </w:p>
    <w:p>
      <w:pPr>
        <w:pStyle w:val="BodyText"/>
        <w:spacing w:line="417" w:lineRule="auto"/>
        <w:ind w:left="840" w:right="891" w:firstLine="419"/>
      </w:pPr>
      <w:r>
        <w:rPr>
          <w:spacing w:val="-8"/>
        </w:rPr>
        <w:t>基金份额持有人名册由基金的注册登记人编制，由基金的注册登记人和基金管理人共同</w:t>
      </w:r>
      <w:r>
        <w:rPr>
          <w:spacing w:val="-5"/>
        </w:rPr>
        <w:t>保管。保管方式可以采用电子或文档的形式。保管期限为永久保存。</w:t>
      </w:r>
    </w:p>
    <w:p>
      <w:pPr>
        <w:pStyle w:val="BodyText"/>
        <w:spacing w:line="417" w:lineRule="auto"/>
        <w:ind w:left="840" w:right="891" w:firstLine="419"/>
        <w:jc w:val="both"/>
      </w:pPr>
      <w:r>
        <w:rPr>
          <w:spacing w:val="-6"/>
        </w:rPr>
        <w:t>基金管理人应当及时向基金托管人提交下列日期的基金份额持有人名册：基金合同生效日、基金合同终止日、基金份额持有人大会权利登记日、每年 </w:t>
      </w:r>
      <w:r>
        <w:rPr>
          <w:rFonts w:ascii="Times New Roman" w:eastAsia="Times New Roman"/>
        </w:rPr>
        <w:t>6 </w:t>
      </w:r>
      <w:r>
        <w:rPr>
          <w:spacing w:val="-24"/>
        </w:rPr>
        <w:t>月 </w:t>
      </w:r>
      <w:r>
        <w:rPr>
          <w:rFonts w:ascii="Times New Roman" w:eastAsia="Times New Roman"/>
        </w:rPr>
        <w:t>30 </w:t>
      </w:r>
      <w:r>
        <w:rPr>
          <w:spacing w:val="-12"/>
        </w:rPr>
        <w:t>日、每年 </w:t>
      </w:r>
      <w:r>
        <w:rPr>
          <w:rFonts w:ascii="Times New Roman" w:eastAsia="Times New Roman"/>
        </w:rPr>
        <w:t>12 </w:t>
      </w:r>
      <w:r>
        <w:rPr>
          <w:spacing w:val="-24"/>
        </w:rPr>
        <w:t>月 </w:t>
      </w:r>
      <w:r>
        <w:rPr>
          <w:rFonts w:ascii="Times New Roman" w:eastAsia="Times New Roman"/>
        </w:rPr>
        <w:t>31 </w:t>
      </w:r>
      <w:r>
        <w:rPr/>
        <w:t>日</w:t>
      </w:r>
      <w:r>
        <w:rPr>
          <w:spacing w:val="-12"/>
        </w:rPr>
        <w:t>的基金份额持有人名册。基金份额持有人名册的内容必须包括持有人的名称和持有的基金份</w:t>
      </w:r>
      <w:r>
        <w:rPr>
          <w:spacing w:val="-17"/>
        </w:rPr>
        <w:t>额。其中每年 </w:t>
      </w:r>
      <w:r>
        <w:rPr>
          <w:rFonts w:ascii="Times New Roman" w:eastAsia="Times New Roman"/>
        </w:rPr>
        <w:t>12 </w:t>
      </w:r>
      <w:r>
        <w:rPr>
          <w:spacing w:val="-22"/>
        </w:rPr>
        <w:t>月 </w:t>
      </w:r>
      <w:r>
        <w:rPr>
          <w:rFonts w:ascii="Times New Roman" w:eastAsia="Times New Roman"/>
        </w:rPr>
        <w:t>31 </w:t>
      </w:r>
      <w:r>
        <w:rPr>
          <w:spacing w:val="-5"/>
        </w:rPr>
        <w:t>日的基金份额持有人名册应于下月前十个工作日内提交；基金合同生</w:t>
      </w:r>
      <w:r>
        <w:rPr>
          <w:spacing w:val="-12"/>
        </w:rPr>
        <w:t>效日、基金合同终止日等涉及到基金重要事项日期的基金份额持有人名册应于发生日后十个</w:t>
      </w:r>
      <w:r>
        <w:rPr>
          <w:spacing w:val="-6"/>
        </w:rPr>
        <w:t>工作日内提交。</w:t>
      </w:r>
    </w:p>
    <w:p>
      <w:pPr>
        <w:pStyle w:val="BodyText"/>
        <w:spacing w:line="417" w:lineRule="auto"/>
        <w:ind w:left="840" w:right="891" w:firstLine="419"/>
        <w:jc w:val="both"/>
      </w:pPr>
      <w:r>
        <w:rPr>
          <w:spacing w:val="-7"/>
        </w:rPr>
        <w:t>基金托管人以电子版形式妥善保管基金份额持有人名册，并定期刻成光盘备份，保存期</w:t>
      </w:r>
      <w:r>
        <w:rPr>
          <w:spacing w:val="-14"/>
        </w:rPr>
        <w:t>限为 </w:t>
      </w:r>
      <w:r>
        <w:rPr>
          <w:rFonts w:ascii="Times New Roman" w:eastAsia="Times New Roman"/>
        </w:rPr>
        <w:t>15 </w:t>
      </w:r>
      <w:r>
        <w:rPr>
          <w:spacing w:val="-3"/>
        </w:rPr>
        <w:t>年。基金托管人不得将所保管的基金份额持有人名册用于基金托管业务以外的其他</w:t>
      </w:r>
      <w:r>
        <w:rPr>
          <w:spacing w:val="-12"/>
        </w:rPr>
        <w:t>用途，并应遵守保密义务。若基金管理人或基金托管人由于自身原因无法妥善保管基金份额</w:t>
      </w:r>
      <w:r>
        <w:rPr>
          <w:spacing w:val="-6"/>
        </w:rPr>
        <w:t>持有人名册，应按有关法规规定各自承担相应的责任。</w:t>
      </w:r>
    </w:p>
    <w:p>
      <w:pPr>
        <w:pStyle w:val="BodyText"/>
        <w:rPr>
          <w:sz w:val="20"/>
        </w:rPr>
      </w:pPr>
    </w:p>
    <w:p>
      <w:pPr>
        <w:pStyle w:val="BodyText"/>
        <w:spacing w:before="5"/>
        <w:rPr>
          <w:sz w:val="16"/>
        </w:rPr>
      </w:pPr>
    </w:p>
    <w:p>
      <w:pPr>
        <w:pStyle w:val="Heading4"/>
        <w:spacing w:before="1"/>
      </w:pPr>
      <w:r>
        <w:rPr/>
        <w:t>七、争议解决方式</w:t>
      </w:r>
    </w:p>
    <w:p>
      <w:pPr>
        <w:pStyle w:val="BodyText"/>
        <w:spacing w:before="6"/>
        <w:rPr>
          <w:b/>
          <w:sz w:val="15"/>
        </w:rPr>
      </w:pPr>
    </w:p>
    <w:p>
      <w:pPr>
        <w:pStyle w:val="BodyText"/>
        <w:spacing w:line="417" w:lineRule="auto"/>
        <w:ind w:left="840" w:right="800" w:firstLine="419"/>
        <w:jc w:val="both"/>
      </w:pPr>
      <w:r>
        <w:rPr>
          <w:spacing w:val="-10"/>
        </w:rPr>
        <w:t>相关各方当事人同意，因本协议而产生的或与本协议有关的一切争议，除经友好协商可</w:t>
      </w:r>
      <w:r>
        <w:rPr>
          <w:spacing w:val="-11"/>
        </w:rPr>
        <w:t>以解决的，应提交中国国际经济贸易仲裁委员会根据该会当时有效的仲裁规则进行仲裁，仲</w:t>
      </w:r>
      <w:r>
        <w:rPr>
          <w:spacing w:val="-6"/>
        </w:rPr>
        <w:t>裁的地点在北京，仲裁裁决是终局性的并对相关各方均有约束力，仲裁费用由败诉方承担。</w:t>
      </w:r>
    </w:p>
    <w:p>
      <w:pPr>
        <w:pStyle w:val="BodyText"/>
        <w:ind w:left="1260"/>
      </w:pPr>
      <w:r>
        <w:rPr>
          <w:spacing w:val="-14"/>
        </w:rPr>
        <w:t>争议处理期间，相关各方当事人应恪守基金管理人和基金托管人职责，继续忠实、勤勉、</w:t>
      </w:r>
    </w:p>
    <w:p>
      <w:pPr>
        <w:spacing w:after="0"/>
        <w:sectPr>
          <w:pgSz w:w="11910" w:h="16840"/>
          <w:pgMar w:header="877" w:footer="995" w:top="1100" w:bottom="1180" w:left="960" w:right="900"/>
        </w:sectPr>
      </w:pPr>
    </w:p>
    <w:p>
      <w:pPr>
        <w:pStyle w:val="BodyText"/>
        <w:spacing w:before="4"/>
        <w:rPr>
          <w:sz w:val="27"/>
        </w:rPr>
      </w:pPr>
    </w:p>
    <w:p>
      <w:pPr>
        <w:pStyle w:val="BodyText"/>
        <w:spacing w:line="417" w:lineRule="auto" w:before="71"/>
        <w:ind w:left="1260" w:right="1426" w:hanging="420"/>
      </w:pPr>
      <w:r>
        <w:rPr/>
        <w:t>尽责地履行《基金合同》和托管协议规定的义务，维护基金份额持有人的合法权益。本协议受中国法律管辖。</w:t>
      </w:r>
    </w:p>
    <w:p>
      <w:pPr>
        <w:pStyle w:val="BodyText"/>
        <w:rPr>
          <w:sz w:val="20"/>
        </w:rPr>
      </w:pPr>
    </w:p>
    <w:p>
      <w:pPr>
        <w:pStyle w:val="BodyText"/>
        <w:spacing w:before="7"/>
        <w:rPr>
          <w:sz w:val="16"/>
        </w:rPr>
      </w:pPr>
    </w:p>
    <w:p>
      <w:pPr>
        <w:pStyle w:val="Heading4"/>
      </w:pPr>
      <w:r>
        <w:rPr/>
        <w:t>八、基金托管协议的变更与终止</w:t>
      </w:r>
    </w:p>
    <w:p>
      <w:pPr>
        <w:pStyle w:val="BodyText"/>
        <w:spacing w:before="6"/>
        <w:rPr>
          <w:b/>
          <w:sz w:val="15"/>
        </w:rPr>
      </w:pPr>
    </w:p>
    <w:p>
      <w:pPr>
        <w:pStyle w:val="BodyText"/>
        <w:spacing w:before="1"/>
        <w:ind w:left="840"/>
      </w:pPr>
      <w:r>
        <w:rPr/>
        <w:t>（一）托管协议的变更程序</w:t>
      </w:r>
    </w:p>
    <w:p>
      <w:pPr>
        <w:pStyle w:val="BodyText"/>
        <w:spacing w:before="6"/>
        <w:rPr>
          <w:sz w:val="15"/>
        </w:rPr>
      </w:pPr>
    </w:p>
    <w:p>
      <w:pPr>
        <w:pStyle w:val="BodyText"/>
        <w:spacing w:line="417" w:lineRule="auto"/>
        <w:ind w:left="840" w:right="800" w:firstLine="419"/>
      </w:pPr>
      <w:r>
        <w:rPr>
          <w:spacing w:val="-8"/>
        </w:rPr>
        <w:t>本协议双方当事人经协商一致，可以对协议的内容进行变更。变更后的托管协议，其内</w:t>
      </w:r>
      <w:r>
        <w:rPr>
          <w:spacing w:val="-5"/>
        </w:rPr>
        <w:t>容不得与《基金合同》的规定有任何冲突。基金托管协议的变更报中国证监会核准后生效。</w:t>
      </w:r>
    </w:p>
    <w:p>
      <w:pPr>
        <w:pStyle w:val="BodyText"/>
        <w:spacing w:before="1"/>
        <w:ind w:left="840"/>
      </w:pPr>
      <w:r>
        <w:rPr/>
        <w:t>（二）基金托管协议终止的情形</w:t>
      </w:r>
    </w:p>
    <w:p>
      <w:pPr>
        <w:pStyle w:val="BodyText"/>
        <w:spacing w:before="6"/>
        <w:rPr>
          <w:sz w:val="15"/>
        </w:rPr>
      </w:pPr>
    </w:p>
    <w:p>
      <w:pPr>
        <w:pStyle w:val="BodyText"/>
        <w:ind w:left="1260"/>
      </w:pPr>
      <w:r>
        <w:rPr/>
        <w:t>发生以下情况，本托管协议终止：</w:t>
      </w:r>
    </w:p>
    <w:p>
      <w:pPr>
        <w:pStyle w:val="BodyText"/>
        <w:spacing w:before="7"/>
        <w:rPr>
          <w:sz w:val="15"/>
        </w:rPr>
      </w:pPr>
    </w:p>
    <w:p>
      <w:pPr>
        <w:pStyle w:val="ListParagraph"/>
        <w:numPr>
          <w:ilvl w:val="0"/>
          <w:numId w:val="66"/>
        </w:numPr>
        <w:tabs>
          <w:tab w:pos="1790" w:val="left" w:leader="none"/>
        </w:tabs>
        <w:spacing w:line="240" w:lineRule="auto" w:before="0" w:after="0"/>
        <w:ind w:left="1789" w:right="0" w:hanging="530"/>
        <w:jc w:val="left"/>
        <w:rPr>
          <w:sz w:val="21"/>
        </w:rPr>
      </w:pPr>
      <w:r>
        <w:rPr>
          <w:spacing w:val="-3"/>
          <w:sz w:val="21"/>
        </w:rPr>
        <w:t>基金或《基金合同》终止；</w:t>
      </w:r>
    </w:p>
    <w:p>
      <w:pPr>
        <w:pStyle w:val="BodyText"/>
        <w:spacing w:before="7"/>
        <w:rPr>
          <w:sz w:val="15"/>
        </w:rPr>
      </w:pPr>
    </w:p>
    <w:p>
      <w:pPr>
        <w:pStyle w:val="ListParagraph"/>
        <w:numPr>
          <w:ilvl w:val="0"/>
          <w:numId w:val="66"/>
        </w:numPr>
        <w:tabs>
          <w:tab w:pos="1790" w:val="left" w:leader="none"/>
        </w:tabs>
        <w:spacing w:line="240" w:lineRule="auto" w:before="0" w:after="0"/>
        <w:ind w:left="1789" w:right="0" w:hanging="530"/>
        <w:jc w:val="left"/>
        <w:rPr>
          <w:sz w:val="21"/>
        </w:rPr>
      </w:pPr>
      <w:r>
        <w:rPr>
          <w:spacing w:val="-3"/>
          <w:sz w:val="21"/>
        </w:rPr>
        <w:t>基金托管人解散、依法被撤销、破产或有其他基金托管人接管基金资产；</w:t>
      </w:r>
    </w:p>
    <w:p>
      <w:pPr>
        <w:pStyle w:val="BodyText"/>
        <w:spacing w:before="6"/>
        <w:rPr>
          <w:sz w:val="15"/>
        </w:rPr>
      </w:pPr>
    </w:p>
    <w:p>
      <w:pPr>
        <w:pStyle w:val="ListParagraph"/>
        <w:numPr>
          <w:ilvl w:val="0"/>
          <w:numId w:val="66"/>
        </w:numPr>
        <w:tabs>
          <w:tab w:pos="1790" w:val="left" w:leader="none"/>
        </w:tabs>
        <w:spacing w:line="240" w:lineRule="auto" w:before="1" w:after="0"/>
        <w:ind w:left="1789" w:right="0" w:hanging="530"/>
        <w:jc w:val="left"/>
        <w:rPr>
          <w:sz w:val="21"/>
        </w:rPr>
      </w:pPr>
      <w:r>
        <w:rPr>
          <w:spacing w:val="-3"/>
          <w:sz w:val="21"/>
        </w:rPr>
        <w:t>基金管理人解散、依法被撤销、破产或有其他基金管理人接管基金管理权；</w:t>
      </w:r>
    </w:p>
    <w:p>
      <w:pPr>
        <w:pStyle w:val="BodyText"/>
        <w:spacing w:before="6"/>
        <w:rPr>
          <w:sz w:val="15"/>
        </w:rPr>
      </w:pPr>
    </w:p>
    <w:p>
      <w:pPr>
        <w:pStyle w:val="ListParagraph"/>
        <w:numPr>
          <w:ilvl w:val="0"/>
          <w:numId w:val="66"/>
        </w:numPr>
        <w:tabs>
          <w:tab w:pos="1790" w:val="left" w:leader="none"/>
        </w:tabs>
        <w:spacing w:line="240" w:lineRule="auto" w:before="0" w:after="0"/>
        <w:ind w:left="1789" w:right="0" w:hanging="530"/>
        <w:jc w:val="left"/>
        <w:rPr>
          <w:sz w:val="21"/>
        </w:rPr>
      </w:pPr>
      <w:r>
        <w:rPr>
          <w:spacing w:val="-3"/>
          <w:sz w:val="21"/>
        </w:rPr>
        <w:t>发生法律法规或基金合同规定的终止事项。</w:t>
      </w:r>
    </w:p>
    <w:p>
      <w:pPr>
        <w:spacing w:after="0" w:line="240" w:lineRule="auto"/>
        <w:jc w:val="left"/>
        <w:rPr>
          <w:sz w:val="21"/>
        </w:rPr>
        <w:sectPr>
          <w:footerReference w:type="default" r:id="rId176"/>
          <w:pgSz w:w="11910" w:h="16840"/>
          <w:pgMar w:footer="995" w:header="877" w:top="1100" w:bottom="1180" w:left="960" w:right="900"/>
        </w:sectPr>
      </w:pPr>
    </w:p>
    <w:p>
      <w:pPr>
        <w:pStyle w:val="BodyText"/>
        <w:rPr>
          <w:sz w:val="20"/>
        </w:rPr>
      </w:pPr>
    </w:p>
    <w:p>
      <w:pPr>
        <w:pStyle w:val="BodyText"/>
        <w:rPr>
          <w:sz w:val="20"/>
        </w:rPr>
      </w:pPr>
    </w:p>
    <w:p>
      <w:pPr>
        <w:pStyle w:val="BodyText"/>
        <w:spacing w:before="8"/>
        <w:rPr>
          <w:sz w:val="15"/>
        </w:rPr>
      </w:pPr>
    </w:p>
    <w:p>
      <w:pPr>
        <w:pStyle w:val="Heading1"/>
        <w:ind w:right="1361"/>
      </w:pPr>
      <w:bookmarkStart w:name="_TOC_250003" w:id="21"/>
      <w:bookmarkEnd w:id="21"/>
      <w:r>
        <w:rPr/>
        <w:t>二十一、对基金份额持有人的服务</w:t>
      </w:r>
    </w:p>
    <w:p>
      <w:pPr>
        <w:pStyle w:val="BodyText"/>
        <w:spacing w:before="12"/>
        <w:rPr>
          <w:rFonts w:ascii="黑体"/>
          <w:b/>
          <w:sz w:val="41"/>
        </w:rPr>
      </w:pPr>
    </w:p>
    <w:p>
      <w:pPr>
        <w:pStyle w:val="BodyText"/>
        <w:spacing w:line="417" w:lineRule="auto"/>
        <w:ind w:left="840" w:right="891" w:firstLine="419"/>
      </w:pPr>
      <w:r>
        <w:rPr>
          <w:spacing w:val="-7"/>
        </w:rPr>
        <w:t>基金管理人承诺为基金份额持有人提供一系列的服务，以下是主要的服务内容，基金管</w:t>
      </w:r>
      <w:r>
        <w:rPr>
          <w:spacing w:val="-5"/>
        </w:rPr>
        <w:t>理人根据基金份额持有人的需要和市场的变化，有权增加和修改以下服务项目：</w:t>
      </w:r>
    </w:p>
    <w:p>
      <w:pPr>
        <w:pStyle w:val="BodyText"/>
        <w:spacing w:line="269" w:lineRule="exact"/>
        <w:ind w:left="840"/>
      </w:pPr>
      <w:r>
        <w:rPr/>
        <w:t>（一）基金份额持有人交易资料的寄送服务</w:t>
      </w:r>
    </w:p>
    <w:p>
      <w:pPr>
        <w:pStyle w:val="BodyText"/>
        <w:spacing w:before="6"/>
        <w:rPr>
          <w:sz w:val="15"/>
        </w:rPr>
      </w:pPr>
    </w:p>
    <w:p>
      <w:pPr>
        <w:pStyle w:val="BodyText"/>
        <w:spacing w:before="1"/>
        <w:ind w:left="414" w:right="60"/>
        <w:jc w:val="center"/>
      </w:pPr>
      <w:r>
        <w:rPr>
          <w:rFonts w:ascii="Times New Roman" w:eastAsia="Times New Roman"/>
        </w:rPr>
        <w:t>1</w:t>
      </w:r>
      <w:r>
        <w:rPr>
          <w:spacing w:val="-3"/>
        </w:rPr>
        <w:t>、登记机构保留基金份额持有人名册上列明的所有基金份额持有人的基金交易记录；</w:t>
      </w:r>
    </w:p>
    <w:p>
      <w:pPr>
        <w:pStyle w:val="BodyText"/>
        <w:spacing w:before="7"/>
        <w:rPr>
          <w:sz w:val="15"/>
        </w:rPr>
      </w:pPr>
    </w:p>
    <w:p>
      <w:pPr>
        <w:pStyle w:val="BodyText"/>
        <w:ind w:left="1260"/>
        <w:jc w:val="both"/>
      </w:pPr>
      <w:r>
        <w:rPr>
          <w:rFonts w:ascii="Times New Roman" w:eastAsia="Times New Roman"/>
        </w:rPr>
        <w:t>2</w:t>
      </w:r>
      <w:r>
        <w:rPr>
          <w:spacing w:val="-18"/>
        </w:rPr>
        <w:t>、我公司于 </w:t>
      </w:r>
      <w:r>
        <w:rPr>
          <w:rFonts w:ascii="Times New Roman" w:eastAsia="Times New Roman"/>
        </w:rPr>
        <w:t>2017</w:t>
      </w:r>
      <w:r>
        <w:rPr>
          <w:rFonts w:ascii="Times New Roman" w:eastAsia="Times New Roman"/>
          <w:spacing w:val="6"/>
        </w:rPr>
        <w:t> </w:t>
      </w:r>
      <w:r>
        <w:rPr>
          <w:spacing w:val="-24"/>
        </w:rPr>
        <w:t>年 </w:t>
      </w:r>
      <w:r>
        <w:rPr>
          <w:rFonts w:ascii="Times New Roman" w:eastAsia="Times New Roman"/>
        </w:rPr>
        <w:t>12</w:t>
      </w:r>
      <w:r>
        <w:rPr>
          <w:rFonts w:ascii="Times New Roman" w:eastAsia="Times New Roman"/>
          <w:spacing w:val="7"/>
        </w:rPr>
        <w:t> </w:t>
      </w:r>
      <w:r>
        <w:rPr>
          <w:spacing w:val="-25"/>
        </w:rPr>
        <w:t>年 </w:t>
      </w:r>
      <w:r>
        <w:rPr>
          <w:rFonts w:ascii="Times New Roman" w:eastAsia="Times New Roman"/>
        </w:rPr>
        <w:t>21</w:t>
      </w:r>
      <w:r>
        <w:rPr>
          <w:rFonts w:ascii="Times New Roman" w:eastAsia="Times New Roman"/>
          <w:spacing w:val="6"/>
        </w:rPr>
        <w:t> </w:t>
      </w:r>
      <w:r>
        <w:rPr>
          <w:spacing w:val="-9"/>
        </w:rPr>
        <w:t>日发布《景顺长城基金管理有限公司关于调整旗下基金对</w:t>
      </w:r>
    </w:p>
    <w:p>
      <w:pPr>
        <w:pStyle w:val="BodyText"/>
        <w:spacing w:before="7"/>
        <w:rPr>
          <w:sz w:val="15"/>
        </w:rPr>
      </w:pPr>
    </w:p>
    <w:p>
      <w:pPr>
        <w:pStyle w:val="BodyText"/>
        <w:spacing w:line="417" w:lineRule="auto"/>
        <w:ind w:left="840" w:right="891"/>
        <w:jc w:val="both"/>
      </w:pPr>
      <w:r>
        <w:rPr>
          <w:spacing w:val="-20"/>
        </w:rPr>
        <w:t>账单服务形式的公告》，自 </w:t>
      </w:r>
      <w:r>
        <w:rPr>
          <w:rFonts w:ascii="Times New Roman" w:eastAsia="Times New Roman"/>
        </w:rPr>
        <w:t>2018 </w:t>
      </w:r>
      <w:r>
        <w:rPr>
          <w:spacing w:val="-23"/>
        </w:rPr>
        <w:t>年 </w:t>
      </w:r>
      <w:r>
        <w:rPr>
          <w:rFonts w:ascii="Times New Roman" w:eastAsia="Times New Roman"/>
        </w:rPr>
        <w:t>1 </w:t>
      </w:r>
      <w:r>
        <w:rPr>
          <w:spacing w:val="-23"/>
        </w:rPr>
        <w:t>月 </w:t>
      </w:r>
      <w:r>
        <w:rPr>
          <w:rFonts w:ascii="Times New Roman" w:eastAsia="Times New Roman"/>
        </w:rPr>
        <w:t>1 </w:t>
      </w:r>
      <w:r>
        <w:rPr>
          <w:spacing w:val="-8"/>
        </w:rPr>
        <w:t>日起，本公司按照投资者成功定制的服务形式提供</w:t>
      </w:r>
      <w:r>
        <w:rPr>
          <w:spacing w:val="-5"/>
        </w:rPr>
        <w:t>基金对账单服务，对于未定制账单服务的投资者不再主动提供对账单。</w:t>
      </w:r>
    </w:p>
    <w:p>
      <w:pPr>
        <w:pStyle w:val="ListParagraph"/>
        <w:numPr>
          <w:ilvl w:val="0"/>
          <w:numId w:val="67"/>
        </w:numPr>
        <w:tabs>
          <w:tab w:pos="1790" w:val="left" w:leader="none"/>
        </w:tabs>
        <w:spacing w:line="269" w:lineRule="exact" w:before="0" w:after="0"/>
        <w:ind w:left="1789" w:right="0" w:hanging="530"/>
        <w:jc w:val="both"/>
        <w:rPr>
          <w:sz w:val="21"/>
        </w:rPr>
      </w:pPr>
      <w:r>
        <w:rPr>
          <w:spacing w:val="-7"/>
          <w:sz w:val="21"/>
        </w:rPr>
        <w:t>月度电子邮件对账单：每月初 </w:t>
      </w:r>
      <w:r>
        <w:rPr>
          <w:rFonts w:ascii="Times New Roman" w:eastAsia="Times New Roman"/>
          <w:sz w:val="21"/>
        </w:rPr>
        <w:t>5</w:t>
      </w:r>
      <w:r>
        <w:rPr>
          <w:rFonts w:ascii="Times New Roman" w:eastAsia="Times New Roman"/>
          <w:spacing w:val="7"/>
          <w:sz w:val="21"/>
        </w:rPr>
        <w:t> </w:t>
      </w:r>
      <w:r>
        <w:rPr>
          <w:spacing w:val="-3"/>
          <w:sz w:val="21"/>
        </w:rPr>
        <w:t>个工作日内，本公司以电子邮件方式给截至上月</w:t>
      </w:r>
    </w:p>
    <w:p>
      <w:pPr>
        <w:pStyle w:val="BodyText"/>
        <w:spacing w:before="6"/>
        <w:rPr>
          <w:sz w:val="15"/>
        </w:rPr>
      </w:pPr>
    </w:p>
    <w:p>
      <w:pPr>
        <w:pStyle w:val="BodyText"/>
        <w:spacing w:line="417" w:lineRule="auto"/>
        <w:ind w:left="840" w:right="891"/>
        <w:jc w:val="both"/>
      </w:pPr>
      <w:r>
        <w:rPr/>
        <w:t>最后一个交易日仍持有本公司基金份额或者账户余额为 </w:t>
      </w:r>
      <w:r>
        <w:rPr>
          <w:rFonts w:ascii="Times New Roman" w:eastAsia="Times New Roman"/>
        </w:rPr>
        <w:t>0 </w:t>
      </w:r>
      <w:r>
        <w:rPr/>
        <w:t>但当期有交易发生的定制投资者发送月度电子邮件对账单。</w:t>
      </w:r>
    </w:p>
    <w:p>
      <w:pPr>
        <w:pStyle w:val="ListParagraph"/>
        <w:numPr>
          <w:ilvl w:val="0"/>
          <w:numId w:val="67"/>
        </w:numPr>
        <w:tabs>
          <w:tab w:pos="1790" w:val="left" w:leader="none"/>
        </w:tabs>
        <w:spacing w:line="417" w:lineRule="auto" w:before="0" w:after="0"/>
        <w:ind w:left="840" w:right="893" w:firstLine="419"/>
        <w:jc w:val="both"/>
        <w:rPr>
          <w:sz w:val="21"/>
        </w:rPr>
      </w:pPr>
      <w:r>
        <w:rPr>
          <w:spacing w:val="-6"/>
          <w:sz w:val="21"/>
        </w:rPr>
        <w:t>月度短信对账单：每月初 </w:t>
      </w:r>
      <w:r>
        <w:rPr>
          <w:rFonts w:ascii="Times New Roman" w:eastAsia="Times New Roman"/>
          <w:sz w:val="21"/>
        </w:rPr>
        <w:t>5</w:t>
      </w:r>
      <w:r>
        <w:rPr>
          <w:rFonts w:ascii="Times New Roman" w:eastAsia="Times New Roman"/>
          <w:spacing w:val="23"/>
          <w:sz w:val="21"/>
        </w:rPr>
        <w:t> </w:t>
      </w:r>
      <w:r>
        <w:rPr>
          <w:spacing w:val="-3"/>
          <w:sz w:val="21"/>
        </w:rPr>
        <w:t>个工作日内，本公司以短信方式给截至上月最后一个交易日仍持有本公司基金份额的定制投资者发送月度短信对账单。</w:t>
      </w:r>
    </w:p>
    <w:p>
      <w:pPr>
        <w:pStyle w:val="ListParagraph"/>
        <w:numPr>
          <w:ilvl w:val="0"/>
          <w:numId w:val="67"/>
        </w:numPr>
        <w:tabs>
          <w:tab w:pos="1790" w:val="left" w:leader="none"/>
        </w:tabs>
        <w:spacing w:line="240" w:lineRule="auto" w:before="0" w:after="0"/>
        <w:ind w:left="1789" w:right="0" w:hanging="530"/>
        <w:jc w:val="both"/>
        <w:rPr>
          <w:sz w:val="21"/>
        </w:rPr>
      </w:pPr>
      <w:r>
        <w:rPr>
          <w:spacing w:val="-7"/>
          <w:sz w:val="21"/>
        </w:rPr>
        <w:t>月度微信对账单：每月初 </w:t>
      </w:r>
      <w:r>
        <w:rPr>
          <w:rFonts w:ascii="Times New Roman" w:eastAsia="Times New Roman"/>
          <w:sz w:val="21"/>
        </w:rPr>
        <w:t>5</w:t>
      </w:r>
      <w:r>
        <w:rPr>
          <w:rFonts w:ascii="Times New Roman" w:eastAsia="Times New Roman"/>
          <w:spacing w:val="7"/>
          <w:sz w:val="21"/>
        </w:rPr>
        <w:t> </w:t>
      </w:r>
      <w:r>
        <w:rPr>
          <w:spacing w:val="-3"/>
          <w:sz w:val="21"/>
        </w:rPr>
        <w:t>个工作日内，本公司以微信方式给截至上月最后一个</w:t>
      </w:r>
    </w:p>
    <w:p>
      <w:pPr>
        <w:pStyle w:val="BodyText"/>
        <w:spacing w:before="7"/>
        <w:rPr>
          <w:sz w:val="15"/>
        </w:rPr>
      </w:pPr>
    </w:p>
    <w:p>
      <w:pPr>
        <w:pStyle w:val="BodyText"/>
        <w:spacing w:line="417" w:lineRule="auto"/>
        <w:ind w:left="840" w:right="785"/>
        <w:jc w:val="both"/>
      </w:pPr>
      <w:r>
        <w:rPr>
          <w:spacing w:val="-5"/>
        </w:rPr>
        <w:t>交易日仍持有本公司基金份额或者账户余额为 </w:t>
      </w:r>
      <w:r>
        <w:rPr>
          <w:rFonts w:ascii="Times New Roman" w:hAnsi="Times New Roman" w:eastAsia="Times New Roman"/>
        </w:rPr>
        <w:t>0 </w:t>
      </w:r>
      <w:r>
        <w:rPr>
          <w:spacing w:val="-17"/>
        </w:rPr>
        <w:t>但当期有交易发生、且已在“景顺长城基金” </w:t>
      </w:r>
      <w:r>
        <w:rPr>
          <w:spacing w:val="-7"/>
        </w:rPr>
        <w:t>微信公众号上成功绑定账户的投资者发送月度微信对账单。</w:t>
      </w:r>
    </w:p>
    <w:p>
      <w:pPr>
        <w:pStyle w:val="ListParagraph"/>
        <w:numPr>
          <w:ilvl w:val="0"/>
          <w:numId w:val="67"/>
        </w:numPr>
        <w:tabs>
          <w:tab w:pos="1790" w:val="left" w:leader="none"/>
        </w:tabs>
        <w:spacing w:line="417" w:lineRule="auto" w:before="0" w:after="0"/>
        <w:ind w:left="840" w:right="891" w:firstLine="419"/>
        <w:jc w:val="both"/>
        <w:rPr>
          <w:sz w:val="21"/>
        </w:rPr>
      </w:pPr>
      <w:r>
        <w:rPr>
          <w:spacing w:val="-3"/>
          <w:sz w:val="21"/>
        </w:rPr>
        <w:t>季度及年度纸质对账单：每年一、二、三季度结束后，本公司向定制纸质对账单</w:t>
      </w:r>
      <w:r>
        <w:rPr>
          <w:spacing w:val="-8"/>
          <w:sz w:val="21"/>
        </w:rPr>
        <w:t>且在当季度内有交易的投资者寄送季度对账单；每年度结束后，本公司向定制纸质对账单且在第四季度内有基金交易或者年度最后一个交易日仍持有本公司基金份额的投资者寄送年</w:t>
      </w:r>
      <w:r>
        <w:rPr>
          <w:spacing w:val="-5"/>
          <w:sz w:val="21"/>
        </w:rPr>
        <w:t>度纸质对账单。</w:t>
      </w:r>
    </w:p>
    <w:p>
      <w:pPr>
        <w:pStyle w:val="BodyText"/>
        <w:spacing w:line="417" w:lineRule="auto"/>
        <w:ind w:left="840" w:right="797" w:firstLine="419"/>
      </w:pPr>
      <w:r>
        <w:rPr>
          <w:spacing w:val="-5"/>
        </w:rPr>
        <w:t>因提供的个人信息</w:t>
      </w:r>
      <w:r>
        <w:rPr/>
        <w:t>（</w:t>
      </w:r>
      <w:r>
        <w:rPr>
          <w:spacing w:val="-7"/>
        </w:rPr>
        <w:t>包括但不限于姓名、电子邮件地址、邮寄地址、邮编等</w:t>
      </w:r>
      <w:r>
        <w:rPr>
          <w:spacing w:val="-17"/>
        </w:rPr>
        <w:t>）</w:t>
      </w:r>
      <w:r>
        <w:rPr>
          <w:spacing w:val="-6"/>
        </w:rPr>
        <w:t>不详、错</w:t>
      </w:r>
      <w:r>
        <w:rPr>
          <w:spacing w:val="-4"/>
        </w:rPr>
        <w:t>误、变更或邮局投递差错、通讯故障、延误等原因有可能造成对账单无法按时或准确送达。</w:t>
      </w:r>
      <w:r>
        <w:rPr>
          <w:spacing w:val="-9"/>
        </w:rPr>
        <w:t>因上述原因无法正常收取对账单的，请及时到原基金销售网点或本公司网站办理联系方式变</w:t>
      </w:r>
      <w:r>
        <w:rPr>
          <w:spacing w:val="-5"/>
          <w:w w:val="100"/>
        </w:rPr>
        <w:t>更手续。详询</w:t>
      </w:r>
      <w:r>
        <w:rPr>
          <w:spacing w:val="-5"/>
        </w:rPr>
        <w:t> </w:t>
      </w:r>
      <w:r>
        <w:rPr>
          <w:rFonts w:ascii="Times New Roman" w:hAnsi="Times New Roman" w:eastAsia="Times New Roman"/>
          <w:spacing w:val="-3"/>
          <w:w w:val="100"/>
        </w:rPr>
        <w:t>4</w:t>
      </w:r>
      <w:r>
        <w:rPr>
          <w:rFonts w:ascii="Times New Roman" w:hAnsi="Times New Roman" w:eastAsia="Times New Roman"/>
          <w:w w:val="100"/>
        </w:rPr>
        <w:t>0</w:t>
      </w:r>
      <w:r>
        <w:rPr>
          <w:rFonts w:ascii="Times New Roman" w:hAnsi="Times New Roman" w:eastAsia="Times New Roman"/>
          <w:spacing w:val="-1"/>
          <w:w w:val="100"/>
        </w:rPr>
        <w:t>0</w:t>
      </w:r>
      <w:r>
        <w:rPr>
          <w:rFonts w:ascii="Times New Roman" w:hAnsi="Times New Roman" w:eastAsia="Times New Roman"/>
          <w:spacing w:val="-4"/>
          <w:w w:val="100"/>
        </w:rPr>
        <w:t>-</w:t>
      </w:r>
      <w:r>
        <w:rPr>
          <w:rFonts w:ascii="Times New Roman" w:hAnsi="Times New Roman" w:eastAsia="Times New Roman"/>
          <w:w w:val="100"/>
        </w:rPr>
        <w:t>8888</w:t>
      </w:r>
      <w:r>
        <w:rPr>
          <w:rFonts w:ascii="Times New Roman" w:hAnsi="Times New Roman" w:eastAsia="Times New Roman"/>
          <w:spacing w:val="-4"/>
          <w:w w:val="100"/>
        </w:rPr>
        <w:t>-</w:t>
      </w:r>
      <w:r>
        <w:rPr>
          <w:rFonts w:ascii="Times New Roman" w:hAnsi="Times New Roman" w:eastAsia="Times New Roman"/>
          <w:w w:val="100"/>
        </w:rPr>
        <w:t>606</w:t>
      </w:r>
      <w:r>
        <w:rPr>
          <w:spacing w:val="-3"/>
          <w:w w:val="100"/>
        </w:rPr>
        <w:t>，或通过本公司网站</w:t>
      </w:r>
      <w:r>
        <w:rPr>
          <w:w w:val="100"/>
        </w:rPr>
        <w:t>（</w:t>
      </w:r>
      <w:hyperlink r:id="rId7">
        <w:r>
          <w:rPr>
            <w:rFonts w:ascii="Times New Roman" w:hAnsi="Times New Roman" w:eastAsia="Times New Roman"/>
            <w:spacing w:val="-4"/>
            <w:w w:val="100"/>
          </w:rPr>
          <w:t>w</w:t>
        </w:r>
        <w:r>
          <w:rPr>
            <w:rFonts w:ascii="Times New Roman" w:hAnsi="Times New Roman" w:eastAsia="Times New Roman"/>
            <w:spacing w:val="-2"/>
            <w:w w:val="100"/>
          </w:rPr>
          <w:t>w</w:t>
        </w:r>
        <w:r>
          <w:rPr>
            <w:rFonts w:ascii="Times New Roman" w:hAnsi="Times New Roman" w:eastAsia="Times New Roman"/>
            <w:spacing w:val="-16"/>
            <w:w w:val="100"/>
          </w:rPr>
          <w:t>w</w:t>
        </w:r>
        <w:r>
          <w:rPr>
            <w:rFonts w:ascii="Times New Roman" w:hAnsi="Times New Roman" w:eastAsia="Times New Roman"/>
            <w:w w:val="100"/>
          </w:rPr>
          <w:t>.</w:t>
        </w:r>
        <w:r>
          <w:rPr>
            <w:rFonts w:ascii="Times New Roman" w:hAnsi="Times New Roman" w:eastAsia="Times New Roman"/>
            <w:spacing w:val="-2"/>
            <w:w w:val="100"/>
          </w:rPr>
          <w:t>i</w:t>
        </w:r>
        <w:r>
          <w:rPr>
            <w:rFonts w:ascii="Times New Roman" w:hAnsi="Times New Roman" w:eastAsia="Times New Roman"/>
            <w:w w:val="100"/>
          </w:rPr>
          <w:t>g</w:t>
        </w:r>
        <w:r>
          <w:rPr>
            <w:rFonts w:ascii="Times New Roman" w:hAnsi="Times New Roman" w:eastAsia="Times New Roman"/>
            <w:spacing w:val="-2"/>
            <w:w w:val="100"/>
          </w:rPr>
          <w:t>w</w:t>
        </w:r>
        <w:r>
          <w:rPr>
            <w:rFonts w:ascii="Times New Roman" w:hAnsi="Times New Roman" w:eastAsia="Times New Roman"/>
            <w:spacing w:val="1"/>
            <w:w w:val="100"/>
          </w:rPr>
          <w:t>f</w:t>
        </w:r>
        <w:r>
          <w:rPr>
            <w:rFonts w:ascii="Times New Roman" w:hAnsi="Times New Roman" w:eastAsia="Times New Roman"/>
            <w:spacing w:val="-4"/>
            <w:w w:val="100"/>
          </w:rPr>
          <w:t>m</w:t>
        </w:r>
        <w:r>
          <w:rPr>
            <w:rFonts w:ascii="Times New Roman" w:hAnsi="Times New Roman" w:eastAsia="Times New Roman"/>
            <w:w w:val="100"/>
          </w:rPr>
          <w:t>c.co</w:t>
        </w:r>
        <w:r>
          <w:rPr>
            <w:rFonts w:ascii="Times New Roman" w:hAnsi="Times New Roman" w:eastAsia="Times New Roman"/>
            <w:spacing w:val="-4"/>
            <w:w w:val="100"/>
          </w:rPr>
          <w:t>m</w:t>
        </w:r>
      </w:hyperlink>
      <w:r>
        <w:rPr>
          <w:spacing w:val="-106"/>
          <w:w w:val="100"/>
        </w:rPr>
        <w:t>）</w:t>
      </w:r>
      <w:r>
        <w:rPr>
          <w:spacing w:val="-2"/>
          <w:w w:val="100"/>
        </w:rPr>
        <w:t>“在线客服”咨询。</w:t>
      </w:r>
    </w:p>
    <w:p>
      <w:pPr>
        <w:pStyle w:val="BodyText"/>
        <w:rPr>
          <w:sz w:val="22"/>
        </w:rPr>
      </w:pPr>
    </w:p>
    <w:p>
      <w:pPr>
        <w:pStyle w:val="BodyText"/>
        <w:spacing w:before="185"/>
        <w:ind w:left="840"/>
      </w:pPr>
      <w:r>
        <w:rPr/>
        <w:t>（二）红利再投资服务</w:t>
      </w:r>
    </w:p>
    <w:p>
      <w:pPr>
        <w:pStyle w:val="BodyText"/>
        <w:spacing w:before="7"/>
        <w:rPr>
          <w:sz w:val="15"/>
        </w:rPr>
      </w:pPr>
    </w:p>
    <w:p>
      <w:pPr>
        <w:pStyle w:val="BodyText"/>
        <w:spacing w:line="417" w:lineRule="auto"/>
        <w:ind w:left="840" w:right="891" w:firstLine="419"/>
      </w:pPr>
      <w:r>
        <w:rPr>
          <w:spacing w:val="-7"/>
        </w:rPr>
        <w:t>若基金份额持有人选择将基金收益以基金份额形式进行分配，该持有人当期分配所得的</w:t>
      </w:r>
      <w:r>
        <w:rPr>
          <w:spacing w:val="-9"/>
        </w:rPr>
        <w:t>红利将按照除息日的基金份额净值自动转为本基金份额，并免收申购费用。投资者红利再投</w:t>
      </w:r>
    </w:p>
    <w:p>
      <w:pPr>
        <w:spacing w:after="0" w:line="417" w:lineRule="auto"/>
        <w:sectPr>
          <w:footerReference w:type="default" r:id="rId177"/>
          <w:pgSz w:w="11910" w:h="16840"/>
          <w:pgMar w:footer="995" w:header="877" w:top="1100" w:bottom="1180" w:left="960" w:right="900"/>
          <w:pgNumType w:start="161"/>
        </w:sectPr>
      </w:pPr>
    </w:p>
    <w:p>
      <w:pPr>
        <w:pStyle w:val="BodyText"/>
        <w:spacing w:before="4"/>
        <w:rPr>
          <w:sz w:val="27"/>
        </w:rPr>
      </w:pPr>
    </w:p>
    <w:p>
      <w:pPr>
        <w:pStyle w:val="BodyText"/>
        <w:spacing w:before="71"/>
        <w:ind w:left="840"/>
      </w:pPr>
      <w:r>
        <w:rPr/>
        <w:t>所得基金份额自基金除权日的下一工作日起计入投资者基金账户，持有时间自该日起计算。</w:t>
      </w:r>
    </w:p>
    <w:p>
      <w:pPr>
        <w:pStyle w:val="BodyText"/>
        <w:rPr>
          <w:sz w:val="20"/>
        </w:rPr>
      </w:pPr>
    </w:p>
    <w:p>
      <w:pPr>
        <w:pStyle w:val="BodyText"/>
        <w:rPr>
          <w:sz w:val="20"/>
        </w:rPr>
      </w:pPr>
    </w:p>
    <w:p>
      <w:pPr>
        <w:pStyle w:val="BodyText"/>
        <w:spacing w:before="155"/>
        <w:ind w:left="840"/>
      </w:pPr>
      <w:r>
        <w:rPr/>
        <w:t>（三）定期定额投资计划</w:t>
      </w:r>
    </w:p>
    <w:p>
      <w:pPr>
        <w:pStyle w:val="BodyText"/>
        <w:spacing w:before="6"/>
        <w:rPr>
          <w:sz w:val="15"/>
        </w:rPr>
      </w:pPr>
    </w:p>
    <w:p>
      <w:pPr>
        <w:pStyle w:val="BodyText"/>
        <w:spacing w:line="417" w:lineRule="auto" w:before="1"/>
        <w:ind w:left="840" w:right="891" w:firstLine="419"/>
      </w:pPr>
      <w:r>
        <w:rPr>
          <w:spacing w:val="-8"/>
        </w:rPr>
        <w:t>基金管理人为投资者提供定期定额投资的服务。通过定期定额投资计划，投资者可以通</w:t>
      </w:r>
      <w:r>
        <w:rPr>
          <w:spacing w:val="-5"/>
        </w:rPr>
        <w:t>过固定的渠道，定期定额申购基金份额。</w:t>
      </w:r>
    </w:p>
    <w:p>
      <w:pPr>
        <w:pStyle w:val="BodyText"/>
        <w:spacing w:line="269" w:lineRule="exact"/>
        <w:ind w:left="1260"/>
      </w:pPr>
      <w:r>
        <w:rPr/>
        <w:t>定期定额投资计划的有关规则另行公告。</w:t>
      </w:r>
    </w:p>
    <w:p>
      <w:pPr>
        <w:pStyle w:val="BodyText"/>
        <w:rPr>
          <w:sz w:val="20"/>
        </w:rPr>
      </w:pPr>
    </w:p>
    <w:p>
      <w:pPr>
        <w:pStyle w:val="BodyText"/>
        <w:rPr>
          <w:sz w:val="20"/>
        </w:rPr>
      </w:pPr>
    </w:p>
    <w:p>
      <w:pPr>
        <w:pStyle w:val="BodyText"/>
        <w:spacing w:before="155"/>
        <w:ind w:left="840"/>
      </w:pPr>
      <w:r>
        <w:rPr/>
        <w:t>（四）基金转换</w:t>
      </w:r>
    </w:p>
    <w:p>
      <w:pPr>
        <w:pStyle w:val="BodyText"/>
        <w:spacing w:before="6"/>
        <w:rPr>
          <w:sz w:val="15"/>
        </w:rPr>
      </w:pPr>
    </w:p>
    <w:p>
      <w:pPr>
        <w:pStyle w:val="BodyText"/>
        <w:spacing w:line="417" w:lineRule="auto"/>
        <w:ind w:left="840" w:right="891" w:firstLine="419"/>
        <w:jc w:val="both"/>
      </w:pPr>
      <w:r>
        <w:rPr>
          <w:spacing w:val="-10"/>
        </w:rPr>
        <w:t>投资者可在同时销售转出基金、转入基金并开办基金转换业务的销售机构办理基金转换</w:t>
      </w:r>
      <w:r>
        <w:rPr>
          <w:spacing w:val="-12"/>
        </w:rPr>
        <w:t>业务。基金转换需遵守基金管理人关于基金转换的业务规则，具体业务规则详见本公司发布</w:t>
      </w:r>
      <w:r>
        <w:rPr>
          <w:spacing w:val="-6"/>
        </w:rPr>
        <w:t>在指定信息披露媒介及本公司网站上的公告。</w:t>
      </w:r>
    </w:p>
    <w:p>
      <w:pPr>
        <w:pStyle w:val="BodyText"/>
        <w:rPr>
          <w:sz w:val="20"/>
        </w:rPr>
      </w:pPr>
    </w:p>
    <w:p>
      <w:pPr>
        <w:pStyle w:val="BodyText"/>
        <w:spacing w:before="6"/>
        <w:rPr>
          <w:sz w:val="16"/>
        </w:rPr>
      </w:pPr>
    </w:p>
    <w:p>
      <w:pPr>
        <w:pStyle w:val="BodyText"/>
        <w:spacing w:before="1"/>
        <w:ind w:left="840"/>
      </w:pPr>
      <w:r>
        <w:rPr/>
        <w:t>（五）网络在线服务</w:t>
      </w:r>
    </w:p>
    <w:p>
      <w:pPr>
        <w:pStyle w:val="BodyText"/>
        <w:spacing w:before="6"/>
        <w:rPr>
          <w:sz w:val="15"/>
        </w:rPr>
      </w:pPr>
    </w:p>
    <w:p>
      <w:pPr>
        <w:pStyle w:val="BodyText"/>
        <w:spacing w:line="417" w:lineRule="auto"/>
        <w:ind w:left="840" w:right="785" w:firstLine="419"/>
      </w:pPr>
      <w:r>
        <w:rPr>
          <w:spacing w:val="-13"/>
          <w:w w:val="100"/>
        </w:rPr>
        <w:t>基金管理人利用其网站</w:t>
      </w:r>
      <w:r>
        <w:rPr>
          <w:spacing w:val="-1"/>
          <w:w w:val="100"/>
        </w:rPr>
        <w:t>（</w:t>
      </w:r>
      <w:hyperlink r:id="rId7">
        <w:r>
          <w:rPr>
            <w:w w:val="100"/>
          </w:rPr>
          <w:t>w</w:t>
        </w:r>
        <w:r>
          <w:rPr>
            <w:spacing w:val="-3"/>
            <w:w w:val="100"/>
          </w:rPr>
          <w:t>w</w:t>
        </w:r>
        <w:r>
          <w:rPr>
            <w:w w:val="100"/>
          </w:rPr>
          <w:t>w.igw</w:t>
        </w:r>
        <w:r>
          <w:rPr>
            <w:spacing w:val="-3"/>
            <w:w w:val="100"/>
          </w:rPr>
          <w:t>f</w:t>
        </w:r>
        <w:r>
          <w:rPr>
            <w:w w:val="100"/>
          </w:rPr>
          <w:t>mc.</w:t>
        </w:r>
        <w:r>
          <w:rPr>
            <w:spacing w:val="-3"/>
            <w:w w:val="100"/>
          </w:rPr>
          <w:t>c</w:t>
        </w:r>
        <w:r>
          <w:rPr>
            <w:w w:val="100"/>
          </w:rPr>
          <w:t>o</w:t>
        </w:r>
        <w:r>
          <w:rPr>
            <w:spacing w:val="-3"/>
            <w:w w:val="100"/>
          </w:rPr>
          <w:t>m</w:t>
        </w:r>
      </w:hyperlink>
      <w:r>
        <w:rPr>
          <w:spacing w:val="-99"/>
          <w:w w:val="100"/>
        </w:rPr>
        <w:t>）</w:t>
      </w:r>
      <w:r>
        <w:rPr>
          <w:spacing w:val="-3"/>
          <w:w w:val="100"/>
        </w:rPr>
        <w:t>定期或不定期为投资者提供基金管理人信息、</w:t>
      </w:r>
      <w:r>
        <w:rPr>
          <w:spacing w:val="-11"/>
        </w:rPr>
        <w:t>基金产品信息、账户查询、投资策略分析报告、热点问答等服务。投资者可以登陆该网站修</w:t>
      </w:r>
      <w:r>
        <w:rPr>
          <w:spacing w:val="-6"/>
        </w:rPr>
        <w:t>改基金查询密码。</w:t>
      </w:r>
    </w:p>
    <w:p>
      <w:pPr>
        <w:pStyle w:val="BodyText"/>
        <w:ind w:left="1260"/>
      </w:pPr>
      <w:r>
        <w:rPr/>
        <w:t>对于直销个人客户，基金管理人同时提供网上交易服务。</w:t>
      </w:r>
    </w:p>
    <w:p>
      <w:pPr>
        <w:pStyle w:val="BodyText"/>
        <w:rPr>
          <w:sz w:val="20"/>
        </w:rPr>
      </w:pPr>
    </w:p>
    <w:p>
      <w:pPr>
        <w:pStyle w:val="BodyText"/>
        <w:rPr>
          <w:sz w:val="20"/>
        </w:rPr>
      </w:pPr>
    </w:p>
    <w:p>
      <w:pPr>
        <w:pStyle w:val="BodyText"/>
        <w:spacing w:before="155"/>
        <w:ind w:left="840"/>
      </w:pPr>
      <w:r>
        <w:rPr/>
        <w:t>（六）客户服务中心（</w:t>
      </w:r>
      <w:r>
        <w:rPr>
          <w:rFonts w:ascii="Times New Roman" w:eastAsia="Times New Roman"/>
        </w:rPr>
        <w:t>Call Center</w:t>
      </w:r>
      <w:r>
        <w:rPr/>
        <w:t>）电话服务</w:t>
      </w:r>
    </w:p>
    <w:p>
      <w:pPr>
        <w:pStyle w:val="BodyText"/>
        <w:spacing w:before="6"/>
        <w:rPr>
          <w:sz w:val="15"/>
        </w:rPr>
      </w:pPr>
    </w:p>
    <w:p>
      <w:pPr>
        <w:pStyle w:val="BodyText"/>
        <w:spacing w:line="417" w:lineRule="auto"/>
        <w:ind w:left="840" w:right="895" w:firstLine="419"/>
      </w:pPr>
      <w:r>
        <w:rPr>
          <w:spacing w:val="-9"/>
        </w:rPr>
        <w:t>投资者想要了解交易情况、基金账户余额、基金产品与服务信息或进行投诉等，可拨打</w:t>
      </w:r>
      <w:r>
        <w:rPr>
          <w:spacing w:val="-5"/>
        </w:rPr>
        <w:t>基金管理人客户服务电话</w:t>
      </w:r>
      <w:r>
        <w:rPr/>
        <w:t>：400 8888 606（</w:t>
      </w:r>
      <w:r>
        <w:rPr>
          <w:spacing w:val="-3"/>
        </w:rPr>
        <w:t>免长途费</w:t>
      </w:r>
      <w:r>
        <w:rPr>
          <w:spacing w:val="-106"/>
        </w:rPr>
        <w:t>）。</w:t>
      </w:r>
    </w:p>
    <w:p>
      <w:pPr>
        <w:pStyle w:val="BodyText"/>
        <w:spacing w:line="417" w:lineRule="auto" w:before="1"/>
        <w:ind w:left="840" w:right="891" w:firstLine="419"/>
      </w:pPr>
      <w:r>
        <w:rPr>
          <w:spacing w:val="-8"/>
        </w:rPr>
        <w:t>客户服务中心的人工坐席服务时间为每周一至周五</w:t>
      </w:r>
      <w:r>
        <w:rPr>
          <w:spacing w:val="-3"/>
        </w:rPr>
        <w:t>（法定节假日及因此导致的证券交易所休市日除外</w:t>
      </w:r>
      <w:r>
        <w:rPr/>
        <w:t>）9：00—17：00。</w:t>
      </w:r>
    </w:p>
    <w:p>
      <w:pPr>
        <w:pStyle w:val="BodyText"/>
        <w:rPr>
          <w:sz w:val="20"/>
        </w:rPr>
      </w:pPr>
    </w:p>
    <w:p>
      <w:pPr>
        <w:pStyle w:val="BodyText"/>
        <w:spacing w:before="6"/>
        <w:rPr>
          <w:sz w:val="16"/>
        </w:rPr>
      </w:pPr>
    </w:p>
    <w:p>
      <w:pPr>
        <w:pStyle w:val="BodyText"/>
        <w:ind w:left="840"/>
      </w:pPr>
      <w:r>
        <w:rPr/>
        <w:t>（七）客户投诉受理服务</w:t>
      </w:r>
    </w:p>
    <w:p>
      <w:pPr>
        <w:pStyle w:val="BodyText"/>
        <w:spacing w:before="7"/>
        <w:rPr>
          <w:sz w:val="15"/>
        </w:rPr>
      </w:pPr>
    </w:p>
    <w:p>
      <w:pPr>
        <w:pStyle w:val="BodyText"/>
        <w:spacing w:line="417" w:lineRule="auto"/>
        <w:ind w:left="840" w:right="797" w:firstLine="419"/>
      </w:pPr>
      <w:r>
        <w:rPr>
          <w:spacing w:val="-3"/>
        </w:rPr>
        <w:t>投资者可以通过各销售机构网点柜台、基金管理人网站留言栏目、自动语音留言栏目、</w:t>
      </w:r>
      <w:r>
        <w:rPr>
          <w:spacing w:val="-12"/>
        </w:rPr>
        <w:t>客户服务中心人工热线、书信、电子邮件等六种不同的渠道对基金管理人和销售网点所提供</w:t>
      </w:r>
      <w:r>
        <w:rPr>
          <w:spacing w:val="-6"/>
        </w:rPr>
        <w:t>的服务以及基金管理人的政策规定进行投诉。</w:t>
      </w:r>
    </w:p>
    <w:p>
      <w:pPr>
        <w:pStyle w:val="BodyText"/>
        <w:spacing w:line="417" w:lineRule="auto"/>
        <w:ind w:left="840" w:right="891" w:firstLine="419"/>
      </w:pPr>
      <w:r>
        <w:rPr>
          <w:spacing w:val="-8"/>
        </w:rPr>
        <w:t>基金管理人承诺在工作日收到的投诉，将在下一个工作日内作出回应，在非工作日收到</w:t>
      </w:r>
      <w:r>
        <w:rPr>
          <w:spacing w:val="-11"/>
        </w:rPr>
        <w:t>的投诉，将顺延至下一个工作日当日或者次日回复。对于不能及时解决的投诉，基金管理人</w:t>
      </w:r>
    </w:p>
    <w:p>
      <w:pPr>
        <w:spacing w:after="0" w:line="417" w:lineRule="auto"/>
        <w:sectPr>
          <w:pgSz w:w="11910" w:h="16840"/>
          <w:pgMar w:header="877" w:footer="995" w:top="1100" w:bottom="1180" w:left="960" w:right="900"/>
        </w:sectPr>
      </w:pPr>
    </w:p>
    <w:p>
      <w:pPr>
        <w:pStyle w:val="BodyText"/>
        <w:spacing w:before="4"/>
        <w:rPr>
          <w:sz w:val="27"/>
        </w:rPr>
      </w:pPr>
    </w:p>
    <w:p>
      <w:pPr>
        <w:pStyle w:val="BodyText"/>
        <w:spacing w:before="71"/>
        <w:ind w:left="840"/>
      </w:pPr>
      <w:r>
        <w:rPr/>
        <w:t>就投诉处理进度向投诉人作出定期更新。</w:t>
      </w:r>
    </w:p>
    <w:p>
      <w:pPr>
        <w:pStyle w:val="BodyText"/>
        <w:rPr>
          <w:sz w:val="20"/>
        </w:rPr>
      </w:pPr>
    </w:p>
    <w:p>
      <w:pPr>
        <w:pStyle w:val="BodyText"/>
        <w:rPr>
          <w:sz w:val="20"/>
        </w:rPr>
      </w:pPr>
    </w:p>
    <w:p>
      <w:pPr>
        <w:pStyle w:val="BodyText"/>
        <w:spacing w:line="417" w:lineRule="auto" w:before="155"/>
        <w:ind w:left="840" w:right="893" w:firstLine="419"/>
      </w:pPr>
      <w:r>
        <w:rPr/>
        <w:t>（八）如本招募说明书存在任何您/贵机构无法理解的内容，请通过上述方式联系本基金管理人。请确保投资前，您/贵机构已经全面理解了本招募说明书。</w:t>
      </w:r>
    </w:p>
    <w:p>
      <w:pPr>
        <w:spacing w:after="0" w:line="417" w:lineRule="auto"/>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pPr>
      <w:bookmarkStart w:name="_TOC_250002" w:id="22"/>
      <w:bookmarkEnd w:id="22"/>
      <w:r>
        <w:rPr/>
        <w:t>二十二、其他应披露事项</w:t>
      </w:r>
    </w:p>
    <w:p>
      <w:pPr>
        <w:pStyle w:val="BodyText"/>
        <w:spacing w:before="12"/>
        <w:rPr>
          <w:rFonts w:ascii="黑体"/>
          <w:b/>
          <w:sz w:val="41"/>
        </w:rPr>
      </w:pPr>
    </w:p>
    <w:p>
      <w:pPr>
        <w:pStyle w:val="BodyText"/>
        <w:spacing w:line="417" w:lineRule="auto"/>
        <w:ind w:left="840" w:right="891" w:firstLine="419"/>
      </w:pPr>
      <w:r>
        <w:rPr>
          <w:rFonts w:ascii="Times New Roman" w:eastAsia="Times New Roman"/>
        </w:rPr>
        <w:t>2020 </w:t>
      </w:r>
      <w:r>
        <w:rPr>
          <w:spacing w:val="-22"/>
        </w:rPr>
        <w:t>年 </w:t>
      </w:r>
      <w:r>
        <w:rPr>
          <w:rFonts w:ascii="Times New Roman" w:eastAsia="Times New Roman"/>
        </w:rPr>
        <w:t>3 </w:t>
      </w:r>
      <w:r>
        <w:rPr>
          <w:spacing w:val="-23"/>
        </w:rPr>
        <w:t>月 </w:t>
      </w:r>
      <w:r>
        <w:rPr>
          <w:rFonts w:ascii="Times New Roman" w:eastAsia="Times New Roman"/>
        </w:rPr>
        <w:t>31 </w:t>
      </w:r>
      <w:r>
        <w:rPr>
          <w:spacing w:val="-8"/>
        </w:rPr>
        <w:t>日发布《景顺长城基金管理有限公司关于旗下部分基金参加中国人寿保</w:t>
      </w:r>
      <w:r>
        <w:rPr>
          <w:spacing w:val="-5"/>
        </w:rPr>
        <w:t>险股份有限公司申购及定期定额投资申购费率优惠活动的公告》</w:t>
      </w:r>
    </w:p>
    <w:p>
      <w:pPr>
        <w:pStyle w:val="BodyText"/>
        <w:spacing w:line="417" w:lineRule="auto"/>
        <w:ind w:left="840" w:right="811" w:firstLine="419"/>
      </w:pPr>
      <w:r>
        <w:rPr>
          <w:rFonts w:ascii="Times New Roman" w:eastAsia="Times New Roman"/>
        </w:rPr>
        <w:t>2020 </w:t>
      </w:r>
      <w:r>
        <w:rPr/>
        <w:t>年 </w:t>
      </w:r>
      <w:r>
        <w:rPr>
          <w:rFonts w:ascii="Times New Roman" w:eastAsia="Times New Roman"/>
        </w:rPr>
        <w:t>3 </w:t>
      </w:r>
      <w:r>
        <w:rPr/>
        <w:t>月 </w:t>
      </w:r>
      <w:r>
        <w:rPr>
          <w:rFonts w:ascii="Times New Roman" w:eastAsia="Times New Roman"/>
        </w:rPr>
        <w:t>30 </w:t>
      </w:r>
      <w:r>
        <w:rPr/>
        <w:t>日发布《景顺长城基金管理有限公司关于推迟披露旗下基金 </w:t>
      </w:r>
      <w:r>
        <w:rPr>
          <w:rFonts w:ascii="Times New Roman" w:eastAsia="Times New Roman"/>
        </w:rPr>
        <w:t>2019 </w:t>
      </w:r>
      <w:r>
        <w:rPr/>
        <w:t>年年度报告的公告》</w:t>
      </w:r>
    </w:p>
    <w:p>
      <w:pPr>
        <w:pStyle w:val="BodyText"/>
        <w:spacing w:line="417" w:lineRule="auto"/>
        <w:ind w:left="840" w:right="790" w:firstLine="419"/>
      </w:pPr>
      <w:r>
        <w:rPr>
          <w:rFonts w:ascii="Times New Roman" w:hAnsi="Times New Roman" w:eastAsia="Times New Roman"/>
        </w:rPr>
        <w:t>2020 </w:t>
      </w:r>
      <w:r>
        <w:rPr>
          <w:spacing w:val="-28"/>
        </w:rPr>
        <w:t>年 </w:t>
      </w:r>
      <w:r>
        <w:rPr>
          <w:rFonts w:ascii="Times New Roman" w:hAnsi="Times New Roman" w:eastAsia="Times New Roman"/>
        </w:rPr>
        <w:t>3 </w:t>
      </w:r>
      <w:r>
        <w:rPr>
          <w:spacing w:val="-28"/>
        </w:rPr>
        <w:t>月 </w:t>
      </w:r>
      <w:r>
        <w:rPr>
          <w:rFonts w:ascii="Times New Roman" w:hAnsi="Times New Roman" w:eastAsia="Times New Roman"/>
        </w:rPr>
        <w:t>25 </w:t>
      </w:r>
      <w:r>
        <w:rPr>
          <w:spacing w:val="-17"/>
        </w:rPr>
        <w:t>日发布《景顺长城基金管理有限公司关于旗下部分基金新增鼎信汇金</w:t>
      </w:r>
      <w:r>
        <w:rPr/>
        <w:t>（北京</w:t>
      </w:r>
      <w:r>
        <w:rPr>
          <w:spacing w:val="-68"/>
        </w:rPr>
        <w:t>）</w:t>
      </w:r>
      <w:r>
        <w:rPr>
          <w:spacing w:val="-10"/>
        </w:rPr>
        <w:t>投资管理有限公司为销售机构并开通基金“定期定额投资业务”和基金转换业务的公告》</w:t>
      </w:r>
    </w:p>
    <w:p>
      <w:pPr>
        <w:pStyle w:val="BodyText"/>
        <w:spacing w:line="417" w:lineRule="auto"/>
        <w:ind w:left="840" w:right="891" w:firstLine="419"/>
      </w:pPr>
      <w:r>
        <w:rPr>
          <w:rFonts w:ascii="Times New Roman" w:eastAsia="Times New Roman"/>
        </w:rPr>
        <w:t>2020 </w:t>
      </w:r>
      <w:r>
        <w:rPr>
          <w:spacing w:val="-27"/>
        </w:rPr>
        <w:t>年 </w:t>
      </w:r>
      <w:r>
        <w:rPr>
          <w:rFonts w:ascii="Times New Roman" w:eastAsia="Times New Roman"/>
        </w:rPr>
        <w:t>3 </w:t>
      </w:r>
      <w:r>
        <w:rPr>
          <w:spacing w:val="-27"/>
        </w:rPr>
        <w:t>月 </w:t>
      </w:r>
      <w:r>
        <w:rPr>
          <w:rFonts w:ascii="Times New Roman" w:eastAsia="Times New Roman"/>
        </w:rPr>
        <w:t>25 </w:t>
      </w:r>
      <w:r>
        <w:rPr>
          <w:spacing w:val="-17"/>
        </w:rPr>
        <w:t>日发布《景顺长城基金管理有限公司关于旗下部分基金参加鼎信汇金</w:t>
      </w:r>
      <w:r>
        <w:rPr/>
        <w:t>（北京）</w:t>
      </w:r>
      <w:r>
        <w:rPr>
          <w:spacing w:val="-3"/>
        </w:rPr>
        <w:t>投资管理有限公司基金转换费率优惠活动的公告》</w:t>
      </w:r>
    </w:p>
    <w:p>
      <w:pPr>
        <w:pStyle w:val="BodyText"/>
        <w:spacing w:line="417" w:lineRule="auto"/>
        <w:ind w:left="840" w:right="891" w:firstLine="419"/>
      </w:pPr>
      <w:r>
        <w:rPr>
          <w:rFonts w:ascii="Times New Roman" w:eastAsia="Times New Roman"/>
        </w:rPr>
        <w:t>2020 </w:t>
      </w:r>
      <w:r>
        <w:rPr>
          <w:spacing w:val="-27"/>
        </w:rPr>
        <w:t>年 </w:t>
      </w:r>
      <w:r>
        <w:rPr>
          <w:rFonts w:ascii="Times New Roman" w:eastAsia="Times New Roman"/>
        </w:rPr>
        <w:t>3 </w:t>
      </w:r>
      <w:r>
        <w:rPr>
          <w:spacing w:val="-27"/>
        </w:rPr>
        <w:t>月 </w:t>
      </w:r>
      <w:r>
        <w:rPr>
          <w:rFonts w:ascii="Times New Roman" w:eastAsia="Times New Roman"/>
        </w:rPr>
        <w:t>25 </w:t>
      </w:r>
      <w:r>
        <w:rPr>
          <w:spacing w:val="-17"/>
        </w:rPr>
        <w:t>日发布《景顺长城基金管理有限公司关于旗下部分基金参加鼎信汇金</w:t>
      </w:r>
      <w:r>
        <w:rPr/>
        <w:t>（北京）</w:t>
      </w:r>
      <w:r>
        <w:rPr>
          <w:spacing w:val="-3"/>
        </w:rPr>
        <w:t>投资管理有限公司基金申购及定期定额投资申购费率优惠活动的公告》</w:t>
      </w:r>
    </w:p>
    <w:p>
      <w:pPr>
        <w:pStyle w:val="BodyText"/>
        <w:spacing w:line="417" w:lineRule="auto"/>
        <w:ind w:left="840" w:right="891" w:firstLine="419"/>
      </w:pPr>
      <w:r>
        <w:rPr>
          <w:rFonts w:ascii="Times New Roman" w:eastAsia="Times New Roman"/>
        </w:rPr>
        <w:t>2020</w:t>
      </w:r>
      <w:r>
        <w:rPr>
          <w:rFonts w:ascii="Times New Roman" w:eastAsia="Times New Roman"/>
          <w:spacing w:val="20"/>
        </w:rPr>
        <w:t> </w:t>
      </w:r>
      <w:r>
        <w:rPr>
          <w:spacing w:val="-17"/>
        </w:rPr>
        <w:t>年 </w:t>
      </w:r>
      <w:r>
        <w:rPr>
          <w:rFonts w:ascii="Times New Roman" w:eastAsia="Times New Roman"/>
        </w:rPr>
        <w:t>3</w:t>
      </w:r>
      <w:r>
        <w:rPr>
          <w:rFonts w:ascii="Times New Roman" w:eastAsia="Times New Roman"/>
          <w:spacing w:val="17"/>
        </w:rPr>
        <w:t> </w:t>
      </w:r>
      <w:r>
        <w:rPr>
          <w:spacing w:val="-17"/>
        </w:rPr>
        <w:t>月 </w:t>
      </w:r>
      <w:r>
        <w:rPr>
          <w:rFonts w:ascii="Times New Roman" w:eastAsia="Times New Roman"/>
        </w:rPr>
        <w:t>2</w:t>
      </w:r>
      <w:r>
        <w:rPr>
          <w:rFonts w:ascii="Times New Roman" w:eastAsia="Times New Roman"/>
          <w:spacing w:val="20"/>
        </w:rPr>
        <w:t> </w:t>
      </w:r>
      <w:r>
        <w:rPr>
          <w:spacing w:val="-3"/>
        </w:rPr>
        <w:t>日发布《景顺长城基金管理有限公司关于旗下部分基金在中金财富开通基金转换业务的公告》</w:t>
      </w:r>
    </w:p>
    <w:p>
      <w:pPr>
        <w:pStyle w:val="BodyText"/>
        <w:spacing w:line="417" w:lineRule="auto"/>
        <w:ind w:left="840" w:right="891" w:firstLine="419"/>
      </w:pPr>
      <w:r>
        <w:rPr>
          <w:rFonts w:ascii="Times New Roman" w:eastAsia="Times New Roman"/>
        </w:rPr>
        <w:t>2020</w:t>
      </w:r>
      <w:r>
        <w:rPr>
          <w:rFonts w:ascii="Times New Roman" w:eastAsia="Times New Roman"/>
          <w:spacing w:val="20"/>
        </w:rPr>
        <w:t> </w:t>
      </w:r>
      <w:r>
        <w:rPr>
          <w:spacing w:val="-17"/>
        </w:rPr>
        <w:t>年 </w:t>
      </w:r>
      <w:r>
        <w:rPr>
          <w:rFonts w:ascii="Times New Roman" w:eastAsia="Times New Roman"/>
        </w:rPr>
        <w:t>2</w:t>
      </w:r>
      <w:r>
        <w:rPr>
          <w:rFonts w:ascii="Times New Roman" w:eastAsia="Times New Roman"/>
          <w:spacing w:val="17"/>
        </w:rPr>
        <w:t> </w:t>
      </w:r>
      <w:r>
        <w:rPr>
          <w:spacing w:val="-17"/>
        </w:rPr>
        <w:t>月 </w:t>
      </w:r>
      <w:r>
        <w:rPr>
          <w:rFonts w:ascii="Times New Roman" w:eastAsia="Times New Roman"/>
        </w:rPr>
        <w:t>3</w:t>
      </w:r>
      <w:r>
        <w:rPr>
          <w:rFonts w:ascii="Times New Roman" w:eastAsia="Times New Roman"/>
          <w:spacing w:val="20"/>
        </w:rPr>
        <w:t> </w:t>
      </w:r>
      <w:r>
        <w:rPr>
          <w:spacing w:val="-3"/>
        </w:rPr>
        <w:t>日发布《景顺长城基金管理有限公司关于调整旗下基金申购、赎回等业务安排的提示性公告》</w:t>
      </w:r>
    </w:p>
    <w:p>
      <w:pPr>
        <w:pStyle w:val="BodyText"/>
        <w:spacing w:line="417" w:lineRule="auto"/>
        <w:ind w:left="840" w:right="891" w:firstLine="419"/>
      </w:pPr>
      <w:r>
        <w:rPr>
          <w:rFonts w:ascii="Times New Roman" w:eastAsia="Times New Roman"/>
        </w:rPr>
        <w:t>2020</w:t>
      </w:r>
      <w:r>
        <w:rPr>
          <w:rFonts w:ascii="Times New Roman" w:eastAsia="Times New Roman"/>
          <w:spacing w:val="4"/>
        </w:rPr>
        <w:t> </w:t>
      </w:r>
      <w:r>
        <w:rPr>
          <w:spacing w:val="-22"/>
        </w:rPr>
        <w:t>年 </w:t>
      </w:r>
      <w:r>
        <w:rPr>
          <w:rFonts w:ascii="Times New Roman" w:eastAsia="Times New Roman"/>
        </w:rPr>
        <w:t>1</w:t>
      </w:r>
      <w:r>
        <w:rPr>
          <w:rFonts w:ascii="Times New Roman" w:eastAsia="Times New Roman"/>
          <w:spacing w:val="5"/>
        </w:rPr>
        <w:t> </w:t>
      </w:r>
      <w:r>
        <w:rPr>
          <w:spacing w:val="-23"/>
        </w:rPr>
        <w:t>月 </w:t>
      </w:r>
      <w:r>
        <w:rPr>
          <w:rFonts w:ascii="Times New Roman" w:eastAsia="Times New Roman"/>
        </w:rPr>
        <w:t>31</w:t>
      </w:r>
      <w:r>
        <w:rPr>
          <w:rFonts w:ascii="Times New Roman" w:eastAsia="Times New Roman"/>
          <w:spacing w:val="5"/>
        </w:rPr>
        <w:t> </w:t>
      </w:r>
      <w:r>
        <w:rPr>
          <w:spacing w:val="-7"/>
        </w:rPr>
        <w:t>日发布《景顺长城基金管理有限公司关于调整旗下基金申购、赎回等业</w:t>
      </w:r>
      <w:r>
        <w:rPr>
          <w:spacing w:val="-5"/>
        </w:rPr>
        <w:t>务安排的提示性公告》</w:t>
      </w:r>
    </w:p>
    <w:p>
      <w:pPr>
        <w:pStyle w:val="BodyText"/>
        <w:spacing w:line="417" w:lineRule="auto"/>
        <w:ind w:left="840" w:right="891" w:firstLine="419"/>
      </w:pPr>
      <w:r>
        <w:rPr>
          <w:rFonts w:ascii="Times New Roman" w:eastAsia="Times New Roman"/>
        </w:rPr>
        <w:t>2020</w:t>
      </w:r>
      <w:r>
        <w:rPr>
          <w:rFonts w:ascii="Times New Roman" w:eastAsia="Times New Roman"/>
          <w:spacing w:val="4"/>
        </w:rPr>
        <w:t> </w:t>
      </w:r>
      <w:r>
        <w:rPr>
          <w:spacing w:val="-22"/>
        </w:rPr>
        <w:t>年 </w:t>
      </w:r>
      <w:r>
        <w:rPr>
          <w:rFonts w:ascii="Times New Roman" w:eastAsia="Times New Roman"/>
        </w:rPr>
        <w:t>1</w:t>
      </w:r>
      <w:r>
        <w:rPr>
          <w:rFonts w:ascii="Times New Roman" w:eastAsia="Times New Roman"/>
          <w:spacing w:val="5"/>
        </w:rPr>
        <w:t> </w:t>
      </w:r>
      <w:r>
        <w:rPr>
          <w:spacing w:val="-23"/>
        </w:rPr>
        <w:t>月 </w:t>
      </w:r>
      <w:r>
        <w:rPr>
          <w:rFonts w:ascii="Times New Roman" w:eastAsia="Times New Roman"/>
        </w:rPr>
        <w:t>30</w:t>
      </w:r>
      <w:r>
        <w:rPr>
          <w:rFonts w:ascii="Times New Roman" w:eastAsia="Times New Roman"/>
          <w:spacing w:val="5"/>
        </w:rPr>
        <w:t> </w:t>
      </w:r>
      <w:r>
        <w:rPr>
          <w:spacing w:val="-7"/>
        </w:rPr>
        <w:t>日发布《景顺长城基金管理有限公司关于调整旗下基金申购、赎回等业</w:t>
      </w:r>
      <w:r>
        <w:rPr>
          <w:spacing w:val="-5"/>
        </w:rPr>
        <w:t>务安排的提示性公告》</w:t>
      </w:r>
    </w:p>
    <w:p>
      <w:pPr>
        <w:pStyle w:val="BodyText"/>
        <w:spacing w:line="417" w:lineRule="auto"/>
        <w:ind w:left="840" w:right="893" w:firstLine="419"/>
      </w:pPr>
      <w:r>
        <w:rPr>
          <w:rFonts w:ascii="Times New Roman" w:eastAsia="Times New Roman"/>
        </w:rPr>
        <w:t>2020 </w:t>
      </w:r>
      <w:r>
        <w:rPr>
          <w:spacing w:val="-21"/>
        </w:rPr>
        <w:t>年 </w:t>
      </w:r>
      <w:r>
        <w:rPr>
          <w:rFonts w:ascii="Times New Roman" w:eastAsia="Times New Roman"/>
        </w:rPr>
        <w:t>1 </w:t>
      </w:r>
      <w:r>
        <w:rPr>
          <w:spacing w:val="-21"/>
        </w:rPr>
        <w:t>月 </w:t>
      </w:r>
      <w:r>
        <w:rPr>
          <w:rFonts w:ascii="Times New Roman" w:eastAsia="Times New Roman"/>
        </w:rPr>
        <w:t>21 </w:t>
      </w:r>
      <w:r>
        <w:rPr>
          <w:spacing w:val="-5"/>
        </w:rPr>
        <w:t>日发布《景顺长城基金管理有限公司关于旗下基金 </w:t>
      </w:r>
      <w:r>
        <w:rPr>
          <w:rFonts w:ascii="Times New Roman" w:eastAsia="Times New Roman"/>
        </w:rPr>
        <w:t>2019 </w:t>
      </w:r>
      <w:r>
        <w:rPr>
          <w:spacing w:val="-15"/>
        </w:rPr>
        <w:t>年第 </w:t>
      </w:r>
      <w:r>
        <w:rPr>
          <w:rFonts w:ascii="Times New Roman" w:eastAsia="Times New Roman"/>
        </w:rPr>
        <w:t>4 </w:t>
      </w:r>
      <w:r>
        <w:rPr>
          <w:spacing w:val="-2"/>
        </w:rPr>
        <w:t>季度报</w:t>
      </w:r>
      <w:r>
        <w:rPr>
          <w:spacing w:val="-3"/>
        </w:rPr>
        <w:t>告提示性公告》</w:t>
      </w:r>
    </w:p>
    <w:p>
      <w:pPr>
        <w:pStyle w:val="BodyText"/>
        <w:spacing w:line="269" w:lineRule="exact"/>
        <w:ind w:left="1260"/>
      </w:pPr>
      <w:r>
        <w:rPr>
          <w:rFonts w:ascii="Times New Roman" w:eastAsia="Times New Roman"/>
        </w:rPr>
        <w:t>2020 </w:t>
      </w:r>
      <w:r>
        <w:rPr/>
        <w:t>年 </w:t>
      </w:r>
      <w:r>
        <w:rPr>
          <w:rFonts w:ascii="Times New Roman" w:eastAsia="Times New Roman"/>
        </w:rPr>
        <w:t>1 </w:t>
      </w:r>
      <w:r>
        <w:rPr/>
        <w:t>月 </w:t>
      </w:r>
      <w:r>
        <w:rPr>
          <w:rFonts w:ascii="Times New Roman" w:eastAsia="Times New Roman"/>
        </w:rPr>
        <w:t>21 </w:t>
      </w:r>
      <w:r>
        <w:rPr/>
        <w:t>日发布《景顺长城新兴成长混合型证券投资基金 </w:t>
      </w:r>
      <w:r>
        <w:rPr>
          <w:rFonts w:ascii="Times New Roman" w:eastAsia="Times New Roman"/>
        </w:rPr>
        <w:t>2019 </w:t>
      </w:r>
      <w:r>
        <w:rPr/>
        <w:t>年第 </w:t>
      </w:r>
      <w:r>
        <w:rPr>
          <w:rFonts w:ascii="Times New Roman" w:eastAsia="Times New Roman"/>
        </w:rPr>
        <w:t>4 </w:t>
      </w:r>
      <w:r>
        <w:rPr/>
        <w:t>季度报告》</w:t>
      </w:r>
    </w:p>
    <w:p>
      <w:pPr>
        <w:pStyle w:val="BodyText"/>
        <w:spacing w:line="417" w:lineRule="auto" w:before="197"/>
        <w:ind w:left="840" w:right="891" w:firstLine="419"/>
      </w:pPr>
      <w:r>
        <w:rPr>
          <w:rFonts w:ascii="Times New Roman" w:eastAsia="Times New Roman"/>
        </w:rPr>
        <w:t>2020 </w:t>
      </w:r>
      <w:r>
        <w:rPr>
          <w:spacing w:val="-22"/>
        </w:rPr>
        <w:t>年 </w:t>
      </w:r>
      <w:r>
        <w:rPr>
          <w:rFonts w:ascii="Times New Roman" w:eastAsia="Times New Roman"/>
        </w:rPr>
        <w:t>1 </w:t>
      </w:r>
      <w:r>
        <w:rPr>
          <w:spacing w:val="-23"/>
        </w:rPr>
        <w:t>月 </w:t>
      </w:r>
      <w:r>
        <w:rPr>
          <w:rFonts w:ascii="Times New Roman" w:eastAsia="Times New Roman"/>
        </w:rPr>
        <w:t>15 </w:t>
      </w:r>
      <w:r>
        <w:rPr>
          <w:spacing w:val="-8"/>
        </w:rPr>
        <w:t>日发布《关于景顺长城新兴成长混合型证券投资基金恢复接受伍佰万元</w:t>
      </w:r>
      <w:r>
        <w:rPr>
          <w:spacing w:val="-6"/>
        </w:rPr>
        <w:t>以上申购</w:t>
      </w:r>
      <w:r>
        <w:rPr>
          <w:spacing w:val="-3"/>
        </w:rPr>
        <w:t>（含日常申购和定期定额投资）及转换转入业务的公告》</w:t>
      </w:r>
    </w:p>
    <w:p>
      <w:pPr>
        <w:pStyle w:val="BodyText"/>
        <w:spacing w:line="269" w:lineRule="exact"/>
        <w:ind w:left="1260"/>
      </w:pPr>
      <w:r>
        <w:rPr>
          <w:rFonts w:ascii="Times New Roman" w:eastAsia="Times New Roman"/>
        </w:rPr>
        <w:t>2020 </w:t>
      </w:r>
      <w:r>
        <w:rPr/>
        <w:t>年 </w:t>
      </w:r>
      <w:r>
        <w:rPr>
          <w:rFonts w:ascii="Times New Roman" w:eastAsia="Times New Roman"/>
        </w:rPr>
        <w:t>1 </w:t>
      </w:r>
      <w:r>
        <w:rPr/>
        <w:t>月 </w:t>
      </w:r>
      <w:r>
        <w:rPr>
          <w:rFonts w:ascii="Times New Roman" w:eastAsia="Times New Roman"/>
        </w:rPr>
        <w:t>13 </w:t>
      </w:r>
      <w:r>
        <w:rPr/>
        <w:t>日发布《景顺长城新兴成长混合型证券投资基金分红公告》</w:t>
      </w:r>
    </w:p>
    <w:p>
      <w:pPr>
        <w:pStyle w:val="BodyText"/>
        <w:spacing w:before="7"/>
        <w:rPr>
          <w:sz w:val="15"/>
        </w:rPr>
      </w:pPr>
    </w:p>
    <w:p>
      <w:pPr>
        <w:pStyle w:val="BodyText"/>
        <w:spacing w:line="417" w:lineRule="auto"/>
        <w:ind w:left="840" w:right="891" w:firstLine="419"/>
      </w:pPr>
      <w:r>
        <w:rPr>
          <w:rFonts w:ascii="Times New Roman" w:eastAsia="Times New Roman"/>
        </w:rPr>
        <w:t>2020 </w:t>
      </w:r>
      <w:r>
        <w:rPr>
          <w:spacing w:val="-22"/>
        </w:rPr>
        <w:t>年 </w:t>
      </w:r>
      <w:r>
        <w:rPr>
          <w:rFonts w:ascii="Times New Roman" w:eastAsia="Times New Roman"/>
        </w:rPr>
        <w:t>1 </w:t>
      </w:r>
      <w:r>
        <w:rPr>
          <w:spacing w:val="-23"/>
        </w:rPr>
        <w:t>月 </w:t>
      </w:r>
      <w:r>
        <w:rPr>
          <w:rFonts w:ascii="Times New Roman" w:eastAsia="Times New Roman"/>
        </w:rPr>
        <w:t>13 </w:t>
      </w:r>
      <w:r>
        <w:rPr>
          <w:spacing w:val="-8"/>
        </w:rPr>
        <w:t>日发布《关于景顺长城新兴成长混合型证券投资基金暂停接受伍佰万元</w:t>
      </w:r>
      <w:r>
        <w:rPr>
          <w:spacing w:val="-6"/>
        </w:rPr>
        <w:t>以上申购</w:t>
      </w:r>
      <w:r>
        <w:rPr>
          <w:spacing w:val="-3"/>
        </w:rPr>
        <w:t>（含日常申购和定期定额投资）及转换转入业务的公告》</w:t>
      </w:r>
    </w:p>
    <w:p>
      <w:pPr>
        <w:pStyle w:val="BodyText"/>
        <w:ind w:left="1260"/>
      </w:pPr>
      <w:r>
        <w:rPr>
          <w:rFonts w:ascii="Times New Roman" w:eastAsia="Times New Roman"/>
        </w:rPr>
        <w:t>2020 </w:t>
      </w:r>
      <w:r>
        <w:rPr/>
        <w:t>年 </w:t>
      </w:r>
      <w:r>
        <w:rPr>
          <w:rFonts w:ascii="Times New Roman" w:eastAsia="Times New Roman"/>
        </w:rPr>
        <w:t>1 </w:t>
      </w:r>
      <w:r>
        <w:rPr/>
        <w:t>月 </w:t>
      </w:r>
      <w:r>
        <w:rPr>
          <w:rFonts w:ascii="Times New Roman" w:eastAsia="Times New Roman"/>
        </w:rPr>
        <w:t>6 </w:t>
      </w:r>
      <w:r>
        <w:rPr/>
        <w:t>日发布《</w:t>
      </w:r>
      <w:hyperlink r:id="rId178">
        <w:r>
          <w:rPr/>
          <w:t>景顺长城基金管理有限公司关于旗下部分基金在中航证券开通</w:t>
        </w:r>
      </w:hyperlink>
    </w:p>
    <w:p>
      <w:pPr>
        <w:spacing w:after="0"/>
        <w:sectPr>
          <w:pgSz w:w="11910" w:h="16840"/>
          <w:pgMar w:header="877" w:footer="995" w:top="1100" w:bottom="1180" w:left="960" w:right="900"/>
        </w:sectPr>
      </w:pPr>
    </w:p>
    <w:p>
      <w:pPr>
        <w:pStyle w:val="BodyText"/>
        <w:spacing w:before="4"/>
        <w:rPr>
          <w:sz w:val="27"/>
        </w:rPr>
      </w:pPr>
    </w:p>
    <w:p>
      <w:pPr>
        <w:pStyle w:val="BodyText"/>
        <w:spacing w:before="71"/>
        <w:ind w:left="840"/>
      </w:pPr>
      <w:r>
        <w:rPr/>
        <w:t>基金“定期定额投资业务”的公告》</w:t>
      </w:r>
    </w:p>
    <w:p>
      <w:pPr>
        <w:pStyle w:val="BodyText"/>
        <w:spacing w:before="7"/>
        <w:rPr>
          <w:sz w:val="15"/>
        </w:rPr>
      </w:pPr>
    </w:p>
    <w:p>
      <w:pPr>
        <w:pStyle w:val="BodyText"/>
        <w:spacing w:line="417" w:lineRule="auto"/>
        <w:ind w:left="840" w:right="837" w:firstLine="419"/>
      </w:pPr>
      <w:r>
        <w:rPr>
          <w:rFonts w:ascii="Times New Roman" w:eastAsia="Times New Roman"/>
        </w:rPr>
        <w:t>2020 </w:t>
      </w:r>
      <w:r>
        <w:rPr/>
        <w:t>年 </w:t>
      </w:r>
      <w:r>
        <w:rPr>
          <w:rFonts w:ascii="Times New Roman" w:eastAsia="Times New Roman"/>
        </w:rPr>
        <w:t>1 </w:t>
      </w:r>
      <w:r>
        <w:rPr/>
        <w:t>月 </w:t>
      </w:r>
      <w:r>
        <w:rPr>
          <w:rFonts w:ascii="Times New Roman" w:eastAsia="Times New Roman"/>
        </w:rPr>
        <w:t>6 </w:t>
      </w:r>
      <w:r>
        <w:rPr/>
        <w:t>日发布《景顺长城基金管理有限公司关于旗下部分基金参加中国农业银行基金申购、定期定额投资及基金组合产品申购费率优惠活动的公告》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日发布《景顺长城基金管理有限公司关于旗下部分基金继续参加中国工商银行个人电子银行基金申购费率优惠活动的公告》</w:t>
      </w:r>
    </w:p>
    <w:p>
      <w:pPr>
        <w:pStyle w:val="BodyText"/>
        <w:spacing w:line="417" w:lineRule="auto"/>
        <w:ind w:left="840" w:right="837" w:firstLine="419"/>
      </w:pPr>
      <w:r>
        <w:rPr>
          <w:rFonts w:ascii="Times New Roman" w:hAnsi="Times New Roman" w:eastAsia="Times New Roman"/>
        </w:rPr>
        <w:t>2019 </w:t>
      </w:r>
      <w:r>
        <w:rPr/>
        <w:t>年 </w:t>
      </w:r>
      <w:r>
        <w:rPr>
          <w:rFonts w:ascii="Times New Roman" w:hAnsi="Times New Roman" w:eastAsia="Times New Roman"/>
        </w:rPr>
        <w:t>12 </w:t>
      </w:r>
      <w:r>
        <w:rPr/>
        <w:t>月 </w:t>
      </w:r>
      <w:r>
        <w:rPr>
          <w:rFonts w:ascii="Times New Roman" w:hAnsi="Times New Roman" w:eastAsia="Times New Roman"/>
        </w:rPr>
        <w:t>31 </w:t>
      </w:r>
      <w:r>
        <w:rPr/>
        <w:t>日发布《景顺长城基金管理有限公司关于旗下部分基金参加中国工商银行“</w:t>
      </w:r>
      <w:r>
        <w:rPr>
          <w:rFonts w:ascii="Times New Roman" w:hAnsi="Times New Roman" w:eastAsia="Times New Roman"/>
        </w:rPr>
        <w:t>2020 </w:t>
      </w:r>
      <w:r>
        <w:rPr/>
        <w:t>倾心回馈”基金定投优惠活动的公告》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日发布《景顺长城基金管理有限公司关于旗下部分基金参加苏州银行基金申购及定期定额投资申购费率优惠活动的公告》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日发布《景顺长城基金管理有限公司关于旗下部分基金参加交通银行手机银行基金申购及定期定额投资申购费率优惠活动的公告》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日发布《景顺长城基金管理有限公司关于旗下部分基金参加中国工商银行个人手机银行</w:t>
      </w:r>
      <w:r>
        <w:rPr>
          <w:rFonts w:ascii="Times New Roman" w:eastAsia="Times New Roman"/>
        </w:rPr>
        <w:t>AI </w:t>
      </w:r>
      <w:r>
        <w:rPr/>
        <w:t>投服务基金申购费率优惠活动的公告》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12 </w:t>
      </w:r>
      <w:r>
        <w:rPr/>
        <w:t>月 </w:t>
      </w:r>
      <w:r>
        <w:rPr>
          <w:rFonts w:ascii="Times New Roman" w:eastAsia="Times New Roman"/>
        </w:rPr>
        <w:t>25 </w:t>
      </w:r>
      <w:r>
        <w:rPr/>
        <w:t>日发布《景顺长城基金管理有限公司关于旗下部分基金参加广发证券基金申购费率优惠活动的公告》</w:t>
      </w:r>
    </w:p>
    <w:p>
      <w:pPr>
        <w:pStyle w:val="BodyText"/>
        <w:spacing w:line="417" w:lineRule="auto"/>
        <w:ind w:left="840" w:right="837" w:firstLine="419"/>
      </w:pPr>
      <w:r>
        <w:rPr>
          <w:rFonts w:ascii="Times New Roman" w:hAnsi="Times New Roman" w:eastAsia="Times New Roman"/>
        </w:rPr>
        <w:t>2019 </w:t>
      </w:r>
      <w:r>
        <w:rPr/>
        <w:t>年 </w:t>
      </w:r>
      <w:r>
        <w:rPr>
          <w:rFonts w:ascii="Times New Roman" w:hAnsi="Times New Roman" w:eastAsia="Times New Roman"/>
        </w:rPr>
        <w:t>12 </w:t>
      </w:r>
      <w:r>
        <w:rPr/>
        <w:t>月 </w:t>
      </w:r>
      <w:r>
        <w:rPr>
          <w:rFonts w:ascii="Times New Roman" w:hAnsi="Times New Roman" w:eastAsia="Times New Roman"/>
        </w:rPr>
        <w:t>17 </w:t>
      </w:r>
      <w:r>
        <w:rPr/>
        <w:t>日发布《景顺长城基金管理有限公司关于旗下部分基金新增苏州农商行为销售机构并开通基金“定期定额投资业务”和基金转换业务的公告》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11 </w:t>
      </w:r>
      <w:r>
        <w:rPr/>
        <w:t>月 </w:t>
      </w:r>
      <w:r>
        <w:rPr>
          <w:rFonts w:ascii="Times New Roman" w:eastAsia="Times New Roman"/>
        </w:rPr>
        <w:t>28 </w:t>
      </w:r>
      <w:r>
        <w:rPr/>
        <w:t>日发布《</w:t>
      </w:r>
      <w:hyperlink r:id="rId179">
        <w:r>
          <w:rPr/>
          <w:t>景顺长城基金管理有限公司关于旗下部分基金参加深圳富济</w:t>
        </w:r>
      </w:hyperlink>
      <w:hyperlink r:id="rId179">
        <w:r>
          <w:rPr/>
          <w:t>基金销售有限公司基金申购及定期定额投资申购费率优惠活动的公告</w:t>
        </w:r>
      </w:hyperlink>
      <w:r>
        <w:rPr/>
        <w:t>》</w:t>
      </w:r>
    </w:p>
    <w:p>
      <w:pPr>
        <w:pStyle w:val="BodyText"/>
        <w:spacing w:line="417" w:lineRule="auto"/>
        <w:ind w:left="840" w:right="788" w:firstLine="419"/>
      </w:pPr>
      <w:r>
        <w:rPr>
          <w:rFonts w:ascii="Times New Roman" w:eastAsia="Times New Roman"/>
        </w:rPr>
        <w:t>2019 </w:t>
      </w:r>
      <w:r>
        <w:rPr>
          <w:spacing w:val="-24"/>
        </w:rPr>
        <w:t>年 </w:t>
      </w:r>
      <w:r>
        <w:rPr>
          <w:rFonts w:ascii="Times New Roman" w:eastAsia="Times New Roman"/>
          <w:spacing w:val="-5"/>
        </w:rPr>
        <w:t>11 </w:t>
      </w:r>
      <w:r>
        <w:rPr>
          <w:spacing w:val="-25"/>
        </w:rPr>
        <w:t>月 </w:t>
      </w:r>
      <w:r>
        <w:rPr>
          <w:rFonts w:ascii="Times New Roman" w:eastAsia="Times New Roman"/>
        </w:rPr>
        <w:t>5 </w:t>
      </w:r>
      <w:r>
        <w:rPr>
          <w:spacing w:val="-10"/>
        </w:rPr>
        <w:t>日发布《关于景顺长城基金管理有限公司旗下 </w:t>
      </w:r>
      <w:r>
        <w:rPr>
          <w:rFonts w:ascii="Times New Roman" w:eastAsia="Times New Roman"/>
        </w:rPr>
        <w:t>80 </w:t>
      </w:r>
      <w:r>
        <w:rPr>
          <w:spacing w:val="-3"/>
        </w:rPr>
        <w:t>只基金修改基金合同、托管协议并更新招募说明书的提示性公告》</w:t>
      </w:r>
    </w:p>
    <w:p>
      <w:pPr>
        <w:pStyle w:val="BodyText"/>
        <w:spacing w:line="417" w:lineRule="auto"/>
        <w:ind w:left="840" w:right="891" w:firstLine="419"/>
      </w:pPr>
      <w:r>
        <w:rPr>
          <w:rFonts w:ascii="Times New Roman" w:eastAsia="Times New Roman"/>
        </w:rPr>
        <w:t>2019 </w:t>
      </w:r>
      <w:r>
        <w:rPr>
          <w:spacing w:val="-23"/>
        </w:rPr>
        <w:t>年 </w:t>
      </w:r>
      <w:r>
        <w:rPr>
          <w:rFonts w:ascii="Times New Roman" w:eastAsia="Times New Roman"/>
          <w:spacing w:val="-4"/>
        </w:rPr>
        <w:t>11 </w:t>
      </w:r>
      <w:r>
        <w:rPr>
          <w:spacing w:val="-21"/>
        </w:rPr>
        <w:t>月 </w:t>
      </w:r>
      <w:r>
        <w:rPr>
          <w:rFonts w:ascii="Times New Roman" w:eastAsia="Times New Roman"/>
        </w:rPr>
        <w:t>5 </w:t>
      </w:r>
      <w:r>
        <w:rPr>
          <w:spacing w:val="-5"/>
        </w:rPr>
        <w:t>日发布《景顺长城新兴成长混合型证券投资基金 </w:t>
      </w:r>
      <w:r>
        <w:rPr>
          <w:rFonts w:ascii="Times New Roman" w:eastAsia="Times New Roman"/>
        </w:rPr>
        <w:t>2019 </w:t>
      </w:r>
      <w:r>
        <w:rPr>
          <w:spacing w:val="-14"/>
        </w:rPr>
        <w:t>年第 </w:t>
      </w:r>
      <w:r>
        <w:rPr>
          <w:rFonts w:ascii="Times New Roman" w:eastAsia="Times New Roman"/>
        </w:rPr>
        <w:t>3 </w:t>
      </w:r>
      <w:r>
        <w:rPr>
          <w:spacing w:val="-1"/>
        </w:rPr>
        <w:t>号更新招</w:t>
      </w:r>
      <w:r>
        <w:rPr>
          <w:spacing w:val="-3"/>
        </w:rPr>
        <w:t>募说明书》及《摘要》</w:t>
      </w:r>
    </w:p>
    <w:p>
      <w:pPr>
        <w:pStyle w:val="BodyText"/>
        <w:spacing w:line="269" w:lineRule="exact"/>
        <w:ind w:left="1260"/>
      </w:pPr>
      <w:r>
        <w:rPr>
          <w:rFonts w:ascii="Times New Roman" w:eastAsia="Times New Roman"/>
        </w:rPr>
        <w:t>2019</w:t>
      </w:r>
      <w:r>
        <w:rPr>
          <w:rFonts w:ascii="Times New Roman" w:eastAsia="Times New Roman"/>
          <w:spacing w:val="3"/>
        </w:rPr>
        <w:t> </w:t>
      </w:r>
      <w:r>
        <w:rPr>
          <w:spacing w:val="-23"/>
        </w:rPr>
        <w:t>年 </w:t>
      </w:r>
      <w:r>
        <w:rPr>
          <w:rFonts w:ascii="Times New Roman" w:eastAsia="Times New Roman"/>
          <w:spacing w:val="-5"/>
        </w:rPr>
        <w:t>11</w:t>
      </w:r>
      <w:r>
        <w:rPr>
          <w:rFonts w:ascii="Times New Roman" w:eastAsia="Times New Roman"/>
          <w:spacing w:val="7"/>
        </w:rPr>
        <w:t> </w:t>
      </w:r>
      <w:r>
        <w:rPr>
          <w:spacing w:val="-24"/>
        </w:rPr>
        <w:t>月 </w:t>
      </w:r>
      <w:r>
        <w:rPr>
          <w:rFonts w:ascii="Times New Roman" w:eastAsia="Times New Roman"/>
        </w:rPr>
        <w:t>5</w:t>
      </w:r>
      <w:r>
        <w:rPr>
          <w:rFonts w:ascii="Times New Roman" w:eastAsia="Times New Roman"/>
          <w:spacing w:val="7"/>
        </w:rPr>
        <w:t> </w:t>
      </w:r>
      <w:r>
        <w:rPr>
          <w:spacing w:val="-3"/>
        </w:rPr>
        <w:t>日发布《景顺长城新兴成长混合型证券投资基金基金合同》</w:t>
      </w:r>
    </w:p>
    <w:p>
      <w:pPr>
        <w:pStyle w:val="BodyText"/>
        <w:spacing w:before="197"/>
        <w:ind w:left="1260"/>
      </w:pPr>
      <w:r>
        <w:rPr>
          <w:rFonts w:ascii="Times New Roman" w:eastAsia="Times New Roman"/>
        </w:rPr>
        <w:t>2019</w:t>
      </w:r>
      <w:r>
        <w:rPr>
          <w:rFonts w:ascii="Times New Roman" w:eastAsia="Times New Roman"/>
          <w:spacing w:val="3"/>
        </w:rPr>
        <w:t> </w:t>
      </w:r>
      <w:r>
        <w:rPr>
          <w:spacing w:val="-23"/>
        </w:rPr>
        <w:t>年 </w:t>
      </w:r>
      <w:r>
        <w:rPr>
          <w:rFonts w:ascii="Times New Roman" w:eastAsia="Times New Roman"/>
          <w:spacing w:val="-5"/>
        </w:rPr>
        <w:t>11</w:t>
      </w:r>
      <w:r>
        <w:rPr>
          <w:rFonts w:ascii="Times New Roman" w:eastAsia="Times New Roman"/>
          <w:spacing w:val="7"/>
        </w:rPr>
        <w:t> </w:t>
      </w:r>
      <w:r>
        <w:rPr>
          <w:spacing w:val="-24"/>
        </w:rPr>
        <w:t>月 </w:t>
      </w:r>
      <w:r>
        <w:rPr>
          <w:rFonts w:ascii="Times New Roman" w:eastAsia="Times New Roman"/>
        </w:rPr>
        <w:t>5</w:t>
      </w:r>
      <w:r>
        <w:rPr>
          <w:rFonts w:ascii="Times New Roman" w:eastAsia="Times New Roman"/>
          <w:spacing w:val="7"/>
        </w:rPr>
        <w:t> </w:t>
      </w:r>
      <w:r>
        <w:rPr>
          <w:spacing w:val="-3"/>
        </w:rPr>
        <w:t>日发布《景顺长城新兴成长混合型证券投资基金托管协议》</w:t>
      </w:r>
    </w:p>
    <w:p>
      <w:pPr>
        <w:pStyle w:val="BodyText"/>
        <w:spacing w:before="7"/>
        <w:rPr>
          <w:sz w:val="15"/>
        </w:rPr>
      </w:pPr>
    </w:p>
    <w:p>
      <w:pPr>
        <w:pStyle w:val="BodyText"/>
        <w:spacing w:line="417" w:lineRule="auto"/>
        <w:ind w:left="840" w:right="837" w:firstLine="419"/>
      </w:pPr>
      <w:r>
        <w:rPr>
          <w:rFonts w:ascii="Times New Roman" w:hAnsi="Times New Roman" w:eastAsia="Times New Roman"/>
        </w:rPr>
        <w:t>2019 </w:t>
      </w:r>
      <w:r>
        <w:rPr/>
        <w:t>年 </w:t>
      </w:r>
      <w:r>
        <w:rPr>
          <w:rFonts w:ascii="Times New Roman" w:hAnsi="Times New Roman" w:eastAsia="Times New Roman"/>
        </w:rPr>
        <w:t>10 </w:t>
      </w:r>
      <w:r>
        <w:rPr/>
        <w:t>月 </w:t>
      </w:r>
      <w:r>
        <w:rPr>
          <w:rFonts w:ascii="Times New Roman" w:hAnsi="Times New Roman" w:eastAsia="Times New Roman"/>
        </w:rPr>
        <w:t>31 </w:t>
      </w:r>
      <w:r>
        <w:rPr/>
        <w:t>日发布《景顺长城基金管理有限公司关于旗下部分基金新增中国人寿为销售机构并开通基金“定期定额投资业务”和基金转换业务的公告》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10 </w:t>
      </w:r>
      <w:r>
        <w:rPr/>
        <w:t>月 </w:t>
      </w:r>
      <w:r>
        <w:rPr>
          <w:rFonts w:ascii="Times New Roman" w:eastAsia="Times New Roman"/>
        </w:rPr>
        <w:t>24 </w:t>
      </w:r>
      <w:r>
        <w:rPr/>
        <w:t>日发布《景顺长城基金管理有限公司关于旗下部分基金参加东亚银行基金定期定额投资申购费率优惠活动的公告》</w:t>
      </w:r>
    </w:p>
    <w:p>
      <w:pPr>
        <w:pStyle w:val="BodyText"/>
        <w:ind w:left="1260"/>
      </w:pPr>
      <w:r>
        <w:rPr>
          <w:rFonts w:ascii="Times New Roman" w:eastAsia="Times New Roman"/>
        </w:rPr>
        <w:t>2019 </w:t>
      </w:r>
      <w:r>
        <w:rPr/>
        <w:t>年 </w:t>
      </w:r>
      <w:r>
        <w:rPr>
          <w:rFonts w:ascii="Times New Roman" w:eastAsia="Times New Roman"/>
        </w:rPr>
        <w:t>10 </w:t>
      </w:r>
      <w:r>
        <w:rPr/>
        <w:t>月 </w:t>
      </w:r>
      <w:r>
        <w:rPr>
          <w:rFonts w:ascii="Times New Roman" w:eastAsia="Times New Roman"/>
        </w:rPr>
        <w:t>22 </w:t>
      </w:r>
      <w:r>
        <w:rPr/>
        <w:t>日发布《景顺长城基金管理有限公司关于旗下基金 </w:t>
      </w:r>
      <w:r>
        <w:rPr>
          <w:rFonts w:ascii="Times New Roman" w:eastAsia="Times New Roman"/>
        </w:rPr>
        <w:t>2019 </w:t>
      </w:r>
      <w:r>
        <w:rPr/>
        <w:t>年第 </w:t>
      </w:r>
      <w:r>
        <w:rPr>
          <w:rFonts w:ascii="Times New Roman" w:eastAsia="Times New Roman"/>
        </w:rPr>
        <w:t>3 </w:t>
      </w:r>
      <w:r>
        <w:rPr/>
        <w:t>季度报</w:t>
      </w:r>
    </w:p>
    <w:p>
      <w:pPr>
        <w:spacing w:after="0"/>
        <w:sectPr>
          <w:pgSz w:w="11910" w:h="16840"/>
          <w:pgMar w:header="877" w:footer="995" w:top="1100" w:bottom="1180" w:left="960" w:right="900"/>
        </w:sectPr>
      </w:pPr>
    </w:p>
    <w:p>
      <w:pPr>
        <w:pStyle w:val="BodyText"/>
        <w:spacing w:before="4"/>
        <w:rPr>
          <w:sz w:val="27"/>
        </w:rPr>
      </w:pPr>
    </w:p>
    <w:p>
      <w:pPr>
        <w:pStyle w:val="BodyText"/>
        <w:spacing w:before="71"/>
        <w:ind w:left="840"/>
      </w:pPr>
      <w:r>
        <w:rPr/>
        <w:t>告提示性公告》</w:t>
      </w:r>
    </w:p>
    <w:p>
      <w:pPr>
        <w:pStyle w:val="BodyText"/>
        <w:spacing w:before="7"/>
        <w:rPr>
          <w:sz w:val="15"/>
        </w:rPr>
      </w:pPr>
    </w:p>
    <w:p>
      <w:pPr>
        <w:pStyle w:val="BodyText"/>
        <w:ind w:left="1260"/>
      </w:pPr>
      <w:r>
        <w:rPr>
          <w:rFonts w:ascii="Times New Roman" w:eastAsia="Times New Roman"/>
        </w:rPr>
        <w:t>2019 </w:t>
      </w:r>
      <w:r>
        <w:rPr/>
        <w:t>年 </w:t>
      </w:r>
      <w:r>
        <w:rPr>
          <w:rFonts w:ascii="Times New Roman" w:eastAsia="Times New Roman"/>
        </w:rPr>
        <w:t>10 </w:t>
      </w:r>
      <w:r>
        <w:rPr/>
        <w:t>月 </w:t>
      </w:r>
      <w:r>
        <w:rPr>
          <w:rFonts w:ascii="Times New Roman" w:eastAsia="Times New Roman"/>
        </w:rPr>
        <w:t>22 </w:t>
      </w:r>
      <w:r>
        <w:rPr/>
        <w:t>日发布《景顺长城新兴成长混合型证券投资基金 </w:t>
      </w:r>
      <w:r>
        <w:rPr>
          <w:rFonts w:ascii="Times New Roman" w:eastAsia="Times New Roman"/>
        </w:rPr>
        <w:t>2019 </w:t>
      </w:r>
      <w:r>
        <w:rPr/>
        <w:t>年第 </w:t>
      </w:r>
      <w:r>
        <w:rPr>
          <w:rFonts w:ascii="Times New Roman" w:eastAsia="Times New Roman"/>
        </w:rPr>
        <w:t>3 </w:t>
      </w:r>
      <w:r>
        <w:rPr/>
        <w:t>季度报告》</w:t>
      </w:r>
    </w:p>
    <w:p>
      <w:pPr>
        <w:pStyle w:val="BodyText"/>
        <w:spacing w:before="7"/>
        <w:rPr>
          <w:sz w:val="15"/>
        </w:rPr>
      </w:pPr>
    </w:p>
    <w:p>
      <w:pPr>
        <w:pStyle w:val="BodyText"/>
        <w:spacing w:line="417" w:lineRule="auto"/>
        <w:ind w:left="840" w:right="891" w:firstLine="419"/>
      </w:pPr>
      <w:r>
        <w:rPr>
          <w:rFonts w:ascii="Times New Roman" w:eastAsia="Times New Roman"/>
        </w:rPr>
        <w:t>2019 </w:t>
      </w:r>
      <w:r>
        <w:rPr>
          <w:spacing w:val="-22"/>
        </w:rPr>
        <w:t>年 </w:t>
      </w:r>
      <w:r>
        <w:rPr>
          <w:rFonts w:ascii="Times New Roman" w:eastAsia="Times New Roman"/>
        </w:rPr>
        <w:t>9 </w:t>
      </w:r>
      <w:r>
        <w:rPr>
          <w:spacing w:val="-23"/>
        </w:rPr>
        <w:t>月 </w:t>
      </w:r>
      <w:r>
        <w:rPr>
          <w:rFonts w:ascii="Times New Roman" w:eastAsia="Times New Roman"/>
        </w:rPr>
        <w:t>26 </w:t>
      </w:r>
      <w:r>
        <w:rPr>
          <w:spacing w:val="-8"/>
        </w:rPr>
        <w:t>日发布《景顺长城基金管理有限公司关于旗下部分基金在平安证券开通</w:t>
      </w:r>
      <w:r>
        <w:rPr>
          <w:spacing w:val="-5"/>
        </w:rPr>
        <w:t>基金转换业务的公告》</w:t>
      </w:r>
    </w:p>
    <w:p>
      <w:pPr>
        <w:pStyle w:val="BodyText"/>
        <w:spacing w:line="417" w:lineRule="auto"/>
        <w:ind w:left="840" w:right="891" w:firstLine="419"/>
      </w:pPr>
      <w:r>
        <w:rPr>
          <w:rFonts w:ascii="Times New Roman" w:eastAsia="Times New Roman"/>
        </w:rPr>
        <w:t>2019</w:t>
      </w:r>
      <w:r>
        <w:rPr>
          <w:rFonts w:ascii="Times New Roman" w:eastAsia="Times New Roman"/>
          <w:spacing w:val="4"/>
        </w:rPr>
        <w:t> </w:t>
      </w:r>
      <w:r>
        <w:rPr>
          <w:spacing w:val="-22"/>
        </w:rPr>
        <w:t>年 </w:t>
      </w:r>
      <w:r>
        <w:rPr>
          <w:rFonts w:ascii="Times New Roman" w:eastAsia="Times New Roman"/>
        </w:rPr>
        <w:t>9</w:t>
      </w:r>
      <w:r>
        <w:rPr>
          <w:rFonts w:ascii="Times New Roman" w:eastAsia="Times New Roman"/>
          <w:spacing w:val="5"/>
        </w:rPr>
        <w:t> </w:t>
      </w:r>
      <w:r>
        <w:rPr>
          <w:spacing w:val="-23"/>
        </w:rPr>
        <w:t>月 </w:t>
      </w:r>
      <w:r>
        <w:rPr>
          <w:rFonts w:ascii="Times New Roman" w:eastAsia="Times New Roman"/>
        </w:rPr>
        <w:t>12</w:t>
      </w:r>
      <w:r>
        <w:rPr>
          <w:rFonts w:ascii="Times New Roman" w:eastAsia="Times New Roman"/>
          <w:spacing w:val="5"/>
        </w:rPr>
        <w:t> </w:t>
      </w:r>
      <w:r>
        <w:rPr>
          <w:spacing w:val="-8"/>
        </w:rPr>
        <w:t>日发布《景顺长城基金管理有限公司关于旗下部分基金新增联储证券为</w:t>
      </w:r>
      <w:r>
        <w:rPr>
          <w:spacing w:val="-5"/>
        </w:rPr>
        <w:t>销售机构并开通基金定期定额投资业务和基金转换业务的公告》</w:t>
      </w:r>
    </w:p>
    <w:p>
      <w:pPr>
        <w:pStyle w:val="BodyText"/>
        <w:spacing w:line="417" w:lineRule="auto"/>
        <w:ind w:left="840" w:right="891" w:firstLine="419"/>
      </w:pPr>
      <w:r>
        <w:rPr>
          <w:rFonts w:ascii="Times New Roman" w:eastAsia="Times New Roman"/>
        </w:rPr>
        <w:t>2019</w:t>
      </w:r>
      <w:r>
        <w:rPr>
          <w:rFonts w:ascii="Times New Roman" w:eastAsia="Times New Roman"/>
          <w:spacing w:val="4"/>
        </w:rPr>
        <w:t> </w:t>
      </w:r>
      <w:r>
        <w:rPr>
          <w:spacing w:val="-22"/>
        </w:rPr>
        <w:t>年 </w:t>
      </w:r>
      <w:r>
        <w:rPr>
          <w:rFonts w:ascii="Times New Roman" w:eastAsia="Times New Roman"/>
        </w:rPr>
        <w:t>9</w:t>
      </w:r>
      <w:r>
        <w:rPr>
          <w:rFonts w:ascii="Times New Roman" w:eastAsia="Times New Roman"/>
          <w:spacing w:val="5"/>
        </w:rPr>
        <w:t> </w:t>
      </w:r>
      <w:r>
        <w:rPr>
          <w:spacing w:val="-23"/>
        </w:rPr>
        <w:t>月 </w:t>
      </w:r>
      <w:r>
        <w:rPr>
          <w:rFonts w:ascii="Times New Roman" w:eastAsia="Times New Roman"/>
        </w:rPr>
        <w:t>12</w:t>
      </w:r>
      <w:r>
        <w:rPr>
          <w:rFonts w:ascii="Times New Roman" w:eastAsia="Times New Roman"/>
          <w:spacing w:val="5"/>
        </w:rPr>
        <w:t> </w:t>
      </w:r>
      <w:r>
        <w:rPr>
          <w:spacing w:val="-8"/>
        </w:rPr>
        <w:t>日发布《景顺长城基金管理有限公司关于旗下部分基金参加联储证券有</w:t>
      </w:r>
      <w:r>
        <w:rPr>
          <w:spacing w:val="-5"/>
        </w:rPr>
        <w:t>限责任公司基金申购及定期定额投资申购费率优惠活动的公告》</w:t>
      </w:r>
    </w:p>
    <w:p>
      <w:pPr>
        <w:pStyle w:val="BodyText"/>
        <w:spacing w:line="417" w:lineRule="auto"/>
        <w:ind w:left="840" w:right="837" w:firstLine="419"/>
      </w:pPr>
      <w:r>
        <w:rPr>
          <w:rFonts w:ascii="Times New Roman" w:hAnsi="Times New Roman" w:eastAsia="Times New Roman"/>
        </w:rPr>
        <w:t>2019 </w:t>
      </w:r>
      <w:r>
        <w:rPr/>
        <w:t>年 </w:t>
      </w:r>
      <w:r>
        <w:rPr>
          <w:rFonts w:ascii="Times New Roman" w:hAnsi="Times New Roman" w:eastAsia="Times New Roman"/>
        </w:rPr>
        <w:t>9 </w:t>
      </w:r>
      <w:r>
        <w:rPr/>
        <w:t>月 </w:t>
      </w:r>
      <w:r>
        <w:rPr>
          <w:rFonts w:ascii="Times New Roman" w:hAnsi="Times New Roman" w:eastAsia="Times New Roman"/>
        </w:rPr>
        <w:t>5 </w:t>
      </w:r>
      <w:r>
        <w:rPr/>
        <w:t>日发布《景顺长城基金管理有限公司关于旗下部分基金在嘉实财富开通基金“定期定额投资业务”的公告》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日发布《景顺长城基金管理有限公司关于旗下部分基金新增江苏汇林保大基金销售有限公司为销售机构并开通基金转换业务的公告》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日发布《景顺长城基金管理有限公司关于旗下部分基金参加江苏汇林保大基金销售有限公司基金申购费率优惠活动的公告》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日发布《景顺长城基金管理有限公司关于旗下部分基金参加嘉实财富管理有限公司基金定期定额投资申购费率优惠活动的公告》</w:t>
      </w:r>
    </w:p>
    <w:p>
      <w:pPr>
        <w:pStyle w:val="BodyText"/>
        <w:spacing w:line="417" w:lineRule="auto"/>
        <w:ind w:left="840" w:right="837" w:firstLine="419"/>
      </w:pPr>
      <w:r>
        <w:rPr>
          <w:rFonts w:ascii="Times New Roman" w:hAnsi="Times New Roman" w:eastAsia="Times New Roman"/>
        </w:rPr>
        <w:t>2019 </w:t>
      </w:r>
      <w:r>
        <w:rPr/>
        <w:t>年 </w:t>
      </w:r>
      <w:r>
        <w:rPr>
          <w:rFonts w:ascii="Times New Roman" w:hAnsi="Times New Roman" w:eastAsia="Times New Roman"/>
        </w:rPr>
        <w:t>9 </w:t>
      </w:r>
      <w:r>
        <w:rPr/>
        <w:t>月 </w:t>
      </w:r>
      <w:r>
        <w:rPr>
          <w:rFonts w:ascii="Times New Roman" w:hAnsi="Times New Roman" w:eastAsia="Times New Roman"/>
        </w:rPr>
        <w:t>3 </w:t>
      </w:r>
      <w:r>
        <w:rPr/>
        <w:t>日发布《景顺长城基金管理有限公司关于旗下部分基金新增宁波银行股份有限公司为销售机构并开通基金“定期定额投资业务”和基金转换业务的公告》</w:t>
      </w:r>
    </w:p>
    <w:p>
      <w:pPr>
        <w:pStyle w:val="BodyText"/>
        <w:spacing w:line="417" w:lineRule="auto"/>
        <w:ind w:left="840" w:right="891" w:firstLine="419"/>
      </w:pPr>
      <w:r>
        <w:rPr>
          <w:rFonts w:ascii="Times New Roman" w:eastAsia="Times New Roman"/>
        </w:rPr>
        <w:t>2019 </w:t>
      </w:r>
      <w:r>
        <w:rPr>
          <w:spacing w:val="-22"/>
        </w:rPr>
        <w:t>年 </w:t>
      </w:r>
      <w:r>
        <w:rPr>
          <w:rFonts w:ascii="Times New Roman" w:eastAsia="Times New Roman"/>
        </w:rPr>
        <w:t>8 </w:t>
      </w:r>
      <w:r>
        <w:rPr>
          <w:spacing w:val="-23"/>
        </w:rPr>
        <w:t>月 </w:t>
      </w:r>
      <w:r>
        <w:rPr>
          <w:rFonts w:ascii="Times New Roman" w:eastAsia="Times New Roman"/>
        </w:rPr>
        <w:t>28 </w:t>
      </w:r>
      <w:r>
        <w:rPr>
          <w:spacing w:val="-8"/>
        </w:rPr>
        <w:t>日发布《景顺长城基金管理有限公司关于旗下部分基金新增上海陆享基</w:t>
      </w:r>
      <w:r>
        <w:rPr>
          <w:spacing w:val="-5"/>
        </w:rPr>
        <w:t>金销售有限公司为销售机构的公告》</w:t>
      </w:r>
    </w:p>
    <w:p>
      <w:pPr>
        <w:pStyle w:val="BodyText"/>
        <w:spacing w:line="417" w:lineRule="auto"/>
        <w:ind w:left="840" w:right="891" w:firstLine="419"/>
      </w:pPr>
      <w:r>
        <w:rPr>
          <w:rFonts w:ascii="Times New Roman" w:eastAsia="Times New Roman"/>
        </w:rPr>
        <w:t>2019 </w:t>
      </w:r>
      <w:r>
        <w:rPr>
          <w:spacing w:val="-22"/>
        </w:rPr>
        <w:t>年 </w:t>
      </w:r>
      <w:r>
        <w:rPr>
          <w:rFonts w:ascii="Times New Roman" w:eastAsia="Times New Roman"/>
        </w:rPr>
        <w:t>8 </w:t>
      </w:r>
      <w:r>
        <w:rPr>
          <w:spacing w:val="-23"/>
        </w:rPr>
        <w:t>月 </w:t>
      </w:r>
      <w:r>
        <w:rPr>
          <w:rFonts w:ascii="Times New Roman" w:eastAsia="Times New Roman"/>
        </w:rPr>
        <w:t>28 </w:t>
      </w:r>
      <w:r>
        <w:rPr>
          <w:spacing w:val="-8"/>
        </w:rPr>
        <w:t>日发布《景顺长城基金管理有限公司关于旗下部分基金参加上海陆享基</w:t>
      </w:r>
      <w:r>
        <w:rPr>
          <w:spacing w:val="-5"/>
        </w:rPr>
        <w:t>金销售有限公司基金申购费率优惠活动的公告》</w:t>
      </w:r>
    </w:p>
    <w:p>
      <w:pPr>
        <w:pStyle w:val="BodyText"/>
        <w:spacing w:line="417" w:lineRule="auto"/>
        <w:ind w:left="840" w:right="811" w:firstLine="419"/>
      </w:pPr>
      <w:r>
        <w:rPr>
          <w:rFonts w:ascii="Times New Roman" w:eastAsia="Times New Roman"/>
        </w:rPr>
        <w:t>2019 </w:t>
      </w:r>
      <w:r>
        <w:rPr/>
        <w:t>年 </w:t>
      </w:r>
      <w:r>
        <w:rPr>
          <w:rFonts w:ascii="Times New Roman" w:eastAsia="Times New Roman"/>
        </w:rPr>
        <w:t>8 </w:t>
      </w:r>
      <w:r>
        <w:rPr/>
        <w:t>月 </w:t>
      </w:r>
      <w:r>
        <w:rPr>
          <w:rFonts w:ascii="Times New Roman" w:eastAsia="Times New Roman"/>
        </w:rPr>
        <w:t>23 </w:t>
      </w:r>
      <w:r>
        <w:rPr/>
        <w:t>日发布《景顺长城新兴成长混合型证券投资基金 </w:t>
      </w:r>
      <w:r>
        <w:rPr>
          <w:rFonts w:ascii="Times New Roman" w:eastAsia="Times New Roman"/>
        </w:rPr>
        <w:t>2019 </w:t>
      </w:r>
      <w:r>
        <w:rPr/>
        <w:t>年半年度报告》及《摘要》</w:t>
      </w:r>
    </w:p>
    <w:p>
      <w:pPr>
        <w:pStyle w:val="BodyText"/>
        <w:spacing w:line="417" w:lineRule="auto"/>
        <w:ind w:left="840" w:right="891" w:firstLine="419"/>
      </w:pPr>
      <w:r>
        <w:rPr>
          <w:rFonts w:ascii="Times New Roman" w:eastAsia="Times New Roman"/>
        </w:rPr>
        <w:t>2019 </w:t>
      </w:r>
      <w:r>
        <w:rPr>
          <w:spacing w:val="-22"/>
        </w:rPr>
        <w:t>年 </w:t>
      </w:r>
      <w:r>
        <w:rPr>
          <w:rFonts w:ascii="Times New Roman" w:eastAsia="Times New Roman"/>
        </w:rPr>
        <w:t>8 </w:t>
      </w:r>
      <w:r>
        <w:rPr>
          <w:spacing w:val="-23"/>
        </w:rPr>
        <w:t>月 </w:t>
      </w:r>
      <w:r>
        <w:rPr>
          <w:rFonts w:ascii="Times New Roman" w:eastAsia="Times New Roman"/>
        </w:rPr>
        <w:t>12 </w:t>
      </w:r>
      <w:r>
        <w:rPr>
          <w:spacing w:val="-8"/>
        </w:rPr>
        <w:t>日发布《景顺长城基金管理有限公司关于旗下部分基金参加海通证券基</w:t>
      </w:r>
      <w:r>
        <w:rPr>
          <w:spacing w:val="-5"/>
        </w:rPr>
        <w:t>金申购及定期定额投资申购费率优惠活动的公告》</w:t>
      </w:r>
    </w:p>
    <w:p>
      <w:pPr>
        <w:pStyle w:val="BodyText"/>
        <w:spacing w:line="417" w:lineRule="auto"/>
        <w:ind w:left="840" w:right="893" w:firstLine="419"/>
      </w:pPr>
      <w:r>
        <w:rPr>
          <w:rFonts w:ascii="Times New Roman" w:eastAsia="Times New Roman"/>
        </w:rPr>
        <w:t>2019 </w:t>
      </w:r>
      <w:r>
        <w:rPr>
          <w:spacing w:val="-21"/>
        </w:rPr>
        <w:t>年 </w:t>
      </w:r>
      <w:r>
        <w:rPr>
          <w:rFonts w:ascii="Times New Roman" w:eastAsia="Times New Roman"/>
        </w:rPr>
        <w:t>8 </w:t>
      </w:r>
      <w:r>
        <w:rPr>
          <w:spacing w:val="-21"/>
        </w:rPr>
        <w:t>月 </w:t>
      </w:r>
      <w:r>
        <w:rPr>
          <w:rFonts w:ascii="Times New Roman" w:eastAsia="Times New Roman"/>
        </w:rPr>
        <w:t>12 </w:t>
      </w:r>
      <w:r>
        <w:rPr>
          <w:spacing w:val="-5"/>
        </w:rPr>
        <w:t>日发布《景顺长城新兴成长混合型证券投资基金 </w:t>
      </w:r>
      <w:r>
        <w:rPr>
          <w:rFonts w:ascii="Times New Roman" w:eastAsia="Times New Roman"/>
        </w:rPr>
        <w:t>2019 </w:t>
      </w:r>
      <w:r>
        <w:rPr>
          <w:spacing w:val="-15"/>
        </w:rPr>
        <w:t>年第 </w:t>
      </w:r>
      <w:r>
        <w:rPr>
          <w:rFonts w:ascii="Times New Roman" w:eastAsia="Times New Roman"/>
        </w:rPr>
        <w:t>2 </w:t>
      </w:r>
      <w:r>
        <w:rPr>
          <w:spacing w:val="-1"/>
        </w:rPr>
        <w:t>号更新招</w:t>
      </w:r>
      <w:r>
        <w:rPr>
          <w:spacing w:val="-3"/>
        </w:rPr>
        <w:t>募说明书》及《摘要》</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8 </w:t>
      </w:r>
      <w:r>
        <w:rPr/>
        <w:t>月 </w:t>
      </w:r>
      <w:r>
        <w:rPr>
          <w:rFonts w:ascii="Times New Roman" w:eastAsia="Times New Roman"/>
        </w:rPr>
        <w:t>5 </w:t>
      </w:r>
      <w:r>
        <w:rPr/>
        <w:t>日发布《景顺长城基金管理有限公司关于旗下部分基金参加东亚银行基金定期定额投资申购费率优惠活动的公告》</w:t>
      </w:r>
    </w:p>
    <w:p>
      <w:pPr>
        <w:spacing w:after="0" w:line="417" w:lineRule="auto"/>
        <w:sectPr>
          <w:pgSz w:w="11910" w:h="16840"/>
          <w:pgMar w:header="877" w:footer="995" w:top="1100" w:bottom="1180" w:left="960" w:right="900"/>
        </w:sectPr>
      </w:pPr>
    </w:p>
    <w:p>
      <w:pPr>
        <w:pStyle w:val="BodyText"/>
        <w:spacing w:before="10"/>
        <w:rPr>
          <w:sz w:val="26"/>
        </w:rPr>
      </w:pPr>
    </w:p>
    <w:p>
      <w:pPr>
        <w:pStyle w:val="BodyText"/>
        <w:spacing w:line="417" w:lineRule="auto" w:before="78"/>
        <w:ind w:left="840" w:right="891" w:firstLine="419"/>
      </w:pPr>
      <w:r>
        <w:rPr>
          <w:rFonts w:ascii="Times New Roman" w:eastAsia="Times New Roman"/>
        </w:rPr>
        <w:t>2019 </w:t>
      </w:r>
      <w:r>
        <w:rPr>
          <w:spacing w:val="-22"/>
        </w:rPr>
        <w:t>年 </w:t>
      </w:r>
      <w:r>
        <w:rPr>
          <w:rFonts w:ascii="Times New Roman" w:eastAsia="Times New Roman"/>
        </w:rPr>
        <w:t>7 </w:t>
      </w:r>
      <w:r>
        <w:rPr>
          <w:spacing w:val="-23"/>
        </w:rPr>
        <w:t>月 </w:t>
      </w:r>
      <w:r>
        <w:rPr>
          <w:rFonts w:ascii="Times New Roman" w:eastAsia="Times New Roman"/>
        </w:rPr>
        <w:t>30 </w:t>
      </w:r>
      <w:r>
        <w:rPr>
          <w:spacing w:val="-8"/>
        </w:rPr>
        <w:t>日发布《景顺长城基金管理有限公司关于旗下部分基金参加安信证券股</w:t>
      </w:r>
      <w:r>
        <w:rPr>
          <w:spacing w:val="-5"/>
        </w:rPr>
        <w:t>份有限公司基金定期定额投资申购费率优惠活动的公告》</w:t>
      </w:r>
    </w:p>
    <w:p>
      <w:pPr>
        <w:pStyle w:val="BodyText"/>
        <w:spacing w:line="417" w:lineRule="auto"/>
        <w:ind w:left="840" w:right="891" w:firstLine="419"/>
      </w:pPr>
      <w:r>
        <w:rPr>
          <w:rFonts w:ascii="Times New Roman" w:eastAsia="Times New Roman"/>
        </w:rPr>
        <w:t>2019 </w:t>
      </w:r>
      <w:r>
        <w:rPr>
          <w:spacing w:val="-22"/>
        </w:rPr>
        <w:t>年 </w:t>
      </w:r>
      <w:r>
        <w:rPr>
          <w:rFonts w:ascii="Times New Roman" w:eastAsia="Times New Roman"/>
        </w:rPr>
        <w:t>7 </w:t>
      </w:r>
      <w:r>
        <w:rPr>
          <w:spacing w:val="-23"/>
        </w:rPr>
        <w:t>月 </w:t>
      </w:r>
      <w:r>
        <w:rPr>
          <w:rFonts w:ascii="Times New Roman" w:eastAsia="Times New Roman"/>
        </w:rPr>
        <w:t>18 </w:t>
      </w:r>
      <w:r>
        <w:rPr>
          <w:spacing w:val="-8"/>
        </w:rPr>
        <w:t>日发布《景顺长城基金管理有限公司关于旗下部分基金参加上海天天基</w:t>
      </w:r>
      <w:r>
        <w:rPr>
          <w:spacing w:val="-5"/>
        </w:rPr>
        <w:t>金销售有限公司认</w:t>
      </w:r>
      <w:r>
        <w:rPr>
          <w:rFonts w:ascii="Times New Roman" w:eastAsia="Times New Roman"/>
        </w:rPr>
        <w:t>/</w:t>
      </w:r>
      <w:r>
        <w:rPr>
          <w:spacing w:val="-2"/>
        </w:rPr>
        <w:t>申购</w:t>
      </w:r>
      <w:r>
        <w:rPr>
          <w:spacing w:val="-3"/>
        </w:rPr>
        <w:t>（含定期定额投资申购</w:t>
      </w:r>
      <w:r>
        <w:rPr/>
        <w:t>）</w:t>
      </w:r>
      <w:r>
        <w:rPr>
          <w:spacing w:val="-3"/>
        </w:rPr>
        <w:t>费率优惠活动的公告》</w:t>
      </w:r>
    </w:p>
    <w:p>
      <w:pPr>
        <w:pStyle w:val="BodyText"/>
        <w:spacing w:line="269" w:lineRule="exact"/>
        <w:ind w:left="1260"/>
      </w:pPr>
      <w:r>
        <w:rPr>
          <w:rFonts w:ascii="Times New Roman" w:eastAsia="Times New Roman"/>
        </w:rPr>
        <w:t>2019 </w:t>
      </w:r>
      <w:r>
        <w:rPr/>
        <w:t>年 </w:t>
      </w:r>
      <w:r>
        <w:rPr>
          <w:rFonts w:ascii="Times New Roman" w:eastAsia="Times New Roman"/>
        </w:rPr>
        <w:t>7 </w:t>
      </w:r>
      <w:r>
        <w:rPr/>
        <w:t>月 </w:t>
      </w:r>
      <w:r>
        <w:rPr>
          <w:rFonts w:ascii="Times New Roman" w:eastAsia="Times New Roman"/>
        </w:rPr>
        <w:t>17 </w:t>
      </w:r>
      <w:r>
        <w:rPr/>
        <w:t>日发布《景顺长城新兴成长混合型证券投资基金 </w:t>
      </w:r>
      <w:r>
        <w:rPr>
          <w:rFonts w:ascii="Times New Roman" w:eastAsia="Times New Roman"/>
        </w:rPr>
        <w:t>2019 </w:t>
      </w:r>
      <w:r>
        <w:rPr/>
        <w:t>年第 </w:t>
      </w:r>
      <w:r>
        <w:rPr>
          <w:rFonts w:ascii="Times New Roman" w:eastAsia="Times New Roman"/>
        </w:rPr>
        <w:t>2 </w:t>
      </w:r>
      <w:r>
        <w:rPr/>
        <w:t>季度报告》</w:t>
      </w:r>
    </w:p>
    <w:p>
      <w:pPr>
        <w:pStyle w:val="BodyText"/>
        <w:spacing w:before="6"/>
        <w:rPr>
          <w:sz w:val="15"/>
        </w:rPr>
      </w:pPr>
    </w:p>
    <w:p>
      <w:pPr>
        <w:pStyle w:val="BodyText"/>
        <w:spacing w:line="417" w:lineRule="auto" w:before="1"/>
        <w:ind w:left="840" w:right="837" w:firstLine="419"/>
      </w:pPr>
      <w:r>
        <w:rPr>
          <w:rFonts w:ascii="Times New Roman" w:eastAsia="Times New Roman"/>
        </w:rPr>
        <w:t>2019 </w:t>
      </w:r>
      <w:r>
        <w:rPr/>
        <w:t>年 </w:t>
      </w:r>
      <w:r>
        <w:rPr>
          <w:rFonts w:ascii="Times New Roman" w:eastAsia="Times New Roman"/>
        </w:rPr>
        <w:t>7 </w:t>
      </w:r>
      <w:r>
        <w:rPr/>
        <w:t>月 </w:t>
      </w:r>
      <w:r>
        <w:rPr>
          <w:rFonts w:ascii="Times New Roman" w:eastAsia="Times New Roman"/>
        </w:rPr>
        <w:t>9 </w:t>
      </w:r>
      <w:r>
        <w:rPr/>
        <w:t>日发布《景顺长城基金管理有限公司关于旗下部分基金参加上海浦东发展银行基金定期定额投资申购费率优惠活动的公告》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7 </w:t>
      </w:r>
      <w:r>
        <w:rPr/>
        <w:t>月 </w:t>
      </w:r>
      <w:r>
        <w:rPr>
          <w:rFonts w:ascii="Times New Roman" w:eastAsia="Times New Roman"/>
        </w:rPr>
        <w:t>1 </w:t>
      </w:r>
      <w:r>
        <w:rPr/>
        <w:t>日发布《景顺长城基金管理有限公司关于旗下部分基金参加中信证券等多家销售机构基金转换费率优惠活动的公告》</w:t>
      </w:r>
    </w:p>
    <w:p>
      <w:pPr>
        <w:pStyle w:val="BodyText"/>
        <w:spacing w:line="417" w:lineRule="auto"/>
        <w:ind w:left="840" w:right="837" w:firstLine="419"/>
      </w:pPr>
      <w:r>
        <w:rPr>
          <w:rFonts w:ascii="Times New Roman" w:eastAsia="Times New Roman"/>
        </w:rPr>
        <w:t>2019 </w:t>
      </w:r>
      <w:r>
        <w:rPr/>
        <w:t>年 </w:t>
      </w:r>
      <w:r>
        <w:rPr>
          <w:rFonts w:ascii="Times New Roman" w:eastAsia="Times New Roman"/>
        </w:rPr>
        <w:t>7 </w:t>
      </w:r>
      <w:r>
        <w:rPr/>
        <w:t>月 </w:t>
      </w:r>
      <w:r>
        <w:rPr>
          <w:rFonts w:ascii="Times New Roman" w:eastAsia="Times New Roman"/>
        </w:rPr>
        <w:t>1 </w:t>
      </w:r>
      <w:r>
        <w:rPr/>
        <w:t>日发布《景顺长城基金管理有限公司关于旗下部分基金参加中信证券等多家销售机构基金申购及定期定额投资申购费率优惠活动的公告》</w:t>
      </w:r>
    </w:p>
    <w:p>
      <w:pPr>
        <w:spacing w:after="0" w:line="417" w:lineRule="auto"/>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pPr>
      <w:bookmarkStart w:name="_TOC_250001" w:id="23"/>
      <w:bookmarkEnd w:id="23"/>
      <w:r>
        <w:rPr/>
        <w:t>二十三、招募说明书的存放及其查阅方式</w:t>
      </w:r>
    </w:p>
    <w:p>
      <w:pPr>
        <w:pStyle w:val="BodyText"/>
        <w:spacing w:before="12"/>
        <w:rPr>
          <w:rFonts w:ascii="黑体"/>
          <w:b/>
          <w:sz w:val="41"/>
        </w:rPr>
      </w:pPr>
    </w:p>
    <w:p>
      <w:pPr>
        <w:pStyle w:val="BodyText"/>
        <w:spacing w:line="417" w:lineRule="auto"/>
        <w:ind w:left="840" w:right="797" w:firstLine="419"/>
      </w:pPr>
      <w:r>
        <w:rPr>
          <w:spacing w:val="-3"/>
        </w:rPr>
        <w:t>本招募说明书存放在本基金管理人、基金托管人、代销机构和注册登记人的办公场所， </w:t>
      </w:r>
      <w:r>
        <w:rPr>
          <w:spacing w:val="-9"/>
        </w:rPr>
        <w:t>投资者可在办公时间免费查阅；也可按工本费购买基金招募说明书复制件或复印件，但应以</w:t>
      </w:r>
      <w:r>
        <w:rPr>
          <w:spacing w:val="-5"/>
        </w:rPr>
        <w:t>基金招募说明书正本为准。</w:t>
      </w:r>
    </w:p>
    <w:p>
      <w:pPr>
        <w:pStyle w:val="BodyText"/>
        <w:spacing w:line="269" w:lineRule="exact"/>
        <w:ind w:left="1260"/>
      </w:pPr>
      <w:r>
        <w:rPr/>
        <w:t>基金管理人和基金托管人保证文本的内容与所公告的内容完全一致。</w:t>
      </w:r>
    </w:p>
    <w:p>
      <w:pPr>
        <w:spacing w:after="0" w:line="269" w:lineRule="exact"/>
        <w:sectPr>
          <w:pgSz w:w="11910" w:h="16840"/>
          <w:pgMar w:header="877" w:footer="995" w:top="1100" w:bottom="1180" w:left="960" w:right="900"/>
        </w:sectPr>
      </w:pPr>
    </w:p>
    <w:p>
      <w:pPr>
        <w:pStyle w:val="BodyText"/>
        <w:rPr>
          <w:sz w:val="20"/>
        </w:rPr>
      </w:pPr>
    </w:p>
    <w:p>
      <w:pPr>
        <w:pStyle w:val="BodyText"/>
        <w:rPr>
          <w:sz w:val="20"/>
        </w:rPr>
      </w:pPr>
    </w:p>
    <w:p>
      <w:pPr>
        <w:pStyle w:val="BodyText"/>
        <w:spacing w:before="8"/>
        <w:rPr>
          <w:sz w:val="15"/>
        </w:rPr>
      </w:pPr>
    </w:p>
    <w:p>
      <w:pPr>
        <w:pStyle w:val="Heading1"/>
      </w:pPr>
      <w:bookmarkStart w:name="_TOC_250000" w:id="24"/>
      <w:bookmarkEnd w:id="24"/>
      <w:r>
        <w:rPr/>
        <w:t>二十四、备查文件</w:t>
      </w:r>
    </w:p>
    <w:p>
      <w:pPr>
        <w:pStyle w:val="BodyText"/>
        <w:spacing w:before="12"/>
        <w:rPr>
          <w:rFonts w:ascii="黑体"/>
          <w:b/>
          <w:sz w:val="41"/>
        </w:rPr>
      </w:pPr>
    </w:p>
    <w:p>
      <w:pPr>
        <w:pStyle w:val="BodyText"/>
        <w:spacing w:line="417" w:lineRule="auto"/>
        <w:ind w:left="1260" w:right="1846"/>
      </w:pPr>
      <w:r>
        <w:rPr/>
        <w:t>一、中国证监会准予景顺长城新兴成长股票型证券投资基金募集注册的文件二、景顺长城新兴成长混合型证券投资基金基金合同</w:t>
      </w:r>
    </w:p>
    <w:p>
      <w:pPr>
        <w:pStyle w:val="BodyText"/>
        <w:spacing w:line="417" w:lineRule="auto"/>
        <w:ind w:left="1260" w:right="3107"/>
      </w:pPr>
      <w:r>
        <w:rPr/>
        <w:t>三、景顺长城基金管理有限公司开放式基金注册登记业务规则四、法律意见书</w:t>
      </w:r>
    </w:p>
    <w:p>
      <w:pPr>
        <w:pStyle w:val="BodyText"/>
        <w:spacing w:line="417" w:lineRule="auto"/>
        <w:ind w:left="1260" w:right="3949"/>
      </w:pPr>
      <w:r>
        <w:rPr/>
        <w:t>五、基金管理人业务资格批件、营业执照和公司章程六、基金托管人业务资格批件、营业执照</w:t>
      </w:r>
    </w:p>
    <w:p>
      <w:pPr>
        <w:pStyle w:val="BodyText"/>
        <w:spacing w:line="417" w:lineRule="auto"/>
        <w:ind w:left="1260" w:right="3949"/>
        <w:jc w:val="both"/>
      </w:pPr>
      <w:r>
        <w:rPr/>
        <w:t>七、景顺长城新兴成长混合型证券投资基金代销协议八、景顺长城新兴成长混合型证券投资基金托管协议九、中国证监会要求的其他文件</w:t>
      </w:r>
    </w:p>
    <w:p>
      <w:pPr>
        <w:pStyle w:val="BodyText"/>
        <w:rPr>
          <w:sz w:val="20"/>
        </w:rPr>
      </w:pPr>
    </w:p>
    <w:p>
      <w:pPr>
        <w:pStyle w:val="BodyText"/>
        <w:rPr>
          <w:sz w:val="20"/>
        </w:rPr>
      </w:pPr>
    </w:p>
    <w:p>
      <w:pPr>
        <w:pStyle w:val="BodyText"/>
        <w:rPr>
          <w:sz w:val="20"/>
        </w:rPr>
      </w:pPr>
    </w:p>
    <w:p>
      <w:pPr>
        <w:pStyle w:val="BodyText"/>
        <w:spacing w:line="417" w:lineRule="auto" w:before="167"/>
        <w:ind w:left="7047" w:right="893" w:hanging="423"/>
        <w:jc w:val="right"/>
      </w:pPr>
      <w:r>
        <w:rPr/>
        <w:t>景顺长城基金管理有限公司二○二○年十一月四日</w:t>
      </w:r>
    </w:p>
    <w:sectPr>
      <w:pgSz w:w="11910" w:h="16840"/>
      <w:pgMar w:header="877" w:footer="995" w:top="1100" w:bottom="1180" w:left="9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10668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1097472" type="#_x0000_t202" filled="false" stroked="false">
          <v:textbox inset="0,0,0,0">
            <w:txbxContent>
              <w:p>
                <w:pPr>
                  <w:spacing w:before="12"/>
                  <w:ind w:left="20" w:right="0" w:firstLine="0"/>
                  <w:jc w:val="left"/>
                  <w:rPr>
                    <w:rFonts w:ascii="Times New Roman"/>
                    <w:sz w:val="18"/>
                  </w:rPr>
                </w:pPr>
                <w:r>
                  <w:rPr>
                    <w:rFonts w:ascii="Times New Roman"/>
                    <w:sz w:val="18"/>
                  </w:rPr>
                  <w:t>160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0964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6110566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10464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1103616"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1025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1101568"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10054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1099520"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0984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108736"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90.929993pt;margin-top:42.865608pt;width:218pt;height:11pt;mso-position-horizontal-relative:page;mso-position-vertical-relative:page;z-index:-261107712" type="#_x0000_t202" filled="false" stroked="false">
          <v:textbox inset="0,0,0,0">
            <w:txbxContent>
              <w:p>
                <w:pPr>
                  <w:spacing w:line="220" w:lineRule="exact" w:before="0"/>
                  <w:ind w:left="20" w:right="0" w:firstLine="0"/>
                  <w:jc w:val="left"/>
                  <w:rPr>
                    <w:sz w:val="18"/>
                  </w:rPr>
                </w:pPr>
                <w:r>
                  <w:rPr>
                    <w:sz w:val="18"/>
                  </w:rPr>
                  <w:t>景顺长城新兴成长混合型证券投资基金更新招募说明书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
    <w:multiLevelType w:val="hybridMultilevel"/>
    <w:lvl w:ilvl="0">
      <w:start w:val="1"/>
      <w:numFmt w:val="decimal"/>
      <w:lvlText w:val="（%1）"/>
      <w:lvlJc w:val="left"/>
      <w:pPr>
        <w:ind w:left="1789"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66">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65">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64">
    <w:multiLevelType w:val="hybridMultilevel"/>
    <w:lvl w:ilvl="0">
      <w:start w:val="1"/>
      <w:numFmt w:val="decimal"/>
      <w:lvlText w:val="%1）"/>
      <w:lvlJc w:val="left"/>
      <w:pPr>
        <w:ind w:left="840" w:hanging="318"/>
        <w:jc w:val="left"/>
      </w:pPr>
      <w:rPr>
        <w:rFonts w:hint="default" w:ascii="Times New Roman" w:hAnsi="Times New Roman" w:eastAsia="Times New Roman" w:cs="Times New Roman"/>
        <w:spacing w:val="-3"/>
        <w:w w:val="100"/>
        <w:sz w:val="19"/>
        <w:szCs w:val="19"/>
        <w:lang w:val="zh-CN" w:eastAsia="zh-CN" w:bidi="zh-CN"/>
      </w:rPr>
    </w:lvl>
    <w:lvl w:ilvl="1">
      <w:start w:val="0"/>
      <w:numFmt w:val="bullet"/>
      <w:lvlText w:val="•"/>
      <w:lvlJc w:val="left"/>
      <w:pPr>
        <w:ind w:left="1760" w:hanging="318"/>
      </w:pPr>
      <w:rPr>
        <w:rFonts w:hint="default"/>
        <w:lang w:val="zh-CN" w:eastAsia="zh-CN" w:bidi="zh-CN"/>
      </w:rPr>
    </w:lvl>
    <w:lvl w:ilvl="2">
      <w:start w:val="0"/>
      <w:numFmt w:val="bullet"/>
      <w:lvlText w:val="•"/>
      <w:lvlJc w:val="left"/>
      <w:pPr>
        <w:ind w:left="2681" w:hanging="318"/>
      </w:pPr>
      <w:rPr>
        <w:rFonts w:hint="default"/>
        <w:lang w:val="zh-CN" w:eastAsia="zh-CN" w:bidi="zh-CN"/>
      </w:rPr>
    </w:lvl>
    <w:lvl w:ilvl="3">
      <w:start w:val="0"/>
      <w:numFmt w:val="bullet"/>
      <w:lvlText w:val="•"/>
      <w:lvlJc w:val="left"/>
      <w:pPr>
        <w:ind w:left="3601" w:hanging="318"/>
      </w:pPr>
      <w:rPr>
        <w:rFonts w:hint="default"/>
        <w:lang w:val="zh-CN" w:eastAsia="zh-CN" w:bidi="zh-CN"/>
      </w:rPr>
    </w:lvl>
    <w:lvl w:ilvl="4">
      <w:start w:val="0"/>
      <w:numFmt w:val="bullet"/>
      <w:lvlText w:val="•"/>
      <w:lvlJc w:val="left"/>
      <w:pPr>
        <w:ind w:left="4522" w:hanging="318"/>
      </w:pPr>
      <w:rPr>
        <w:rFonts w:hint="default"/>
        <w:lang w:val="zh-CN" w:eastAsia="zh-CN" w:bidi="zh-CN"/>
      </w:rPr>
    </w:lvl>
    <w:lvl w:ilvl="5">
      <w:start w:val="0"/>
      <w:numFmt w:val="bullet"/>
      <w:lvlText w:val="•"/>
      <w:lvlJc w:val="left"/>
      <w:pPr>
        <w:ind w:left="5443" w:hanging="318"/>
      </w:pPr>
      <w:rPr>
        <w:rFonts w:hint="default"/>
        <w:lang w:val="zh-CN" w:eastAsia="zh-CN" w:bidi="zh-CN"/>
      </w:rPr>
    </w:lvl>
    <w:lvl w:ilvl="6">
      <w:start w:val="0"/>
      <w:numFmt w:val="bullet"/>
      <w:lvlText w:val="•"/>
      <w:lvlJc w:val="left"/>
      <w:pPr>
        <w:ind w:left="6363" w:hanging="318"/>
      </w:pPr>
      <w:rPr>
        <w:rFonts w:hint="default"/>
        <w:lang w:val="zh-CN" w:eastAsia="zh-CN" w:bidi="zh-CN"/>
      </w:rPr>
    </w:lvl>
    <w:lvl w:ilvl="7">
      <w:start w:val="0"/>
      <w:numFmt w:val="bullet"/>
      <w:lvlText w:val="•"/>
      <w:lvlJc w:val="left"/>
      <w:pPr>
        <w:ind w:left="7284" w:hanging="318"/>
      </w:pPr>
      <w:rPr>
        <w:rFonts w:hint="default"/>
        <w:lang w:val="zh-CN" w:eastAsia="zh-CN" w:bidi="zh-CN"/>
      </w:rPr>
    </w:lvl>
    <w:lvl w:ilvl="8">
      <w:start w:val="0"/>
      <w:numFmt w:val="bullet"/>
      <w:lvlText w:val="•"/>
      <w:lvlJc w:val="left"/>
      <w:pPr>
        <w:ind w:left="8205" w:hanging="318"/>
      </w:pPr>
      <w:rPr>
        <w:rFonts w:hint="default"/>
        <w:lang w:val="zh-CN" w:eastAsia="zh-CN" w:bidi="zh-CN"/>
      </w:rPr>
    </w:lvl>
  </w:abstractNum>
  <w:abstractNum w:abstractNumId="63">
    <w:multiLevelType w:val="hybridMultilevel"/>
    <w:lvl w:ilvl="0">
      <w:start w:val="1"/>
      <w:numFmt w:val="decimal"/>
      <w:lvlText w:val="%1）"/>
      <w:lvlJc w:val="left"/>
      <w:pPr>
        <w:ind w:left="1578" w:hanging="318"/>
        <w:jc w:val="left"/>
      </w:pPr>
      <w:rPr>
        <w:rFonts w:hint="default" w:ascii="Times New Roman" w:hAnsi="Times New Roman" w:eastAsia="Times New Roman" w:cs="Times New Roman"/>
        <w:spacing w:val="-25"/>
        <w:w w:val="100"/>
        <w:sz w:val="19"/>
        <w:szCs w:val="19"/>
        <w:lang w:val="zh-CN" w:eastAsia="zh-CN" w:bidi="zh-CN"/>
      </w:rPr>
    </w:lvl>
    <w:lvl w:ilvl="1">
      <w:start w:val="0"/>
      <w:numFmt w:val="bullet"/>
      <w:lvlText w:val="•"/>
      <w:lvlJc w:val="left"/>
      <w:pPr>
        <w:ind w:left="2426" w:hanging="318"/>
      </w:pPr>
      <w:rPr>
        <w:rFonts w:hint="default"/>
        <w:lang w:val="zh-CN" w:eastAsia="zh-CN" w:bidi="zh-CN"/>
      </w:rPr>
    </w:lvl>
    <w:lvl w:ilvl="2">
      <w:start w:val="0"/>
      <w:numFmt w:val="bullet"/>
      <w:lvlText w:val="•"/>
      <w:lvlJc w:val="left"/>
      <w:pPr>
        <w:ind w:left="3273" w:hanging="318"/>
      </w:pPr>
      <w:rPr>
        <w:rFonts w:hint="default"/>
        <w:lang w:val="zh-CN" w:eastAsia="zh-CN" w:bidi="zh-CN"/>
      </w:rPr>
    </w:lvl>
    <w:lvl w:ilvl="3">
      <w:start w:val="0"/>
      <w:numFmt w:val="bullet"/>
      <w:lvlText w:val="•"/>
      <w:lvlJc w:val="left"/>
      <w:pPr>
        <w:ind w:left="4119" w:hanging="318"/>
      </w:pPr>
      <w:rPr>
        <w:rFonts w:hint="default"/>
        <w:lang w:val="zh-CN" w:eastAsia="zh-CN" w:bidi="zh-CN"/>
      </w:rPr>
    </w:lvl>
    <w:lvl w:ilvl="4">
      <w:start w:val="0"/>
      <w:numFmt w:val="bullet"/>
      <w:lvlText w:val="•"/>
      <w:lvlJc w:val="left"/>
      <w:pPr>
        <w:ind w:left="4966" w:hanging="318"/>
      </w:pPr>
      <w:rPr>
        <w:rFonts w:hint="default"/>
        <w:lang w:val="zh-CN" w:eastAsia="zh-CN" w:bidi="zh-CN"/>
      </w:rPr>
    </w:lvl>
    <w:lvl w:ilvl="5">
      <w:start w:val="0"/>
      <w:numFmt w:val="bullet"/>
      <w:lvlText w:val="•"/>
      <w:lvlJc w:val="left"/>
      <w:pPr>
        <w:ind w:left="5813" w:hanging="318"/>
      </w:pPr>
      <w:rPr>
        <w:rFonts w:hint="default"/>
        <w:lang w:val="zh-CN" w:eastAsia="zh-CN" w:bidi="zh-CN"/>
      </w:rPr>
    </w:lvl>
    <w:lvl w:ilvl="6">
      <w:start w:val="0"/>
      <w:numFmt w:val="bullet"/>
      <w:lvlText w:val="•"/>
      <w:lvlJc w:val="left"/>
      <w:pPr>
        <w:ind w:left="6659" w:hanging="318"/>
      </w:pPr>
      <w:rPr>
        <w:rFonts w:hint="default"/>
        <w:lang w:val="zh-CN" w:eastAsia="zh-CN" w:bidi="zh-CN"/>
      </w:rPr>
    </w:lvl>
    <w:lvl w:ilvl="7">
      <w:start w:val="0"/>
      <w:numFmt w:val="bullet"/>
      <w:lvlText w:val="•"/>
      <w:lvlJc w:val="left"/>
      <w:pPr>
        <w:ind w:left="7506" w:hanging="318"/>
      </w:pPr>
      <w:rPr>
        <w:rFonts w:hint="default"/>
        <w:lang w:val="zh-CN" w:eastAsia="zh-CN" w:bidi="zh-CN"/>
      </w:rPr>
    </w:lvl>
    <w:lvl w:ilvl="8">
      <w:start w:val="0"/>
      <w:numFmt w:val="bullet"/>
      <w:lvlText w:val="•"/>
      <w:lvlJc w:val="left"/>
      <w:pPr>
        <w:ind w:left="8353" w:hanging="318"/>
      </w:pPr>
      <w:rPr>
        <w:rFonts w:hint="default"/>
        <w:lang w:val="zh-CN" w:eastAsia="zh-CN" w:bidi="zh-CN"/>
      </w:rPr>
    </w:lvl>
  </w:abstractNum>
  <w:abstractNum w:abstractNumId="62">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61">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60">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59">
    <w:multiLevelType w:val="hybridMultilevel"/>
    <w:lvl w:ilvl="0">
      <w:start w:val="9"/>
      <w:numFmt w:val="upperRoman"/>
      <w:lvlText w:val="（%1）"/>
      <w:lvlJc w:val="left"/>
      <w:pPr>
        <w:ind w:left="1904" w:hanging="645"/>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2714" w:hanging="645"/>
      </w:pPr>
      <w:rPr>
        <w:rFonts w:hint="default"/>
        <w:lang w:val="zh-CN" w:eastAsia="zh-CN" w:bidi="zh-CN"/>
      </w:rPr>
    </w:lvl>
    <w:lvl w:ilvl="2">
      <w:start w:val="0"/>
      <w:numFmt w:val="bullet"/>
      <w:lvlText w:val="•"/>
      <w:lvlJc w:val="left"/>
      <w:pPr>
        <w:ind w:left="3529" w:hanging="645"/>
      </w:pPr>
      <w:rPr>
        <w:rFonts w:hint="default"/>
        <w:lang w:val="zh-CN" w:eastAsia="zh-CN" w:bidi="zh-CN"/>
      </w:rPr>
    </w:lvl>
    <w:lvl w:ilvl="3">
      <w:start w:val="0"/>
      <w:numFmt w:val="bullet"/>
      <w:lvlText w:val="•"/>
      <w:lvlJc w:val="left"/>
      <w:pPr>
        <w:ind w:left="4343" w:hanging="645"/>
      </w:pPr>
      <w:rPr>
        <w:rFonts w:hint="default"/>
        <w:lang w:val="zh-CN" w:eastAsia="zh-CN" w:bidi="zh-CN"/>
      </w:rPr>
    </w:lvl>
    <w:lvl w:ilvl="4">
      <w:start w:val="0"/>
      <w:numFmt w:val="bullet"/>
      <w:lvlText w:val="•"/>
      <w:lvlJc w:val="left"/>
      <w:pPr>
        <w:ind w:left="5158" w:hanging="645"/>
      </w:pPr>
      <w:rPr>
        <w:rFonts w:hint="default"/>
        <w:lang w:val="zh-CN" w:eastAsia="zh-CN" w:bidi="zh-CN"/>
      </w:rPr>
    </w:lvl>
    <w:lvl w:ilvl="5">
      <w:start w:val="0"/>
      <w:numFmt w:val="bullet"/>
      <w:lvlText w:val="•"/>
      <w:lvlJc w:val="left"/>
      <w:pPr>
        <w:ind w:left="5973" w:hanging="645"/>
      </w:pPr>
      <w:rPr>
        <w:rFonts w:hint="default"/>
        <w:lang w:val="zh-CN" w:eastAsia="zh-CN" w:bidi="zh-CN"/>
      </w:rPr>
    </w:lvl>
    <w:lvl w:ilvl="6">
      <w:start w:val="0"/>
      <w:numFmt w:val="bullet"/>
      <w:lvlText w:val="•"/>
      <w:lvlJc w:val="left"/>
      <w:pPr>
        <w:ind w:left="6787" w:hanging="645"/>
      </w:pPr>
      <w:rPr>
        <w:rFonts w:hint="default"/>
        <w:lang w:val="zh-CN" w:eastAsia="zh-CN" w:bidi="zh-CN"/>
      </w:rPr>
    </w:lvl>
    <w:lvl w:ilvl="7">
      <w:start w:val="0"/>
      <w:numFmt w:val="bullet"/>
      <w:lvlText w:val="•"/>
      <w:lvlJc w:val="left"/>
      <w:pPr>
        <w:ind w:left="7602" w:hanging="645"/>
      </w:pPr>
      <w:rPr>
        <w:rFonts w:hint="default"/>
        <w:lang w:val="zh-CN" w:eastAsia="zh-CN" w:bidi="zh-CN"/>
      </w:rPr>
    </w:lvl>
    <w:lvl w:ilvl="8">
      <w:start w:val="0"/>
      <w:numFmt w:val="bullet"/>
      <w:lvlText w:val="•"/>
      <w:lvlJc w:val="left"/>
      <w:pPr>
        <w:ind w:left="8417" w:hanging="645"/>
      </w:pPr>
      <w:rPr>
        <w:rFonts w:hint="default"/>
        <w:lang w:val="zh-CN" w:eastAsia="zh-CN" w:bidi="zh-CN"/>
      </w:rPr>
    </w:lvl>
  </w:abstractNum>
  <w:abstractNum w:abstractNumId="58">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1741" w:hanging="481"/>
        <w:jc w:val="left"/>
      </w:pPr>
      <w:rPr>
        <w:rFonts w:hint="default" w:ascii="宋体" w:hAnsi="宋体" w:eastAsia="宋体" w:cs="宋体"/>
        <w:spacing w:val="-2"/>
        <w:w w:val="100"/>
        <w:sz w:val="19"/>
        <w:szCs w:val="19"/>
        <w:lang w:val="zh-CN" w:eastAsia="zh-CN" w:bidi="zh-CN"/>
      </w:rPr>
    </w:lvl>
    <w:lvl w:ilvl="2">
      <w:start w:val="0"/>
      <w:numFmt w:val="bullet"/>
      <w:lvlText w:val="•"/>
      <w:lvlJc w:val="left"/>
      <w:pPr>
        <w:ind w:left="2698" w:hanging="481"/>
      </w:pPr>
      <w:rPr>
        <w:rFonts w:hint="default"/>
        <w:lang w:val="zh-CN" w:eastAsia="zh-CN" w:bidi="zh-CN"/>
      </w:rPr>
    </w:lvl>
    <w:lvl w:ilvl="3">
      <w:start w:val="0"/>
      <w:numFmt w:val="bullet"/>
      <w:lvlText w:val="•"/>
      <w:lvlJc w:val="left"/>
      <w:pPr>
        <w:ind w:left="3616" w:hanging="481"/>
      </w:pPr>
      <w:rPr>
        <w:rFonts w:hint="default"/>
        <w:lang w:val="zh-CN" w:eastAsia="zh-CN" w:bidi="zh-CN"/>
      </w:rPr>
    </w:lvl>
    <w:lvl w:ilvl="4">
      <w:start w:val="0"/>
      <w:numFmt w:val="bullet"/>
      <w:lvlText w:val="•"/>
      <w:lvlJc w:val="left"/>
      <w:pPr>
        <w:ind w:left="4535" w:hanging="481"/>
      </w:pPr>
      <w:rPr>
        <w:rFonts w:hint="default"/>
        <w:lang w:val="zh-CN" w:eastAsia="zh-CN" w:bidi="zh-CN"/>
      </w:rPr>
    </w:lvl>
    <w:lvl w:ilvl="5">
      <w:start w:val="0"/>
      <w:numFmt w:val="bullet"/>
      <w:lvlText w:val="•"/>
      <w:lvlJc w:val="left"/>
      <w:pPr>
        <w:ind w:left="5453" w:hanging="481"/>
      </w:pPr>
      <w:rPr>
        <w:rFonts w:hint="default"/>
        <w:lang w:val="zh-CN" w:eastAsia="zh-CN" w:bidi="zh-CN"/>
      </w:rPr>
    </w:lvl>
    <w:lvl w:ilvl="6">
      <w:start w:val="0"/>
      <w:numFmt w:val="bullet"/>
      <w:lvlText w:val="•"/>
      <w:lvlJc w:val="left"/>
      <w:pPr>
        <w:ind w:left="6372" w:hanging="481"/>
      </w:pPr>
      <w:rPr>
        <w:rFonts w:hint="default"/>
        <w:lang w:val="zh-CN" w:eastAsia="zh-CN" w:bidi="zh-CN"/>
      </w:rPr>
    </w:lvl>
    <w:lvl w:ilvl="7">
      <w:start w:val="0"/>
      <w:numFmt w:val="bullet"/>
      <w:lvlText w:val="•"/>
      <w:lvlJc w:val="left"/>
      <w:pPr>
        <w:ind w:left="7290" w:hanging="481"/>
      </w:pPr>
      <w:rPr>
        <w:rFonts w:hint="default"/>
        <w:lang w:val="zh-CN" w:eastAsia="zh-CN" w:bidi="zh-CN"/>
      </w:rPr>
    </w:lvl>
    <w:lvl w:ilvl="8">
      <w:start w:val="0"/>
      <w:numFmt w:val="bullet"/>
      <w:lvlText w:val="•"/>
      <w:lvlJc w:val="left"/>
      <w:pPr>
        <w:ind w:left="8209" w:hanging="481"/>
      </w:pPr>
      <w:rPr>
        <w:rFonts w:hint="default"/>
        <w:lang w:val="zh-CN" w:eastAsia="zh-CN" w:bidi="zh-CN"/>
      </w:rPr>
    </w:lvl>
  </w:abstractNum>
  <w:abstractNum w:abstractNumId="57">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56">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55">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54">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52">
    <w:multiLevelType w:val="hybridMultilevel"/>
    <w:lvl w:ilvl="0">
      <w:start w:val="1"/>
      <w:numFmt w:val="decimal"/>
      <w:lvlText w:val="（%1）"/>
      <w:lvlJc w:val="left"/>
      <w:pPr>
        <w:ind w:left="136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8" w:hanging="529"/>
      </w:pPr>
      <w:rPr>
        <w:rFonts w:hint="default"/>
        <w:lang w:val="zh-CN" w:eastAsia="zh-CN" w:bidi="zh-CN"/>
      </w:rPr>
    </w:lvl>
    <w:lvl w:ilvl="2">
      <w:start w:val="0"/>
      <w:numFmt w:val="bullet"/>
      <w:lvlText w:val="•"/>
      <w:lvlJc w:val="left"/>
      <w:pPr>
        <w:ind w:left="3097" w:hanging="529"/>
      </w:pPr>
      <w:rPr>
        <w:rFonts w:hint="default"/>
        <w:lang w:val="zh-CN" w:eastAsia="zh-CN" w:bidi="zh-CN"/>
      </w:rPr>
    </w:lvl>
    <w:lvl w:ilvl="3">
      <w:start w:val="0"/>
      <w:numFmt w:val="bullet"/>
      <w:lvlText w:val="•"/>
      <w:lvlJc w:val="left"/>
      <w:pPr>
        <w:ind w:left="3965" w:hanging="529"/>
      </w:pPr>
      <w:rPr>
        <w:rFonts w:hint="default"/>
        <w:lang w:val="zh-CN" w:eastAsia="zh-CN" w:bidi="zh-CN"/>
      </w:rPr>
    </w:lvl>
    <w:lvl w:ilvl="4">
      <w:start w:val="0"/>
      <w:numFmt w:val="bullet"/>
      <w:lvlText w:val="•"/>
      <w:lvlJc w:val="left"/>
      <w:pPr>
        <w:ind w:left="4834" w:hanging="529"/>
      </w:pPr>
      <w:rPr>
        <w:rFonts w:hint="default"/>
        <w:lang w:val="zh-CN" w:eastAsia="zh-CN" w:bidi="zh-CN"/>
      </w:rPr>
    </w:lvl>
    <w:lvl w:ilvl="5">
      <w:start w:val="0"/>
      <w:numFmt w:val="bullet"/>
      <w:lvlText w:val="•"/>
      <w:lvlJc w:val="left"/>
      <w:pPr>
        <w:ind w:left="5703" w:hanging="529"/>
      </w:pPr>
      <w:rPr>
        <w:rFonts w:hint="default"/>
        <w:lang w:val="zh-CN" w:eastAsia="zh-CN" w:bidi="zh-CN"/>
      </w:rPr>
    </w:lvl>
    <w:lvl w:ilvl="6">
      <w:start w:val="0"/>
      <w:numFmt w:val="bullet"/>
      <w:lvlText w:val="•"/>
      <w:lvlJc w:val="left"/>
      <w:pPr>
        <w:ind w:left="6571" w:hanging="529"/>
      </w:pPr>
      <w:rPr>
        <w:rFonts w:hint="default"/>
        <w:lang w:val="zh-CN" w:eastAsia="zh-CN" w:bidi="zh-CN"/>
      </w:rPr>
    </w:lvl>
    <w:lvl w:ilvl="7">
      <w:start w:val="0"/>
      <w:numFmt w:val="bullet"/>
      <w:lvlText w:val="•"/>
      <w:lvlJc w:val="left"/>
      <w:pPr>
        <w:ind w:left="7440" w:hanging="529"/>
      </w:pPr>
      <w:rPr>
        <w:rFonts w:hint="default"/>
        <w:lang w:val="zh-CN" w:eastAsia="zh-CN" w:bidi="zh-CN"/>
      </w:rPr>
    </w:lvl>
    <w:lvl w:ilvl="8">
      <w:start w:val="0"/>
      <w:numFmt w:val="bullet"/>
      <w:lvlText w:val="•"/>
      <w:lvlJc w:val="left"/>
      <w:pPr>
        <w:ind w:left="8309" w:hanging="529"/>
      </w:pPr>
      <w:rPr>
        <w:rFonts w:hint="default"/>
        <w:lang w:val="zh-CN" w:eastAsia="zh-CN" w:bidi="zh-CN"/>
      </w:rPr>
    </w:lvl>
  </w:abstractNum>
  <w:abstractNum w:abstractNumId="51">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50">
    <w:multiLevelType w:val="hybridMultilevel"/>
    <w:lvl w:ilvl="0">
      <w:start w:val="1"/>
      <w:numFmt w:val="decimal"/>
      <w:lvlText w:val="（%1）"/>
      <w:lvlJc w:val="left"/>
      <w:pPr>
        <w:ind w:left="8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49">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48">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47">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46">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45">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44">
    <w:multiLevelType w:val="hybridMultilevel"/>
    <w:lvl w:ilvl="0">
      <w:start w:val="1"/>
      <w:numFmt w:val="decimal"/>
      <w:lvlText w:val="（%1）"/>
      <w:lvlJc w:val="left"/>
      <w:pPr>
        <w:ind w:left="1789" w:hanging="529"/>
        <w:jc w:val="left"/>
      </w:pPr>
      <w:rPr>
        <w:rFonts w:hint="default" w:ascii="宋体" w:hAnsi="宋体" w:eastAsia="宋体" w:cs="宋体"/>
        <w:spacing w:val="-27"/>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43">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42">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41">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40">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39">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38">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37">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36">
    <w:multiLevelType w:val="hybridMultilevel"/>
    <w:lvl w:ilvl="0">
      <w:start w:val="1"/>
      <w:numFmt w:val="decimal"/>
      <w:lvlText w:val="（%1）"/>
      <w:lvlJc w:val="left"/>
      <w:pPr>
        <w:ind w:left="1369" w:hanging="529"/>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840" w:hanging="318"/>
        <w:jc w:val="left"/>
      </w:pPr>
      <w:rPr>
        <w:rFonts w:hint="default" w:ascii="Times New Roman" w:hAnsi="Times New Roman" w:eastAsia="Times New Roman" w:cs="Times New Roman"/>
        <w:spacing w:val="-51"/>
        <w:w w:val="100"/>
        <w:sz w:val="19"/>
        <w:szCs w:val="19"/>
        <w:lang w:val="zh-CN" w:eastAsia="zh-CN" w:bidi="zh-CN"/>
      </w:rPr>
    </w:lvl>
    <w:lvl w:ilvl="2">
      <w:start w:val="0"/>
      <w:numFmt w:val="bullet"/>
      <w:lvlText w:val="•"/>
      <w:lvlJc w:val="left"/>
      <w:pPr>
        <w:ind w:left="2325" w:hanging="318"/>
      </w:pPr>
      <w:rPr>
        <w:rFonts w:hint="default"/>
        <w:lang w:val="zh-CN" w:eastAsia="zh-CN" w:bidi="zh-CN"/>
      </w:rPr>
    </w:lvl>
    <w:lvl w:ilvl="3">
      <w:start w:val="0"/>
      <w:numFmt w:val="bullet"/>
      <w:lvlText w:val="•"/>
      <w:lvlJc w:val="left"/>
      <w:pPr>
        <w:ind w:left="3290" w:hanging="318"/>
      </w:pPr>
      <w:rPr>
        <w:rFonts w:hint="default"/>
        <w:lang w:val="zh-CN" w:eastAsia="zh-CN" w:bidi="zh-CN"/>
      </w:rPr>
    </w:lvl>
    <w:lvl w:ilvl="4">
      <w:start w:val="0"/>
      <w:numFmt w:val="bullet"/>
      <w:lvlText w:val="•"/>
      <w:lvlJc w:val="left"/>
      <w:pPr>
        <w:ind w:left="4255" w:hanging="318"/>
      </w:pPr>
      <w:rPr>
        <w:rFonts w:hint="default"/>
        <w:lang w:val="zh-CN" w:eastAsia="zh-CN" w:bidi="zh-CN"/>
      </w:rPr>
    </w:lvl>
    <w:lvl w:ilvl="5">
      <w:start w:val="0"/>
      <w:numFmt w:val="bullet"/>
      <w:lvlText w:val="•"/>
      <w:lvlJc w:val="left"/>
      <w:pPr>
        <w:ind w:left="5220" w:hanging="318"/>
      </w:pPr>
      <w:rPr>
        <w:rFonts w:hint="default"/>
        <w:lang w:val="zh-CN" w:eastAsia="zh-CN" w:bidi="zh-CN"/>
      </w:rPr>
    </w:lvl>
    <w:lvl w:ilvl="6">
      <w:start w:val="0"/>
      <w:numFmt w:val="bullet"/>
      <w:lvlText w:val="•"/>
      <w:lvlJc w:val="left"/>
      <w:pPr>
        <w:ind w:left="6185" w:hanging="318"/>
      </w:pPr>
      <w:rPr>
        <w:rFonts w:hint="default"/>
        <w:lang w:val="zh-CN" w:eastAsia="zh-CN" w:bidi="zh-CN"/>
      </w:rPr>
    </w:lvl>
    <w:lvl w:ilvl="7">
      <w:start w:val="0"/>
      <w:numFmt w:val="bullet"/>
      <w:lvlText w:val="•"/>
      <w:lvlJc w:val="left"/>
      <w:pPr>
        <w:ind w:left="7150" w:hanging="318"/>
      </w:pPr>
      <w:rPr>
        <w:rFonts w:hint="default"/>
        <w:lang w:val="zh-CN" w:eastAsia="zh-CN" w:bidi="zh-CN"/>
      </w:rPr>
    </w:lvl>
    <w:lvl w:ilvl="8">
      <w:start w:val="0"/>
      <w:numFmt w:val="bullet"/>
      <w:lvlText w:val="•"/>
      <w:lvlJc w:val="left"/>
      <w:pPr>
        <w:ind w:left="8116" w:hanging="318"/>
      </w:pPr>
      <w:rPr>
        <w:rFonts w:hint="default"/>
        <w:lang w:val="zh-CN" w:eastAsia="zh-CN" w:bidi="zh-CN"/>
      </w:rPr>
    </w:lvl>
  </w:abstractNum>
  <w:abstractNum w:abstractNumId="35">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34">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33">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32">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31">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30">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29">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28">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27">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26">
    <w:multiLevelType w:val="hybridMultilevel"/>
    <w:lvl w:ilvl="0">
      <w:start w:val="1"/>
      <w:numFmt w:val="decimal"/>
      <w:lvlText w:val="%1."/>
      <w:lvlJc w:val="left"/>
      <w:pPr>
        <w:ind w:left="1104" w:hanging="264"/>
        <w:jc w:val="left"/>
      </w:pPr>
      <w:rPr>
        <w:rFonts w:hint="default" w:ascii="Cambria" w:hAnsi="Cambria" w:eastAsia="Cambria" w:cs="Cambria"/>
        <w:b/>
        <w:bCs/>
        <w:spacing w:val="-1"/>
        <w:w w:val="100"/>
        <w:sz w:val="24"/>
        <w:szCs w:val="24"/>
        <w:lang w:val="zh-CN" w:eastAsia="zh-CN" w:bidi="zh-CN"/>
      </w:rPr>
    </w:lvl>
    <w:lvl w:ilvl="1">
      <w:start w:val="1"/>
      <w:numFmt w:val="decimal"/>
      <w:lvlText w:val="%1.%2"/>
      <w:lvlJc w:val="left"/>
      <w:pPr>
        <w:ind w:left="840" w:hanging="550"/>
        <w:jc w:val="left"/>
      </w:pPr>
      <w:rPr>
        <w:rFonts w:hint="default"/>
        <w:b/>
        <w:bCs/>
        <w:spacing w:val="-1"/>
        <w:w w:val="100"/>
        <w:lang w:val="zh-CN" w:eastAsia="zh-CN" w:bidi="zh-CN"/>
      </w:rPr>
    </w:lvl>
    <w:lvl w:ilvl="2">
      <w:start w:val="1"/>
      <w:numFmt w:val="decimal"/>
      <w:lvlText w:val="（%3）"/>
      <w:lvlJc w:val="left"/>
      <w:pPr>
        <w:ind w:left="840" w:hanging="529"/>
        <w:jc w:val="left"/>
      </w:pPr>
      <w:rPr>
        <w:rFonts w:hint="default" w:ascii="宋体" w:hAnsi="宋体" w:eastAsia="宋体" w:cs="宋体"/>
        <w:spacing w:val="-27"/>
        <w:w w:val="100"/>
        <w:sz w:val="19"/>
        <w:szCs w:val="19"/>
        <w:lang w:val="zh-CN" w:eastAsia="zh-CN" w:bidi="zh-CN"/>
      </w:rPr>
    </w:lvl>
    <w:lvl w:ilvl="3">
      <w:start w:val="0"/>
      <w:numFmt w:val="bullet"/>
      <w:lvlText w:val="•"/>
      <w:lvlJc w:val="left"/>
      <w:pPr>
        <w:ind w:left="1400" w:hanging="529"/>
      </w:pPr>
      <w:rPr>
        <w:rFonts w:hint="default"/>
        <w:lang w:val="zh-CN" w:eastAsia="zh-CN" w:bidi="zh-CN"/>
      </w:rPr>
    </w:lvl>
    <w:lvl w:ilvl="4">
      <w:start w:val="0"/>
      <w:numFmt w:val="bullet"/>
      <w:lvlText w:val="•"/>
      <w:lvlJc w:val="left"/>
      <w:pPr>
        <w:ind w:left="2635" w:hanging="529"/>
      </w:pPr>
      <w:rPr>
        <w:rFonts w:hint="default"/>
        <w:lang w:val="zh-CN" w:eastAsia="zh-CN" w:bidi="zh-CN"/>
      </w:rPr>
    </w:lvl>
    <w:lvl w:ilvl="5">
      <w:start w:val="0"/>
      <w:numFmt w:val="bullet"/>
      <w:lvlText w:val="•"/>
      <w:lvlJc w:val="left"/>
      <w:pPr>
        <w:ind w:left="3870" w:hanging="529"/>
      </w:pPr>
      <w:rPr>
        <w:rFonts w:hint="default"/>
        <w:lang w:val="zh-CN" w:eastAsia="zh-CN" w:bidi="zh-CN"/>
      </w:rPr>
    </w:lvl>
    <w:lvl w:ilvl="6">
      <w:start w:val="0"/>
      <w:numFmt w:val="bullet"/>
      <w:lvlText w:val="•"/>
      <w:lvlJc w:val="left"/>
      <w:pPr>
        <w:ind w:left="5105" w:hanging="529"/>
      </w:pPr>
      <w:rPr>
        <w:rFonts w:hint="default"/>
        <w:lang w:val="zh-CN" w:eastAsia="zh-CN" w:bidi="zh-CN"/>
      </w:rPr>
    </w:lvl>
    <w:lvl w:ilvl="7">
      <w:start w:val="0"/>
      <w:numFmt w:val="bullet"/>
      <w:lvlText w:val="•"/>
      <w:lvlJc w:val="left"/>
      <w:pPr>
        <w:ind w:left="6340" w:hanging="529"/>
      </w:pPr>
      <w:rPr>
        <w:rFonts w:hint="default"/>
        <w:lang w:val="zh-CN" w:eastAsia="zh-CN" w:bidi="zh-CN"/>
      </w:rPr>
    </w:lvl>
    <w:lvl w:ilvl="8">
      <w:start w:val="0"/>
      <w:numFmt w:val="bullet"/>
      <w:lvlText w:val="•"/>
      <w:lvlJc w:val="left"/>
      <w:pPr>
        <w:ind w:left="7576" w:hanging="529"/>
      </w:pPr>
      <w:rPr>
        <w:rFonts w:hint="default"/>
        <w:lang w:val="zh-CN" w:eastAsia="zh-CN" w:bidi="zh-CN"/>
      </w:rPr>
    </w:lvl>
  </w:abstractNum>
  <w:abstractNum w:abstractNumId="25">
    <w:multiLevelType w:val="hybridMultilevel"/>
    <w:lvl w:ilvl="0">
      <w:start w:val="1"/>
      <w:numFmt w:val="lowerRoman"/>
      <w:lvlText w:val="（%1）"/>
      <w:lvlJc w:val="left"/>
      <w:pPr>
        <w:ind w:left="1741" w:hanging="481"/>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570" w:hanging="481"/>
      </w:pPr>
      <w:rPr>
        <w:rFonts w:hint="default"/>
        <w:lang w:val="zh-CN" w:eastAsia="zh-CN" w:bidi="zh-CN"/>
      </w:rPr>
    </w:lvl>
    <w:lvl w:ilvl="2">
      <w:start w:val="0"/>
      <w:numFmt w:val="bullet"/>
      <w:lvlText w:val="•"/>
      <w:lvlJc w:val="left"/>
      <w:pPr>
        <w:ind w:left="3401" w:hanging="481"/>
      </w:pPr>
      <w:rPr>
        <w:rFonts w:hint="default"/>
        <w:lang w:val="zh-CN" w:eastAsia="zh-CN" w:bidi="zh-CN"/>
      </w:rPr>
    </w:lvl>
    <w:lvl w:ilvl="3">
      <w:start w:val="0"/>
      <w:numFmt w:val="bullet"/>
      <w:lvlText w:val="•"/>
      <w:lvlJc w:val="left"/>
      <w:pPr>
        <w:ind w:left="4231" w:hanging="481"/>
      </w:pPr>
      <w:rPr>
        <w:rFonts w:hint="default"/>
        <w:lang w:val="zh-CN" w:eastAsia="zh-CN" w:bidi="zh-CN"/>
      </w:rPr>
    </w:lvl>
    <w:lvl w:ilvl="4">
      <w:start w:val="0"/>
      <w:numFmt w:val="bullet"/>
      <w:lvlText w:val="•"/>
      <w:lvlJc w:val="left"/>
      <w:pPr>
        <w:ind w:left="5062" w:hanging="481"/>
      </w:pPr>
      <w:rPr>
        <w:rFonts w:hint="default"/>
        <w:lang w:val="zh-CN" w:eastAsia="zh-CN" w:bidi="zh-CN"/>
      </w:rPr>
    </w:lvl>
    <w:lvl w:ilvl="5">
      <w:start w:val="0"/>
      <w:numFmt w:val="bullet"/>
      <w:lvlText w:val="•"/>
      <w:lvlJc w:val="left"/>
      <w:pPr>
        <w:ind w:left="5893" w:hanging="481"/>
      </w:pPr>
      <w:rPr>
        <w:rFonts w:hint="default"/>
        <w:lang w:val="zh-CN" w:eastAsia="zh-CN" w:bidi="zh-CN"/>
      </w:rPr>
    </w:lvl>
    <w:lvl w:ilvl="6">
      <w:start w:val="0"/>
      <w:numFmt w:val="bullet"/>
      <w:lvlText w:val="•"/>
      <w:lvlJc w:val="left"/>
      <w:pPr>
        <w:ind w:left="6723" w:hanging="481"/>
      </w:pPr>
      <w:rPr>
        <w:rFonts w:hint="default"/>
        <w:lang w:val="zh-CN" w:eastAsia="zh-CN" w:bidi="zh-CN"/>
      </w:rPr>
    </w:lvl>
    <w:lvl w:ilvl="7">
      <w:start w:val="0"/>
      <w:numFmt w:val="bullet"/>
      <w:lvlText w:val="•"/>
      <w:lvlJc w:val="left"/>
      <w:pPr>
        <w:ind w:left="7554" w:hanging="481"/>
      </w:pPr>
      <w:rPr>
        <w:rFonts w:hint="default"/>
        <w:lang w:val="zh-CN" w:eastAsia="zh-CN" w:bidi="zh-CN"/>
      </w:rPr>
    </w:lvl>
    <w:lvl w:ilvl="8">
      <w:start w:val="0"/>
      <w:numFmt w:val="bullet"/>
      <w:lvlText w:val="•"/>
      <w:lvlJc w:val="left"/>
      <w:pPr>
        <w:ind w:left="8385" w:hanging="481"/>
      </w:pPr>
      <w:rPr>
        <w:rFonts w:hint="default"/>
        <w:lang w:val="zh-CN" w:eastAsia="zh-CN" w:bidi="zh-CN"/>
      </w:rPr>
    </w:lvl>
  </w:abstractNum>
  <w:abstractNum w:abstractNumId="24">
    <w:multiLevelType w:val="hybridMultilevel"/>
    <w:lvl w:ilvl="0">
      <w:start w:val="1"/>
      <w:numFmt w:val="decimal"/>
      <w:lvlText w:val="（%1）"/>
      <w:lvlJc w:val="left"/>
      <w:pPr>
        <w:ind w:left="1369"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840" w:hanging="529"/>
        <w:jc w:val="left"/>
      </w:pPr>
      <w:rPr>
        <w:rFonts w:hint="default" w:ascii="宋体" w:hAnsi="宋体" w:eastAsia="宋体" w:cs="宋体"/>
        <w:w w:val="100"/>
        <w:sz w:val="19"/>
        <w:szCs w:val="19"/>
        <w:lang w:val="zh-CN" w:eastAsia="zh-CN" w:bidi="zh-CN"/>
      </w:rPr>
    </w:lvl>
    <w:lvl w:ilvl="2">
      <w:start w:val="0"/>
      <w:numFmt w:val="bullet"/>
      <w:lvlText w:val="•"/>
      <w:lvlJc w:val="left"/>
      <w:pPr>
        <w:ind w:left="2325" w:hanging="529"/>
      </w:pPr>
      <w:rPr>
        <w:rFonts w:hint="default"/>
        <w:lang w:val="zh-CN" w:eastAsia="zh-CN" w:bidi="zh-CN"/>
      </w:rPr>
    </w:lvl>
    <w:lvl w:ilvl="3">
      <w:start w:val="0"/>
      <w:numFmt w:val="bullet"/>
      <w:lvlText w:val="•"/>
      <w:lvlJc w:val="left"/>
      <w:pPr>
        <w:ind w:left="3290" w:hanging="529"/>
      </w:pPr>
      <w:rPr>
        <w:rFonts w:hint="default"/>
        <w:lang w:val="zh-CN" w:eastAsia="zh-CN" w:bidi="zh-CN"/>
      </w:rPr>
    </w:lvl>
    <w:lvl w:ilvl="4">
      <w:start w:val="0"/>
      <w:numFmt w:val="bullet"/>
      <w:lvlText w:val="•"/>
      <w:lvlJc w:val="left"/>
      <w:pPr>
        <w:ind w:left="4255" w:hanging="529"/>
      </w:pPr>
      <w:rPr>
        <w:rFonts w:hint="default"/>
        <w:lang w:val="zh-CN" w:eastAsia="zh-CN" w:bidi="zh-CN"/>
      </w:rPr>
    </w:lvl>
    <w:lvl w:ilvl="5">
      <w:start w:val="0"/>
      <w:numFmt w:val="bullet"/>
      <w:lvlText w:val="•"/>
      <w:lvlJc w:val="left"/>
      <w:pPr>
        <w:ind w:left="5220" w:hanging="529"/>
      </w:pPr>
      <w:rPr>
        <w:rFonts w:hint="default"/>
        <w:lang w:val="zh-CN" w:eastAsia="zh-CN" w:bidi="zh-CN"/>
      </w:rPr>
    </w:lvl>
    <w:lvl w:ilvl="6">
      <w:start w:val="0"/>
      <w:numFmt w:val="bullet"/>
      <w:lvlText w:val="•"/>
      <w:lvlJc w:val="left"/>
      <w:pPr>
        <w:ind w:left="6185" w:hanging="529"/>
      </w:pPr>
      <w:rPr>
        <w:rFonts w:hint="default"/>
        <w:lang w:val="zh-CN" w:eastAsia="zh-CN" w:bidi="zh-CN"/>
      </w:rPr>
    </w:lvl>
    <w:lvl w:ilvl="7">
      <w:start w:val="0"/>
      <w:numFmt w:val="bullet"/>
      <w:lvlText w:val="•"/>
      <w:lvlJc w:val="left"/>
      <w:pPr>
        <w:ind w:left="7150" w:hanging="529"/>
      </w:pPr>
      <w:rPr>
        <w:rFonts w:hint="default"/>
        <w:lang w:val="zh-CN" w:eastAsia="zh-CN" w:bidi="zh-CN"/>
      </w:rPr>
    </w:lvl>
    <w:lvl w:ilvl="8">
      <w:start w:val="0"/>
      <w:numFmt w:val="bullet"/>
      <w:lvlText w:val="•"/>
      <w:lvlJc w:val="left"/>
      <w:pPr>
        <w:ind w:left="8116" w:hanging="529"/>
      </w:pPr>
      <w:rPr>
        <w:rFonts w:hint="default"/>
        <w:lang w:val="zh-CN" w:eastAsia="zh-CN" w:bidi="zh-CN"/>
      </w:rPr>
    </w:lvl>
  </w:abstractNum>
  <w:abstractNum w:abstractNumId="23">
    <w:multiLevelType w:val="hybridMultilevel"/>
    <w:lvl w:ilvl="0">
      <w:start w:val="1"/>
      <w:numFmt w:val="lowerRoman"/>
      <w:lvlText w:val="（%1）"/>
      <w:lvlJc w:val="left"/>
      <w:pPr>
        <w:ind w:left="840" w:hanging="481"/>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760" w:hanging="481"/>
      </w:pPr>
      <w:rPr>
        <w:rFonts w:hint="default"/>
        <w:lang w:val="zh-CN" w:eastAsia="zh-CN" w:bidi="zh-CN"/>
      </w:rPr>
    </w:lvl>
    <w:lvl w:ilvl="2">
      <w:start w:val="0"/>
      <w:numFmt w:val="bullet"/>
      <w:lvlText w:val="•"/>
      <w:lvlJc w:val="left"/>
      <w:pPr>
        <w:ind w:left="2681" w:hanging="481"/>
      </w:pPr>
      <w:rPr>
        <w:rFonts w:hint="default"/>
        <w:lang w:val="zh-CN" w:eastAsia="zh-CN" w:bidi="zh-CN"/>
      </w:rPr>
    </w:lvl>
    <w:lvl w:ilvl="3">
      <w:start w:val="0"/>
      <w:numFmt w:val="bullet"/>
      <w:lvlText w:val="•"/>
      <w:lvlJc w:val="left"/>
      <w:pPr>
        <w:ind w:left="3601" w:hanging="481"/>
      </w:pPr>
      <w:rPr>
        <w:rFonts w:hint="default"/>
        <w:lang w:val="zh-CN" w:eastAsia="zh-CN" w:bidi="zh-CN"/>
      </w:rPr>
    </w:lvl>
    <w:lvl w:ilvl="4">
      <w:start w:val="0"/>
      <w:numFmt w:val="bullet"/>
      <w:lvlText w:val="•"/>
      <w:lvlJc w:val="left"/>
      <w:pPr>
        <w:ind w:left="4522" w:hanging="481"/>
      </w:pPr>
      <w:rPr>
        <w:rFonts w:hint="default"/>
        <w:lang w:val="zh-CN" w:eastAsia="zh-CN" w:bidi="zh-CN"/>
      </w:rPr>
    </w:lvl>
    <w:lvl w:ilvl="5">
      <w:start w:val="0"/>
      <w:numFmt w:val="bullet"/>
      <w:lvlText w:val="•"/>
      <w:lvlJc w:val="left"/>
      <w:pPr>
        <w:ind w:left="5443" w:hanging="481"/>
      </w:pPr>
      <w:rPr>
        <w:rFonts w:hint="default"/>
        <w:lang w:val="zh-CN" w:eastAsia="zh-CN" w:bidi="zh-CN"/>
      </w:rPr>
    </w:lvl>
    <w:lvl w:ilvl="6">
      <w:start w:val="0"/>
      <w:numFmt w:val="bullet"/>
      <w:lvlText w:val="•"/>
      <w:lvlJc w:val="left"/>
      <w:pPr>
        <w:ind w:left="6363" w:hanging="481"/>
      </w:pPr>
      <w:rPr>
        <w:rFonts w:hint="default"/>
        <w:lang w:val="zh-CN" w:eastAsia="zh-CN" w:bidi="zh-CN"/>
      </w:rPr>
    </w:lvl>
    <w:lvl w:ilvl="7">
      <w:start w:val="0"/>
      <w:numFmt w:val="bullet"/>
      <w:lvlText w:val="•"/>
      <w:lvlJc w:val="left"/>
      <w:pPr>
        <w:ind w:left="7284" w:hanging="481"/>
      </w:pPr>
      <w:rPr>
        <w:rFonts w:hint="default"/>
        <w:lang w:val="zh-CN" w:eastAsia="zh-CN" w:bidi="zh-CN"/>
      </w:rPr>
    </w:lvl>
    <w:lvl w:ilvl="8">
      <w:start w:val="0"/>
      <w:numFmt w:val="bullet"/>
      <w:lvlText w:val="•"/>
      <w:lvlJc w:val="left"/>
      <w:pPr>
        <w:ind w:left="8205" w:hanging="481"/>
      </w:pPr>
      <w:rPr>
        <w:rFonts w:hint="default"/>
        <w:lang w:val="zh-CN" w:eastAsia="zh-CN" w:bidi="zh-CN"/>
      </w:rPr>
    </w:lvl>
  </w:abstractNum>
  <w:abstractNum w:abstractNumId="22">
    <w:multiLevelType w:val="hybridMultilevel"/>
    <w:lvl w:ilvl="0">
      <w:start w:val="1"/>
      <w:numFmt w:val="decimal"/>
      <w:lvlText w:val="（%1）"/>
      <w:lvlJc w:val="left"/>
      <w:pPr>
        <w:ind w:left="1369"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1681" w:hanging="481"/>
        <w:jc w:val="left"/>
      </w:pPr>
      <w:rPr>
        <w:rFonts w:hint="default" w:ascii="宋体" w:hAnsi="宋体" w:eastAsia="宋体" w:cs="宋体"/>
        <w:spacing w:val="-2"/>
        <w:w w:val="100"/>
        <w:sz w:val="19"/>
        <w:szCs w:val="19"/>
        <w:lang w:val="zh-CN" w:eastAsia="zh-CN" w:bidi="zh-CN"/>
      </w:rPr>
    </w:lvl>
    <w:lvl w:ilvl="2">
      <w:start w:val="0"/>
      <w:numFmt w:val="bullet"/>
      <w:lvlText w:val="•"/>
      <w:lvlJc w:val="left"/>
      <w:pPr>
        <w:ind w:left="2609" w:hanging="481"/>
      </w:pPr>
      <w:rPr>
        <w:rFonts w:hint="default"/>
        <w:lang w:val="zh-CN" w:eastAsia="zh-CN" w:bidi="zh-CN"/>
      </w:rPr>
    </w:lvl>
    <w:lvl w:ilvl="3">
      <w:start w:val="0"/>
      <w:numFmt w:val="bullet"/>
      <w:lvlText w:val="•"/>
      <w:lvlJc w:val="left"/>
      <w:pPr>
        <w:ind w:left="3539" w:hanging="481"/>
      </w:pPr>
      <w:rPr>
        <w:rFonts w:hint="default"/>
        <w:lang w:val="zh-CN" w:eastAsia="zh-CN" w:bidi="zh-CN"/>
      </w:rPr>
    </w:lvl>
    <w:lvl w:ilvl="4">
      <w:start w:val="0"/>
      <w:numFmt w:val="bullet"/>
      <w:lvlText w:val="•"/>
      <w:lvlJc w:val="left"/>
      <w:pPr>
        <w:ind w:left="4468" w:hanging="481"/>
      </w:pPr>
      <w:rPr>
        <w:rFonts w:hint="default"/>
        <w:lang w:val="zh-CN" w:eastAsia="zh-CN" w:bidi="zh-CN"/>
      </w:rPr>
    </w:lvl>
    <w:lvl w:ilvl="5">
      <w:start w:val="0"/>
      <w:numFmt w:val="bullet"/>
      <w:lvlText w:val="•"/>
      <w:lvlJc w:val="left"/>
      <w:pPr>
        <w:ind w:left="5398" w:hanging="481"/>
      </w:pPr>
      <w:rPr>
        <w:rFonts w:hint="default"/>
        <w:lang w:val="zh-CN" w:eastAsia="zh-CN" w:bidi="zh-CN"/>
      </w:rPr>
    </w:lvl>
    <w:lvl w:ilvl="6">
      <w:start w:val="0"/>
      <w:numFmt w:val="bullet"/>
      <w:lvlText w:val="•"/>
      <w:lvlJc w:val="left"/>
      <w:pPr>
        <w:ind w:left="6328" w:hanging="481"/>
      </w:pPr>
      <w:rPr>
        <w:rFonts w:hint="default"/>
        <w:lang w:val="zh-CN" w:eastAsia="zh-CN" w:bidi="zh-CN"/>
      </w:rPr>
    </w:lvl>
    <w:lvl w:ilvl="7">
      <w:start w:val="0"/>
      <w:numFmt w:val="bullet"/>
      <w:lvlText w:val="•"/>
      <w:lvlJc w:val="left"/>
      <w:pPr>
        <w:ind w:left="7257" w:hanging="481"/>
      </w:pPr>
      <w:rPr>
        <w:rFonts w:hint="default"/>
        <w:lang w:val="zh-CN" w:eastAsia="zh-CN" w:bidi="zh-CN"/>
      </w:rPr>
    </w:lvl>
    <w:lvl w:ilvl="8">
      <w:start w:val="0"/>
      <w:numFmt w:val="bullet"/>
      <w:lvlText w:val="•"/>
      <w:lvlJc w:val="left"/>
      <w:pPr>
        <w:ind w:left="8187" w:hanging="481"/>
      </w:pPr>
      <w:rPr>
        <w:rFonts w:hint="default"/>
        <w:lang w:val="zh-CN" w:eastAsia="zh-CN" w:bidi="zh-CN"/>
      </w:rPr>
    </w:lvl>
  </w:abstractNum>
  <w:abstractNum w:abstractNumId="21">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20">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19">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18">
    <w:multiLevelType w:val="hybridMultilevel"/>
    <w:lvl w:ilvl="0">
      <w:start w:val="1"/>
      <w:numFmt w:val="decimal"/>
      <w:lvlText w:val="（%1）"/>
      <w:lvlJc w:val="left"/>
      <w:pPr>
        <w:ind w:left="1369" w:hanging="529"/>
        <w:jc w:val="left"/>
      </w:pPr>
      <w:rPr>
        <w:rFonts w:hint="default" w:ascii="宋体" w:hAnsi="宋体" w:eastAsia="宋体" w:cs="宋体"/>
        <w:spacing w:val="-3"/>
        <w:w w:val="100"/>
        <w:sz w:val="19"/>
        <w:szCs w:val="19"/>
        <w:lang w:val="zh-CN" w:eastAsia="zh-CN" w:bidi="zh-CN"/>
      </w:rPr>
    </w:lvl>
    <w:lvl w:ilvl="1">
      <w:start w:val="1"/>
      <w:numFmt w:val="lowerRoman"/>
      <w:lvlText w:val="（%2）"/>
      <w:lvlJc w:val="left"/>
      <w:pPr>
        <w:ind w:left="1741" w:hanging="481"/>
        <w:jc w:val="left"/>
      </w:pPr>
      <w:rPr>
        <w:rFonts w:hint="default" w:ascii="宋体" w:hAnsi="宋体" w:eastAsia="宋体" w:cs="宋体"/>
        <w:spacing w:val="-2"/>
        <w:w w:val="100"/>
        <w:sz w:val="19"/>
        <w:szCs w:val="19"/>
        <w:lang w:val="zh-CN" w:eastAsia="zh-CN" w:bidi="zh-CN"/>
      </w:rPr>
    </w:lvl>
    <w:lvl w:ilvl="2">
      <w:start w:val="0"/>
      <w:numFmt w:val="bullet"/>
      <w:lvlText w:val="•"/>
      <w:lvlJc w:val="left"/>
      <w:pPr>
        <w:ind w:left="2662" w:hanging="481"/>
      </w:pPr>
      <w:rPr>
        <w:rFonts w:hint="default"/>
        <w:lang w:val="zh-CN" w:eastAsia="zh-CN" w:bidi="zh-CN"/>
      </w:rPr>
    </w:lvl>
    <w:lvl w:ilvl="3">
      <w:start w:val="0"/>
      <w:numFmt w:val="bullet"/>
      <w:lvlText w:val="•"/>
      <w:lvlJc w:val="left"/>
      <w:pPr>
        <w:ind w:left="3585" w:hanging="481"/>
      </w:pPr>
      <w:rPr>
        <w:rFonts w:hint="default"/>
        <w:lang w:val="zh-CN" w:eastAsia="zh-CN" w:bidi="zh-CN"/>
      </w:rPr>
    </w:lvl>
    <w:lvl w:ilvl="4">
      <w:start w:val="0"/>
      <w:numFmt w:val="bullet"/>
      <w:lvlText w:val="•"/>
      <w:lvlJc w:val="left"/>
      <w:pPr>
        <w:ind w:left="4508" w:hanging="481"/>
      </w:pPr>
      <w:rPr>
        <w:rFonts w:hint="default"/>
        <w:lang w:val="zh-CN" w:eastAsia="zh-CN" w:bidi="zh-CN"/>
      </w:rPr>
    </w:lvl>
    <w:lvl w:ilvl="5">
      <w:start w:val="0"/>
      <w:numFmt w:val="bullet"/>
      <w:lvlText w:val="•"/>
      <w:lvlJc w:val="left"/>
      <w:pPr>
        <w:ind w:left="5431" w:hanging="481"/>
      </w:pPr>
      <w:rPr>
        <w:rFonts w:hint="default"/>
        <w:lang w:val="zh-CN" w:eastAsia="zh-CN" w:bidi="zh-CN"/>
      </w:rPr>
    </w:lvl>
    <w:lvl w:ilvl="6">
      <w:start w:val="0"/>
      <w:numFmt w:val="bullet"/>
      <w:lvlText w:val="•"/>
      <w:lvlJc w:val="left"/>
      <w:pPr>
        <w:ind w:left="6354" w:hanging="481"/>
      </w:pPr>
      <w:rPr>
        <w:rFonts w:hint="default"/>
        <w:lang w:val="zh-CN" w:eastAsia="zh-CN" w:bidi="zh-CN"/>
      </w:rPr>
    </w:lvl>
    <w:lvl w:ilvl="7">
      <w:start w:val="0"/>
      <w:numFmt w:val="bullet"/>
      <w:lvlText w:val="•"/>
      <w:lvlJc w:val="left"/>
      <w:pPr>
        <w:ind w:left="7277" w:hanging="481"/>
      </w:pPr>
      <w:rPr>
        <w:rFonts w:hint="default"/>
        <w:lang w:val="zh-CN" w:eastAsia="zh-CN" w:bidi="zh-CN"/>
      </w:rPr>
    </w:lvl>
    <w:lvl w:ilvl="8">
      <w:start w:val="0"/>
      <w:numFmt w:val="bullet"/>
      <w:lvlText w:val="•"/>
      <w:lvlJc w:val="left"/>
      <w:pPr>
        <w:ind w:left="8200" w:hanging="481"/>
      </w:pPr>
      <w:rPr>
        <w:rFonts w:hint="default"/>
        <w:lang w:val="zh-CN" w:eastAsia="zh-CN" w:bidi="zh-CN"/>
      </w:rPr>
    </w:lvl>
  </w:abstractNum>
  <w:abstractNum w:abstractNumId="17">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16">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15">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14">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13">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12">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11">
    <w:multiLevelType w:val="hybridMultilevel"/>
    <w:lvl w:ilvl="0">
      <w:start w:val="1"/>
      <w:numFmt w:val="lowerRoman"/>
      <w:lvlText w:val="（%1）"/>
      <w:lvlJc w:val="left"/>
      <w:pPr>
        <w:ind w:left="1741" w:hanging="481"/>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2570" w:hanging="481"/>
      </w:pPr>
      <w:rPr>
        <w:rFonts w:hint="default"/>
        <w:lang w:val="zh-CN" w:eastAsia="zh-CN" w:bidi="zh-CN"/>
      </w:rPr>
    </w:lvl>
    <w:lvl w:ilvl="2">
      <w:start w:val="0"/>
      <w:numFmt w:val="bullet"/>
      <w:lvlText w:val="•"/>
      <w:lvlJc w:val="left"/>
      <w:pPr>
        <w:ind w:left="3401" w:hanging="481"/>
      </w:pPr>
      <w:rPr>
        <w:rFonts w:hint="default"/>
        <w:lang w:val="zh-CN" w:eastAsia="zh-CN" w:bidi="zh-CN"/>
      </w:rPr>
    </w:lvl>
    <w:lvl w:ilvl="3">
      <w:start w:val="0"/>
      <w:numFmt w:val="bullet"/>
      <w:lvlText w:val="•"/>
      <w:lvlJc w:val="left"/>
      <w:pPr>
        <w:ind w:left="4231" w:hanging="481"/>
      </w:pPr>
      <w:rPr>
        <w:rFonts w:hint="default"/>
        <w:lang w:val="zh-CN" w:eastAsia="zh-CN" w:bidi="zh-CN"/>
      </w:rPr>
    </w:lvl>
    <w:lvl w:ilvl="4">
      <w:start w:val="0"/>
      <w:numFmt w:val="bullet"/>
      <w:lvlText w:val="•"/>
      <w:lvlJc w:val="left"/>
      <w:pPr>
        <w:ind w:left="5062" w:hanging="481"/>
      </w:pPr>
      <w:rPr>
        <w:rFonts w:hint="default"/>
        <w:lang w:val="zh-CN" w:eastAsia="zh-CN" w:bidi="zh-CN"/>
      </w:rPr>
    </w:lvl>
    <w:lvl w:ilvl="5">
      <w:start w:val="0"/>
      <w:numFmt w:val="bullet"/>
      <w:lvlText w:val="•"/>
      <w:lvlJc w:val="left"/>
      <w:pPr>
        <w:ind w:left="5893" w:hanging="481"/>
      </w:pPr>
      <w:rPr>
        <w:rFonts w:hint="default"/>
        <w:lang w:val="zh-CN" w:eastAsia="zh-CN" w:bidi="zh-CN"/>
      </w:rPr>
    </w:lvl>
    <w:lvl w:ilvl="6">
      <w:start w:val="0"/>
      <w:numFmt w:val="bullet"/>
      <w:lvlText w:val="•"/>
      <w:lvlJc w:val="left"/>
      <w:pPr>
        <w:ind w:left="6723" w:hanging="481"/>
      </w:pPr>
      <w:rPr>
        <w:rFonts w:hint="default"/>
        <w:lang w:val="zh-CN" w:eastAsia="zh-CN" w:bidi="zh-CN"/>
      </w:rPr>
    </w:lvl>
    <w:lvl w:ilvl="7">
      <w:start w:val="0"/>
      <w:numFmt w:val="bullet"/>
      <w:lvlText w:val="•"/>
      <w:lvlJc w:val="left"/>
      <w:pPr>
        <w:ind w:left="7554" w:hanging="481"/>
      </w:pPr>
      <w:rPr>
        <w:rFonts w:hint="default"/>
        <w:lang w:val="zh-CN" w:eastAsia="zh-CN" w:bidi="zh-CN"/>
      </w:rPr>
    </w:lvl>
    <w:lvl w:ilvl="8">
      <w:start w:val="0"/>
      <w:numFmt w:val="bullet"/>
      <w:lvlText w:val="•"/>
      <w:lvlJc w:val="left"/>
      <w:pPr>
        <w:ind w:left="8385" w:hanging="481"/>
      </w:pPr>
      <w:rPr>
        <w:rFonts w:hint="default"/>
        <w:lang w:val="zh-CN" w:eastAsia="zh-CN" w:bidi="zh-CN"/>
      </w:rPr>
    </w:lvl>
  </w:abstractNum>
  <w:abstractNum w:abstractNumId="10">
    <w:multiLevelType w:val="hybridMultilevel"/>
    <w:lvl w:ilvl="0">
      <w:start w:val="1"/>
      <w:numFmt w:val="lowerRoman"/>
      <w:lvlText w:val="（%1）"/>
      <w:lvlJc w:val="left"/>
      <w:pPr>
        <w:ind w:left="840" w:hanging="484"/>
        <w:jc w:val="left"/>
      </w:pPr>
      <w:rPr>
        <w:rFonts w:hint="default" w:ascii="宋体" w:hAnsi="宋体" w:eastAsia="宋体" w:cs="宋体"/>
        <w:spacing w:val="-2"/>
        <w:w w:val="100"/>
        <w:sz w:val="19"/>
        <w:szCs w:val="19"/>
        <w:lang w:val="zh-CN" w:eastAsia="zh-CN" w:bidi="zh-CN"/>
      </w:rPr>
    </w:lvl>
    <w:lvl w:ilvl="1">
      <w:start w:val="0"/>
      <w:numFmt w:val="bullet"/>
      <w:lvlText w:val="•"/>
      <w:lvlJc w:val="left"/>
      <w:pPr>
        <w:ind w:left="1760" w:hanging="484"/>
      </w:pPr>
      <w:rPr>
        <w:rFonts w:hint="default"/>
        <w:lang w:val="zh-CN" w:eastAsia="zh-CN" w:bidi="zh-CN"/>
      </w:rPr>
    </w:lvl>
    <w:lvl w:ilvl="2">
      <w:start w:val="0"/>
      <w:numFmt w:val="bullet"/>
      <w:lvlText w:val="•"/>
      <w:lvlJc w:val="left"/>
      <w:pPr>
        <w:ind w:left="2681" w:hanging="484"/>
      </w:pPr>
      <w:rPr>
        <w:rFonts w:hint="default"/>
        <w:lang w:val="zh-CN" w:eastAsia="zh-CN" w:bidi="zh-CN"/>
      </w:rPr>
    </w:lvl>
    <w:lvl w:ilvl="3">
      <w:start w:val="0"/>
      <w:numFmt w:val="bullet"/>
      <w:lvlText w:val="•"/>
      <w:lvlJc w:val="left"/>
      <w:pPr>
        <w:ind w:left="3601" w:hanging="484"/>
      </w:pPr>
      <w:rPr>
        <w:rFonts w:hint="default"/>
        <w:lang w:val="zh-CN" w:eastAsia="zh-CN" w:bidi="zh-CN"/>
      </w:rPr>
    </w:lvl>
    <w:lvl w:ilvl="4">
      <w:start w:val="0"/>
      <w:numFmt w:val="bullet"/>
      <w:lvlText w:val="•"/>
      <w:lvlJc w:val="left"/>
      <w:pPr>
        <w:ind w:left="4522" w:hanging="484"/>
      </w:pPr>
      <w:rPr>
        <w:rFonts w:hint="default"/>
        <w:lang w:val="zh-CN" w:eastAsia="zh-CN" w:bidi="zh-CN"/>
      </w:rPr>
    </w:lvl>
    <w:lvl w:ilvl="5">
      <w:start w:val="0"/>
      <w:numFmt w:val="bullet"/>
      <w:lvlText w:val="•"/>
      <w:lvlJc w:val="left"/>
      <w:pPr>
        <w:ind w:left="5443" w:hanging="484"/>
      </w:pPr>
      <w:rPr>
        <w:rFonts w:hint="default"/>
        <w:lang w:val="zh-CN" w:eastAsia="zh-CN" w:bidi="zh-CN"/>
      </w:rPr>
    </w:lvl>
    <w:lvl w:ilvl="6">
      <w:start w:val="0"/>
      <w:numFmt w:val="bullet"/>
      <w:lvlText w:val="•"/>
      <w:lvlJc w:val="left"/>
      <w:pPr>
        <w:ind w:left="6363" w:hanging="484"/>
      </w:pPr>
      <w:rPr>
        <w:rFonts w:hint="default"/>
        <w:lang w:val="zh-CN" w:eastAsia="zh-CN" w:bidi="zh-CN"/>
      </w:rPr>
    </w:lvl>
    <w:lvl w:ilvl="7">
      <w:start w:val="0"/>
      <w:numFmt w:val="bullet"/>
      <w:lvlText w:val="•"/>
      <w:lvlJc w:val="left"/>
      <w:pPr>
        <w:ind w:left="7284" w:hanging="484"/>
      </w:pPr>
      <w:rPr>
        <w:rFonts w:hint="default"/>
        <w:lang w:val="zh-CN" w:eastAsia="zh-CN" w:bidi="zh-CN"/>
      </w:rPr>
    </w:lvl>
    <w:lvl w:ilvl="8">
      <w:start w:val="0"/>
      <w:numFmt w:val="bullet"/>
      <w:lvlText w:val="•"/>
      <w:lvlJc w:val="left"/>
      <w:pPr>
        <w:ind w:left="8205" w:hanging="484"/>
      </w:pPr>
      <w:rPr>
        <w:rFonts w:hint="default"/>
        <w:lang w:val="zh-CN" w:eastAsia="zh-CN" w:bidi="zh-CN"/>
      </w:rPr>
    </w:lvl>
  </w:abstractNum>
  <w:abstractNum w:abstractNumId="9">
    <w:multiLevelType w:val="hybridMultilevel"/>
    <w:lvl w:ilvl="0">
      <w:start w:val="1"/>
      <w:numFmt w:val="lowerRoman"/>
      <w:lvlText w:val="（%1）"/>
      <w:lvlJc w:val="left"/>
      <w:pPr>
        <w:ind w:left="840" w:hanging="484"/>
        <w:jc w:val="right"/>
      </w:pPr>
      <w:rPr>
        <w:rFonts w:hint="default" w:ascii="宋体" w:hAnsi="宋体" w:eastAsia="宋体" w:cs="宋体"/>
        <w:spacing w:val="-2"/>
        <w:w w:val="100"/>
        <w:sz w:val="19"/>
        <w:szCs w:val="19"/>
        <w:lang w:val="zh-CN" w:eastAsia="zh-CN" w:bidi="zh-CN"/>
      </w:rPr>
    </w:lvl>
    <w:lvl w:ilvl="1">
      <w:start w:val="0"/>
      <w:numFmt w:val="bullet"/>
      <w:lvlText w:val="•"/>
      <w:lvlJc w:val="left"/>
      <w:pPr>
        <w:ind w:left="1760" w:hanging="484"/>
      </w:pPr>
      <w:rPr>
        <w:rFonts w:hint="default"/>
        <w:lang w:val="zh-CN" w:eastAsia="zh-CN" w:bidi="zh-CN"/>
      </w:rPr>
    </w:lvl>
    <w:lvl w:ilvl="2">
      <w:start w:val="0"/>
      <w:numFmt w:val="bullet"/>
      <w:lvlText w:val="•"/>
      <w:lvlJc w:val="left"/>
      <w:pPr>
        <w:ind w:left="2681" w:hanging="484"/>
      </w:pPr>
      <w:rPr>
        <w:rFonts w:hint="default"/>
        <w:lang w:val="zh-CN" w:eastAsia="zh-CN" w:bidi="zh-CN"/>
      </w:rPr>
    </w:lvl>
    <w:lvl w:ilvl="3">
      <w:start w:val="0"/>
      <w:numFmt w:val="bullet"/>
      <w:lvlText w:val="•"/>
      <w:lvlJc w:val="left"/>
      <w:pPr>
        <w:ind w:left="3601" w:hanging="484"/>
      </w:pPr>
      <w:rPr>
        <w:rFonts w:hint="default"/>
        <w:lang w:val="zh-CN" w:eastAsia="zh-CN" w:bidi="zh-CN"/>
      </w:rPr>
    </w:lvl>
    <w:lvl w:ilvl="4">
      <w:start w:val="0"/>
      <w:numFmt w:val="bullet"/>
      <w:lvlText w:val="•"/>
      <w:lvlJc w:val="left"/>
      <w:pPr>
        <w:ind w:left="4522" w:hanging="484"/>
      </w:pPr>
      <w:rPr>
        <w:rFonts w:hint="default"/>
        <w:lang w:val="zh-CN" w:eastAsia="zh-CN" w:bidi="zh-CN"/>
      </w:rPr>
    </w:lvl>
    <w:lvl w:ilvl="5">
      <w:start w:val="0"/>
      <w:numFmt w:val="bullet"/>
      <w:lvlText w:val="•"/>
      <w:lvlJc w:val="left"/>
      <w:pPr>
        <w:ind w:left="5443" w:hanging="484"/>
      </w:pPr>
      <w:rPr>
        <w:rFonts w:hint="default"/>
        <w:lang w:val="zh-CN" w:eastAsia="zh-CN" w:bidi="zh-CN"/>
      </w:rPr>
    </w:lvl>
    <w:lvl w:ilvl="6">
      <w:start w:val="0"/>
      <w:numFmt w:val="bullet"/>
      <w:lvlText w:val="•"/>
      <w:lvlJc w:val="left"/>
      <w:pPr>
        <w:ind w:left="6363" w:hanging="484"/>
      </w:pPr>
      <w:rPr>
        <w:rFonts w:hint="default"/>
        <w:lang w:val="zh-CN" w:eastAsia="zh-CN" w:bidi="zh-CN"/>
      </w:rPr>
    </w:lvl>
    <w:lvl w:ilvl="7">
      <w:start w:val="0"/>
      <w:numFmt w:val="bullet"/>
      <w:lvlText w:val="•"/>
      <w:lvlJc w:val="left"/>
      <w:pPr>
        <w:ind w:left="7284" w:hanging="484"/>
      </w:pPr>
      <w:rPr>
        <w:rFonts w:hint="default"/>
        <w:lang w:val="zh-CN" w:eastAsia="zh-CN" w:bidi="zh-CN"/>
      </w:rPr>
    </w:lvl>
    <w:lvl w:ilvl="8">
      <w:start w:val="0"/>
      <w:numFmt w:val="bullet"/>
      <w:lvlText w:val="•"/>
      <w:lvlJc w:val="left"/>
      <w:pPr>
        <w:ind w:left="8205" w:hanging="484"/>
      </w:pPr>
      <w:rPr>
        <w:rFonts w:hint="default"/>
        <w:lang w:val="zh-CN" w:eastAsia="zh-CN" w:bidi="zh-CN"/>
      </w:rPr>
    </w:lvl>
  </w:abstractNum>
  <w:abstractNum w:abstractNumId="8">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7">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6">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5">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4">
    <w:multiLevelType w:val="hybridMultilevel"/>
    <w:lvl w:ilvl="0">
      <w:start w:val="1"/>
      <w:numFmt w:val="decimal"/>
      <w:lvlText w:val="（%1）"/>
      <w:lvlJc w:val="left"/>
      <w:pPr>
        <w:ind w:left="8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760" w:hanging="529"/>
      </w:pPr>
      <w:rPr>
        <w:rFonts w:hint="default"/>
        <w:lang w:val="zh-CN" w:eastAsia="zh-CN" w:bidi="zh-CN"/>
      </w:rPr>
    </w:lvl>
    <w:lvl w:ilvl="2">
      <w:start w:val="0"/>
      <w:numFmt w:val="bullet"/>
      <w:lvlText w:val="•"/>
      <w:lvlJc w:val="left"/>
      <w:pPr>
        <w:ind w:left="2681" w:hanging="529"/>
      </w:pPr>
      <w:rPr>
        <w:rFonts w:hint="default"/>
        <w:lang w:val="zh-CN" w:eastAsia="zh-CN" w:bidi="zh-CN"/>
      </w:rPr>
    </w:lvl>
    <w:lvl w:ilvl="3">
      <w:start w:val="0"/>
      <w:numFmt w:val="bullet"/>
      <w:lvlText w:val="•"/>
      <w:lvlJc w:val="left"/>
      <w:pPr>
        <w:ind w:left="3601" w:hanging="529"/>
      </w:pPr>
      <w:rPr>
        <w:rFonts w:hint="default"/>
        <w:lang w:val="zh-CN" w:eastAsia="zh-CN" w:bidi="zh-CN"/>
      </w:rPr>
    </w:lvl>
    <w:lvl w:ilvl="4">
      <w:start w:val="0"/>
      <w:numFmt w:val="bullet"/>
      <w:lvlText w:val="•"/>
      <w:lvlJc w:val="left"/>
      <w:pPr>
        <w:ind w:left="4522" w:hanging="529"/>
      </w:pPr>
      <w:rPr>
        <w:rFonts w:hint="default"/>
        <w:lang w:val="zh-CN" w:eastAsia="zh-CN" w:bidi="zh-CN"/>
      </w:rPr>
    </w:lvl>
    <w:lvl w:ilvl="5">
      <w:start w:val="0"/>
      <w:numFmt w:val="bullet"/>
      <w:lvlText w:val="•"/>
      <w:lvlJc w:val="left"/>
      <w:pPr>
        <w:ind w:left="544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84" w:hanging="529"/>
      </w:pPr>
      <w:rPr>
        <w:rFonts w:hint="default"/>
        <w:lang w:val="zh-CN" w:eastAsia="zh-CN" w:bidi="zh-CN"/>
      </w:rPr>
    </w:lvl>
    <w:lvl w:ilvl="8">
      <w:start w:val="0"/>
      <w:numFmt w:val="bullet"/>
      <w:lvlText w:val="•"/>
      <w:lvlJc w:val="left"/>
      <w:pPr>
        <w:ind w:left="8205" w:hanging="529"/>
      </w:pPr>
      <w:rPr>
        <w:rFonts w:hint="default"/>
        <w:lang w:val="zh-CN" w:eastAsia="zh-CN" w:bidi="zh-CN"/>
      </w:rPr>
    </w:lvl>
  </w:abstractNum>
  <w:abstractNum w:abstractNumId="3">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2">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1">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abstractNum w:abstractNumId="0">
    <w:multiLevelType w:val="hybridMultilevel"/>
    <w:lvl w:ilvl="0">
      <w:start w:val="1"/>
      <w:numFmt w:val="decimal"/>
      <w:lvlText w:val="（%1）"/>
      <w:lvlJc w:val="left"/>
      <w:pPr>
        <w:ind w:left="17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606" w:hanging="529"/>
      </w:pPr>
      <w:rPr>
        <w:rFonts w:hint="default"/>
        <w:lang w:val="zh-CN" w:eastAsia="zh-CN" w:bidi="zh-CN"/>
      </w:rPr>
    </w:lvl>
    <w:lvl w:ilvl="2">
      <w:start w:val="0"/>
      <w:numFmt w:val="bullet"/>
      <w:lvlText w:val="•"/>
      <w:lvlJc w:val="left"/>
      <w:pPr>
        <w:ind w:left="3433" w:hanging="529"/>
      </w:pPr>
      <w:rPr>
        <w:rFonts w:hint="default"/>
        <w:lang w:val="zh-CN" w:eastAsia="zh-CN" w:bidi="zh-CN"/>
      </w:rPr>
    </w:lvl>
    <w:lvl w:ilvl="3">
      <w:start w:val="0"/>
      <w:numFmt w:val="bullet"/>
      <w:lvlText w:val="•"/>
      <w:lvlJc w:val="left"/>
      <w:pPr>
        <w:ind w:left="4259" w:hanging="529"/>
      </w:pPr>
      <w:rPr>
        <w:rFonts w:hint="default"/>
        <w:lang w:val="zh-CN" w:eastAsia="zh-CN" w:bidi="zh-CN"/>
      </w:rPr>
    </w:lvl>
    <w:lvl w:ilvl="4">
      <w:start w:val="0"/>
      <w:numFmt w:val="bullet"/>
      <w:lvlText w:val="•"/>
      <w:lvlJc w:val="left"/>
      <w:pPr>
        <w:ind w:left="5086" w:hanging="529"/>
      </w:pPr>
      <w:rPr>
        <w:rFonts w:hint="default"/>
        <w:lang w:val="zh-CN" w:eastAsia="zh-CN" w:bidi="zh-CN"/>
      </w:rPr>
    </w:lvl>
    <w:lvl w:ilvl="5">
      <w:start w:val="0"/>
      <w:numFmt w:val="bullet"/>
      <w:lvlText w:val="•"/>
      <w:lvlJc w:val="left"/>
      <w:pPr>
        <w:ind w:left="5913" w:hanging="529"/>
      </w:pPr>
      <w:rPr>
        <w:rFonts w:hint="default"/>
        <w:lang w:val="zh-CN" w:eastAsia="zh-CN" w:bidi="zh-CN"/>
      </w:rPr>
    </w:lvl>
    <w:lvl w:ilvl="6">
      <w:start w:val="0"/>
      <w:numFmt w:val="bullet"/>
      <w:lvlText w:val="•"/>
      <w:lvlJc w:val="left"/>
      <w:pPr>
        <w:ind w:left="6739" w:hanging="529"/>
      </w:pPr>
      <w:rPr>
        <w:rFonts w:hint="default"/>
        <w:lang w:val="zh-CN" w:eastAsia="zh-CN" w:bidi="zh-CN"/>
      </w:rPr>
    </w:lvl>
    <w:lvl w:ilvl="7">
      <w:start w:val="0"/>
      <w:numFmt w:val="bullet"/>
      <w:lvlText w:val="•"/>
      <w:lvlJc w:val="left"/>
      <w:pPr>
        <w:ind w:left="7566" w:hanging="529"/>
      </w:pPr>
      <w:rPr>
        <w:rFonts w:hint="default"/>
        <w:lang w:val="zh-CN" w:eastAsia="zh-CN" w:bidi="zh-CN"/>
      </w:rPr>
    </w:lvl>
    <w:lvl w:ilvl="8">
      <w:start w:val="0"/>
      <w:numFmt w:val="bullet"/>
      <w:lvlText w:val="•"/>
      <w:lvlJc w:val="left"/>
      <w:pPr>
        <w:ind w:left="8393" w:hanging="529"/>
      </w:pPr>
      <w:rPr>
        <w:rFonts w:hint="default"/>
        <w:lang w:val="zh-CN" w:eastAsia="zh-CN" w:bidi="zh-CN"/>
      </w:rPr>
    </w:lvl>
  </w:abstractNum>
  <w:num w:numId="54">
    <w:abstractNumId w:val="53"/>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6"/>
      <w:ind w:left="840"/>
    </w:pPr>
    <w:rPr>
      <w:rFonts w:ascii="黑体" w:hAnsi="黑体" w:eastAsia="黑体" w:cs="黑体"/>
      <w:b/>
      <w:bCs/>
      <w:sz w:val="20"/>
      <w:szCs w:val="20"/>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55"/>
      <w:ind w:left="1298" w:right="1357"/>
      <w:jc w:val="center"/>
      <w:outlineLvl w:val="1"/>
    </w:pPr>
    <w:rPr>
      <w:rFonts w:ascii="黑体" w:hAnsi="黑体" w:eastAsia="黑体" w:cs="黑体"/>
      <w:b/>
      <w:bCs/>
      <w:sz w:val="32"/>
      <w:szCs w:val="32"/>
      <w:lang w:val="zh-CN" w:eastAsia="zh-CN" w:bidi="zh-CN"/>
    </w:rPr>
  </w:style>
  <w:style w:styleId="Heading2" w:type="paragraph">
    <w:name w:val="Heading 2"/>
    <w:basedOn w:val="Normal"/>
    <w:uiPriority w:val="1"/>
    <w:qFormat/>
    <w:pPr>
      <w:spacing w:before="95"/>
      <w:ind w:left="1298" w:right="1354" w:hanging="293"/>
      <w:outlineLvl w:val="2"/>
    </w:pPr>
    <w:rPr>
      <w:rFonts w:ascii="黑体" w:hAnsi="黑体" w:eastAsia="黑体" w:cs="黑体"/>
      <w:b/>
      <w:bCs/>
      <w:sz w:val="28"/>
      <w:szCs w:val="28"/>
      <w:lang w:val="zh-CN" w:eastAsia="zh-CN" w:bidi="zh-CN"/>
    </w:rPr>
  </w:style>
  <w:style w:styleId="Heading3" w:type="paragraph">
    <w:name w:val="Heading 3"/>
    <w:basedOn w:val="Normal"/>
    <w:uiPriority w:val="1"/>
    <w:qFormat/>
    <w:pPr>
      <w:ind w:left="1104" w:hanging="265"/>
      <w:outlineLvl w:val="3"/>
    </w:pPr>
    <w:rPr>
      <w:rFonts w:ascii="宋体" w:hAnsi="宋体" w:eastAsia="宋体" w:cs="宋体"/>
      <w:b/>
      <w:bCs/>
      <w:sz w:val="24"/>
      <w:szCs w:val="24"/>
      <w:lang w:val="zh-CN" w:eastAsia="zh-CN" w:bidi="zh-CN"/>
    </w:rPr>
  </w:style>
  <w:style w:styleId="Heading4" w:type="paragraph">
    <w:name w:val="Heading 4"/>
    <w:basedOn w:val="Normal"/>
    <w:uiPriority w:val="1"/>
    <w:qFormat/>
    <w:pPr>
      <w:ind w:left="840"/>
      <w:outlineLvl w:val="4"/>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840" w:hanging="53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gwfmc.com/" TargetMode="External"/><Relationship Id="rId8" Type="http://schemas.openxmlformats.org/officeDocument/2006/relationships/hyperlink" Target="http://www.icbc.com.cn/" TargetMode="External"/><Relationship Id="rId9" Type="http://schemas.openxmlformats.org/officeDocument/2006/relationships/hyperlink" Target="http://www.abchina.com/" TargetMode="External"/><Relationship Id="rId10" Type="http://schemas.openxmlformats.org/officeDocument/2006/relationships/hyperlink" Target="http://www.boc.cn/" TargetMode="External"/><Relationship Id="rId11" Type="http://schemas.openxmlformats.org/officeDocument/2006/relationships/hyperlink" Target="http://www.ccb.com/" TargetMode="External"/><Relationship Id="rId12" Type="http://schemas.openxmlformats.org/officeDocument/2006/relationships/hyperlink" Target="http://www.bankcomm.com/" TargetMode="External"/><Relationship Id="rId13" Type="http://schemas.openxmlformats.org/officeDocument/2006/relationships/hyperlink" Target="http://www.cmbchina.com/" TargetMode="External"/><Relationship Id="rId14" Type="http://schemas.openxmlformats.org/officeDocument/2006/relationships/hyperlink" Target="http://www.cgbchina.com.cn/" TargetMode="External"/><Relationship Id="rId15" Type="http://schemas.openxmlformats.org/officeDocument/2006/relationships/hyperlink" Target="http://www.spdb.com.cn/" TargetMode="External"/><Relationship Id="rId16" Type="http://schemas.openxmlformats.org/officeDocument/2006/relationships/hyperlink" Target="http://www.cib.com.cn/" TargetMode="External"/><Relationship Id="rId17" Type="http://schemas.openxmlformats.org/officeDocument/2006/relationships/hyperlink" Target="http://www.cebbank.com/" TargetMode="External"/><Relationship Id="rId18" Type="http://schemas.openxmlformats.org/officeDocument/2006/relationships/hyperlink" Target="http://www.cmbc.com.cn/" TargetMode="External"/><Relationship Id="rId19" Type="http://schemas.openxmlformats.org/officeDocument/2006/relationships/hyperlink" Target="http://www.bankofbeijing.com.cn/" TargetMode="External"/><Relationship Id="rId20" Type="http://schemas.openxmlformats.org/officeDocument/2006/relationships/hyperlink" Target="http://www.bank.ecitic.com/" TargetMode="External"/><Relationship Id="rId21" Type="http://schemas.openxmlformats.org/officeDocument/2006/relationships/hyperlink" Target="http://www.bank.pingan.com/" TargetMode="External"/><Relationship Id="rId22" Type="http://schemas.openxmlformats.org/officeDocument/2006/relationships/hyperlink" Target="http://www.cbhb.com.cn/" TargetMode="External"/><Relationship Id="rId23" Type="http://schemas.openxmlformats.org/officeDocument/2006/relationships/hyperlink" Target="http://www.wzbank.cn/" TargetMode="External"/><Relationship Id="rId24" Type="http://schemas.openxmlformats.org/officeDocument/2006/relationships/hyperlink" Target="http://www.czbank.com/" TargetMode="External"/><Relationship Id="rId25" Type="http://schemas.openxmlformats.org/officeDocument/2006/relationships/hyperlink" Target="http://www.hxb.com.cn/" TargetMode="External"/><Relationship Id="rId26" Type="http://schemas.openxmlformats.org/officeDocument/2006/relationships/hyperlink" Target="http://www.jhccb.com.cn/" TargetMode="External"/><Relationship Id="rId27" Type="http://schemas.openxmlformats.org/officeDocument/2006/relationships/hyperlink" Target="http://www.bojx.com/" TargetMode="External"/><Relationship Id="rId28" Type="http://schemas.openxmlformats.org/officeDocument/2006/relationships/hyperlink" Target="http://www.bsb.com.cn/" TargetMode="External"/><Relationship Id="rId29" Type="http://schemas.openxmlformats.org/officeDocument/2006/relationships/hyperlink" Target="http://www.njcb.com.cn/" TargetMode="External"/><Relationship Id="rId30" Type="http://schemas.openxmlformats.org/officeDocument/2006/relationships/hyperlink" Target="http://www.suzhoubank.com/" TargetMode="External"/><Relationship Id="rId31" Type="http://schemas.openxmlformats.org/officeDocument/2006/relationships/hyperlink" Target="http://www.hkbea.com.cn/" TargetMode="External"/><Relationship Id="rId32" Type="http://schemas.openxmlformats.org/officeDocument/2006/relationships/hyperlink" Target="http://www.jnbank.com.cn/" TargetMode="External"/><Relationship Id="rId33" Type="http://schemas.openxmlformats.org/officeDocument/2006/relationships/hyperlink" Target="http://www.hfbank.com.cn/" TargetMode="External"/><Relationship Id="rId34" Type="http://schemas.openxmlformats.org/officeDocument/2006/relationships/hyperlink" Target="http://www.tf.cn/" TargetMode="External"/><Relationship Id="rId35" Type="http://schemas.openxmlformats.org/officeDocument/2006/relationships/hyperlink" Target="http://www.bosc.cn/" TargetMode="External"/><Relationship Id="rId36" Type="http://schemas.openxmlformats.org/officeDocument/2006/relationships/hyperlink" Target="http://www.jsbchina.cn/" TargetMode="External"/><Relationship Id="rId37" Type="http://schemas.openxmlformats.org/officeDocument/2006/relationships/hyperlink" Target="http://www.jjccb.com/" TargetMode="External"/><Relationship Id="rId38" Type="http://schemas.openxmlformats.org/officeDocument/2006/relationships/hyperlink" Target="http://www.nbcb.cn/" TargetMode="External"/><Relationship Id="rId39" Type="http://schemas.openxmlformats.org/officeDocument/2006/relationships/hyperlink" Target="http://www.szrcb.com/" TargetMode="External"/><Relationship Id="rId40" Type="http://schemas.openxmlformats.org/officeDocument/2006/relationships/hyperlink" Target="mailto:jinxia@cgws.com" TargetMode="External"/><Relationship Id="rId41" Type="http://schemas.openxmlformats.org/officeDocument/2006/relationships/hyperlink" Target="http://www.cgws.com/" TargetMode="External"/><Relationship Id="rId42" Type="http://schemas.openxmlformats.org/officeDocument/2006/relationships/hyperlink" Target="http://www.gf.com.cn/" TargetMode="External"/><Relationship Id="rId43" Type="http://schemas.openxmlformats.org/officeDocument/2006/relationships/hyperlink" Target="http://www.chinastock.com.cn/" TargetMode="External"/><Relationship Id="rId44" Type="http://schemas.openxmlformats.org/officeDocument/2006/relationships/hyperlink" Target="http://www.gtja.com/" TargetMode="External"/><Relationship Id="rId45" Type="http://schemas.openxmlformats.org/officeDocument/2006/relationships/hyperlink" Target="http://www.csc108.com/" TargetMode="External"/><Relationship Id="rId46" Type="http://schemas.openxmlformats.org/officeDocument/2006/relationships/hyperlink" Target="http://www.swhysc.com/" TargetMode="External"/><Relationship Id="rId47" Type="http://schemas.openxmlformats.org/officeDocument/2006/relationships/hyperlink" Target="http://www.hysec.com/" TargetMode="External"/><Relationship Id="rId48" Type="http://schemas.openxmlformats.org/officeDocument/2006/relationships/hyperlink" Target="http://www.newone.com.cn/" TargetMode="External"/><Relationship Id="rId49" Type="http://schemas.openxmlformats.org/officeDocument/2006/relationships/hyperlink" Target="http://www.guodu.com/" TargetMode="External"/><Relationship Id="rId50" Type="http://schemas.openxmlformats.org/officeDocument/2006/relationships/hyperlink" Target="http://www.xyzq.com.cn/" TargetMode="External"/><Relationship Id="rId51" Type="http://schemas.openxmlformats.org/officeDocument/2006/relationships/hyperlink" Target="http://www.ebscn.com/" TargetMode="External"/><Relationship Id="rId52" Type="http://schemas.openxmlformats.org/officeDocument/2006/relationships/hyperlink" Target="http://www.htsec.com/" TargetMode="External"/><Relationship Id="rId53" Type="http://schemas.openxmlformats.org/officeDocument/2006/relationships/hyperlink" Target="http://www.bocichina.com/" TargetMode="External"/><Relationship Id="rId54" Type="http://schemas.openxmlformats.org/officeDocument/2006/relationships/hyperlink" Target="http://www.essence.com.cn/" TargetMode="External"/><Relationship Id="rId55" Type="http://schemas.openxmlformats.org/officeDocument/2006/relationships/hyperlink" Target="http://www.gyzq.com.cn/" TargetMode="External"/><Relationship Id="rId56" Type="http://schemas.openxmlformats.org/officeDocument/2006/relationships/hyperlink" Target="http://www.guosen.com.cn/" TargetMode="External"/><Relationship Id="rId57" Type="http://schemas.openxmlformats.org/officeDocument/2006/relationships/hyperlink" Target="http://www.cicc.com.cn/" TargetMode="External"/><Relationship Id="rId58" Type="http://schemas.openxmlformats.org/officeDocument/2006/relationships/hyperlink" Target="http://www.foundersc.com/" TargetMode="External"/><Relationship Id="rId59" Type="http://schemas.openxmlformats.org/officeDocument/2006/relationships/hyperlink" Target="http://www.txsec.com/" TargetMode="External"/><Relationship Id="rId60" Type="http://schemas.openxmlformats.org/officeDocument/2006/relationships/hyperlink" Target="http://www.westsecu.com.cn/" TargetMode="External"/><Relationship Id="rId61" Type="http://schemas.openxmlformats.org/officeDocument/2006/relationships/hyperlink" Target="http://www.cnhbstock.com/" TargetMode="External"/><Relationship Id="rId62" Type="http://schemas.openxmlformats.org/officeDocument/2006/relationships/hyperlink" Target="http://www.ajzq.com/" TargetMode="External"/><Relationship Id="rId63" Type="http://schemas.openxmlformats.org/officeDocument/2006/relationships/hyperlink" Target="http://www.hfzq.com.cn/" TargetMode="External"/><Relationship Id="rId64" Type="http://schemas.openxmlformats.org/officeDocument/2006/relationships/hyperlink" Target="http://www.cindasc.com/" TargetMode="External"/><Relationship Id="rId65" Type="http://schemas.openxmlformats.org/officeDocument/2006/relationships/hyperlink" Target="http://www.ydsc.com.cn/" TargetMode="External"/><Relationship Id="rId66" Type="http://schemas.openxmlformats.org/officeDocument/2006/relationships/hyperlink" Target="http://www.htsc.com.cn/" TargetMode="External"/><Relationship Id="rId67" Type="http://schemas.openxmlformats.org/officeDocument/2006/relationships/hyperlink" Target="http://www.hlzqgs.com/" TargetMode="External"/><Relationship Id="rId68" Type="http://schemas.openxmlformats.org/officeDocument/2006/relationships/hyperlink" Target="http://www.gjzq.com.cn/" TargetMode="External"/><Relationship Id="rId69" Type="http://schemas.openxmlformats.org/officeDocument/2006/relationships/hyperlink" Target="http://www.stocke.com.cn/" TargetMode="External"/><Relationship Id="rId70" Type="http://schemas.openxmlformats.org/officeDocument/2006/relationships/hyperlink" Target="http://www.avicsec.com/" TargetMode="External"/><Relationship Id="rId71" Type="http://schemas.openxmlformats.org/officeDocument/2006/relationships/hyperlink" Target="http://www.cs.ecitic.com/" TargetMode="External"/><Relationship Id="rId72" Type="http://schemas.openxmlformats.org/officeDocument/2006/relationships/hyperlink" Target="http://www.china-invs.cn/" TargetMode="External"/><Relationship Id="rId73" Type="http://schemas.openxmlformats.org/officeDocument/2006/relationships/hyperlink" Target="http://www.95579.com/" TargetMode="External"/><Relationship Id="rId74" Type="http://schemas.openxmlformats.org/officeDocument/2006/relationships/hyperlink" Target="http://www.dgzq.com.cn/" TargetMode="External"/><Relationship Id="rId75" Type="http://schemas.openxmlformats.org/officeDocument/2006/relationships/hyperlink" Target="http://www.dfzq.com.cn/" TargetMode="External"/><Relationship Id="rId76" Type="http://schemas.openxmlformats.org/officeDocument/2006/relationships/hyperlink" Target="http://www.zts.com.cn/" TargetMode="External"/><Relationship Id="rId77" Type="http://schemas.openxmlformats.org/officeDocument/2006/relationships/hyperlink" Target="http://www.gszq.com/" TargetMode="External"/><Relationship Id="rId78" Type="http://schemas.openxmlformats.org/officeDocument/2006/relationships/hyperlink" Target="http://www.ghzq.com.cn/" TargetMode="External"/><Relationship Id="rId79" Type="http://schemas.openxmlformats.org/officeDocument/2006/relationships/hyperlink" Target="http://www.zxwt.com.cn/" TargetMode="External"/><Relationship Id="rId80" Type="http://schemas.openxmlformats.org/officeDocument/2006/relationships/hyperlink" Target="http://www.swsc.com.cn/" TargetMode="External"/><Relationship Id="rId81" Type="http://schemas.openxmlformats.org/officeDocument/2006/relationships/hyperlink" Target="http://www.longone.com.cn/" TargetMode="External"/><Relationship Id="rId82" Type="http://schemas.openxmlformats.org/officeDocument/2006/relationships/hyperlink" Target="http://www.fcsc.com/" TargetMode="External"/><Relationship Id="rId83" Type="http://schemas.openxmlformats.org/officeDocument/2006/relationships/hyperlink" Target="http://www.cczq.com/" TargetMode="External"/><Relationship Id="rId84" Type="http://schemas.openxmlformats.org/officeDocument/2006/relationships/hyperlink" Target="http://www.tfzq.com/" TargetMode="External"/><Relationship Id="rId85" Type="http://schemas.openxmlformats.org/officeDocument/2006/relationships/hyperlink" Target="http://www.citicsf.com/" TargetMode="External"/><Relationship Id="rId86" Type="http://schemas.openxmlformats.org/officeDocument/2006/relationships/hyperlink" Target="http://www.kysec.cn/" TargetMode="External"/><Relationship Id="rId87" Type="http://schemas.openxmlformats.org/officeDocument/2006/relationships/hyperlink" Target="http://www.e5618.com/" TargetMode="External"/><Relationship Id="rId88" Type="http://schemas.openxmlformats.org/officeDocument/2006/relationships/hyperlink" Target="http://www.shhxzq.com/" TargetMode="External"/><Relationship Id="rId89" Type="http://schemas.openxmlformats.org/officeDocument/2006/relationships/hyperlink" Target="http://www.cfsc.com.cn/" TargetMode="External"/><Relationship Id="rId90" Type="http://schemas.openxmlformats.org/officeDocument/2006/relationships/hyperlink" Target="http://www.ctsec.com/" TargetMode="External"/><Relationship Id="rId91" Type="http://schemas.openxmlformats.org/officeDocument/2006/relationships/hyperlink" Target="http://www.gzs.com.cn/" TargetMode="External"/><Relationship Id="rId92" Type="http://schemas.openxmlformats.org/officeDocument/2006/relationships/hyperlink" Target="http://www.lczq.com/" TargetMode="External"/><Relationship Id="rId93" Type="http://schemas.openxmlformats.org/officeDocument/2006/relationships/hyperlink" Target="http://www.zlfund.cn/" TargetMode="External"/><Relationship Id="rId94" Type="http://schemas.openxmlformats.org/officeDocument/2006/relationships/hyperlink" Target="http://www.jjmmw.com/" TargetMode="External"/><Relationship Id="rId95" Type="http://schemas.openxmlformats.org/officeDocument/2006/relationships/hyperlink" Target="http://www.fund123.cn/" TargetMode="External"/><Relationship Id="rId96" Type="http://schemas.openxmlformats.org/officeDocument/2006/relationships/hyperlink" Target="http://www.noah-fund.com/" TargetMode="External"/><Relationship Id="rId97" Type="http://schemas.openxmlformats.org/officeDocument/2006/relationships/hyperlink" Target="http://www.erichfund.com/" TargetMode="External"/><Relationship Id="rId98" Type="http://schemas.openxmlformats.org/officeDocument/2006/relationships/hyperlink" Target="http://www.ehowbuy.com/" TargetMode="External"/><Relationship Id="rId99" Type="http://schemas.openxmlformats.org/officeDocument/2006/relationships/hyperlink" Target="http://www.myfund.com/" TargetMode="External"/><Relationship Id="rId100" Type="http://schemas.openxmlformats.org/officeDocument/2006/relationships/hyperlink" Target="http://www.1234567.com.cn/" TargetMode="External"/><Relationship Id="rId101" Type="http://schemas.openxmlformats.org/officeDocument/2006/relationships/hyperlink" Target="http://www.5ifund.com/" TargetMode="External"/><Relationship Id="rId102" Type="http://schemas.openxmlformats.org/officeDocument/2006/relationships/hyperlink" Target="http://www.zscffund.com/" TargetMode="External"/><Relationship Id="rId103" Type="http://schemas.openxmlformats.org/officeDocument/2006/relationships/hyperlink" Target="http://www.yixinfund.com/" TargetMode="External"/><Relationship Id="rId104" Type="http://schemas.openxmlformats.org/officeDocument/2006/relationships/hyperlink" Target="http://www.zcvc.com.cn/" TargetMode="External"/><Relationship Id="rId105" Type="http://schemas.openxmlformats.org/officeDocument/2006/relationships/hyperlink" Target="http://www.xds.com.cn/" TargetMode="External"/><Relationship Id="rId106" Type="http://schemas.openxmlformats.org/officeDocument/2006/relationships/hyperlink" Target="http://www.shengshiview.com/" TargetMode="External"/><Relationship Id="rId107" Type="http://schemas.openxmlformats.org/officeDocument/2006/relationships/hyperlink" Target="http://www.harvestwm.cn/" TargetMode="External"/><Relationship Id="rId108" Type="http://schemas.openxmlformats.org/officeDocument/2006/relationships/hyperlink" Target="http://8.jrj.com.cn/" TargetMode="External"/><Relationship Id="rId109" Type="http://schemas.openxmlformats.org/officeDocument/2006/relationships/hyperlink" Target="http://www.yilucaifu.com/" TargetMode="External"/><Relationship Id="rId110" Type="http://schemas.openxmlformats.org/officeDocument/2006/relationships/hyperlink" Target="http://www.chtwm.com/" TargetMode="External"/><Relationship Id="rId111" Type="http://schemas.openxmlformats.org/officeDocument/2006/relationships/hyperlink" Target="http://www.qianjing.com/" TargetMode="External"/><Relationship Id="rId112" Type="http://schemas.openxmlformats.org/officeDocument/2006/relationships/hyperlink" Target="http://www.tenyuanfund.com/" TargetMode="External"/><Relationship Id="rId113" Type="http://schemas.openxmlformats.org/officeDocument/2006/relationships/hyperlink" Target="http://www.5irich.com/" TargetMode="External"/><Relationship Id="rId114" Type="http://schemas.openxmlformats.org/officeDocument/2006/relationships/hyperlink" Target="http://www.tdyhfund.com/" TargetMode="External"/><Relationship Id="rId115" Type="http://schemas.openxmlformats.org/officeDocument/2006/relationships/hyperlink" Target="http://www.66liantai.com/" TargetMode="External"/><Relationship Id="rId116" Type="http://schemas.openxmlformats.org/officeDocument/2006/relationships/hyperlink" Target="http://www.leadfund.com.cn/" TargetMode="External"/><Relationship Id="rId117" Type="http://schemas.openxmlformats.org/officeDocument/2006/relationships/hyperlink" Target="http://www.xincai.com/" TargetMode="External"/><Relationship Id="rId118" Type="http://schemas.openxmlformats.org/officeDocument/2006/relationships/hyperlink" Target="http://www.lufunds.com/" TargetMode="External"/><Relationship Id="rId119" Type="http://schemas.openxmlformats.org/officeDocument/2006/relationships/hyperlink" Target="http://www.fujifund.cn/" TargetMode="External"/><Relationship Id="rId120" Type="http://schemas.openxmlformats.org/officeDocument/2006/relationships/hyperlink" Target="http://www.hongdianfund.com/" TargetMode="External"/><Relationship Id="rId121" Type="http://schemas.openxmlformats.org/officeDocument/2006/relationships/hyperlink" Target="http://www.yingmi.cn/" TargetMode="External"/><Relationship Id="rId122" Type="http://schemas.openxmlformats.org/officeDocument/2006/relationships/hyperlink" Target="http://www.jnlc.com/" TargetMode="External"/><Relationship Id="rId123" Type="http://schemas.openxmlformats.org/officeDocument/2006/relationships/hyperlink" Target="http://www.ifastps.com.cn/" TargetMode="External"/><Relationship Id="rId124" Type="http://schemas.openxmlformats.org/officeDocument/2006/relationships/hyperlink" Target="http://www.hgccpb.com/" TargetMode="External"/><Relationship Id="rId125" Type="http://schemas.openxmlformats.org/officeDocument/2006/relationships/hyperlink" Target="http://www.vstonewealth.com/" TargetMode="External"/><Relationship Id="rId126" Type="http://schemas.openxmlformats.org/officeDocument/2006/relationships/hyperlink" Target="http://www.jfzinv.com/" TargetMode="External"/><Relationship Id="rId127" Type="http://schemas.openxmlformats.org/officeDocument/2006/relationships/hyperlink" Target="http://www.buyfunds.cn/" TargetMode="External"/><Relationship Id="rId128" Type="http://schemas.openxmlformats.org/officeDocument/2006/relationships/hyperlink" Target="http://www.hcjijin.com/" TargetMode="External"/><Relationship Id="rId129" Type="http://schemas.openxmlformats.org/officeDocument/2006/relationships/hyperlink" Target="http://www.snjijin.com/" TargetMode="External"/><Relationship Id="rId130" Type="http://schemas.openxmlformats.org/officeDocument/2006/relationships/hyperlink" Target="http://www.wg.com.cn/" TargetMode="External"/><Relationship Id="rId131" Type="http://schemas.openxmlformats.org/officeDocument/2006/relationships/hyperlink" Target="http://www.niuniufund.com/" TargetMode="External"/><Relationship Id="rId132" Type="http://schemas.openxmlformats.org/officeDocument/2006/relationships/hyperlink" Target="http://www.zhongzhengfund.com/" TargetMode="External"/><Relationship Id="rId133" Type="http://schemas.openxmlformats.org/officeDocument/2006/relationships/hyperlink" Target="http://www.fundhaiyin.com/" TargetMode="External"/><Relationship Id="rId134" Type="http://schemas.openxmlformats.org/officeDocument/2006/relationships/hyperlink" Target="http://www.webank.com/" TargetMode="External"/><Relationship Id="rId135" Type="http://schemas.openxmlformats.org/officeDocument/2006/relationships/hyperlink" Target="http://www.keynesasset.com/" TargetMode="External"/><Relationship Id="rId136" Type="http://schemas.openxmlformats.org/officeDocument/2006/relationships/hyperlink" Target="http://www.cmiwm.com/" TargetMode="External"/><Relationship Id="rId137" Type="http://schemas.openxmlformats.org/officeDocument/2006/relationships/hyperlink" Target="http://www.gomefund.com/" TargetMode="External"/><Relationship Id="rId138" Type="http://schemas.openxmlformats.org/officeDocument/2006/relationships/hyperlink" Target="http://www.jiyufund.com.cn/" TargetMode="External"/><Relationship Id="rId139" Type="http://schemas.openxmlformats.org/officeDocument/2006/relationships/hyperlink" Target="http://jr.tuniu.com/" TargetMode="External"/><Relationship Id="rId140" Type="http://schemas.openxmlformats.org/officeDocument/2006/relationships/hyperlink" Target="http://www.jp-fund.com/" TargetMode="External"/><Relationship Id="rId141" Type="http://schemas.openxmlformats.org/officeDocument/2006/relationships/hyperlink" Target="http://www.fengfd.com/" TargetMode="External"/><Relationship Id="rId142" Type="http://schemas.openxmlformats.org/officeDocument/2006/relationships/hyperlink" Target="http://www.buyforyou.com.cn/" TargetMode="External"/><Relationship Id="rId143" Type="http://schemas.openxmlformats.org/officeDocument/2006/relationships/hyperlink" Target="http://www.igesafe.com/" TargetMode="External"/><Relationship Id="rId144" Type="http://schemas.openxmlformats.org/officeDocument/2006/relationships/hyperlink" Target="http://www.998fund.com/" TargetMode="External"/><Relationship Id="rId145" Type="http://schemas.openxmlformats.org/officeDocument/2006/relationships/hyperlink" Target="http://www.puyifund.com/" TargetMode="External"/><Relationship Id="rId146" Type="http://schemas.openxmlformats.org/officeDocument/2006/relationships/hyperlink" Target="http://www.amcfortune.com/" TargetMode="External"/><Relationship Id="rId147" Type="http://schemas.openxmlformats.org/officeDocument/2006/relationships/hyperlink" Target="http://www.zhengtongfunds.com/" TargetMode="External"/><Relationship Id="rId148" Type="http://schemas.openxmlformats.org/officeDocument/2006/relationships/hyperlink" Target="http://www.wacaijijin.com/" TargetMode="External"/><Relationship Id="rId149" Type="http://schemas.openxmlformats.org/officeDocument/2006/relationships/hyperlink" Target="http://fund.qiushicaifu.com/" TargetMode="External"/><Relationship Id="rId150" Type="http://schemas.openxmlformats.org/officeDocument/2006/relationships/hyperlink" Target="http://www.urainf.com/" TargetMode="External"/><Relationship Id="rId151" Type="http://schemas.openxmlformats.org/officeDocument/2006/relationships/hyperlink" Target="http://www.wanjiawealth.com/" TargetMode="External"/><Relationship Id="rId152" Type="http://schemas.openxmlformats.org/officeDocument/2006/relationships/hyperlink" Target="http://www.bjdyfund.com/" TargetMode="External"/><Relationship Id="rId153" Type="http://schemas.openxmlformats.org/officeDocument/2006/relationships/hyperlink" Target="http://www.tonghuafund.com/" TargetMode="External"/><Relationship Id="rId154" Type="http://schemas.openxmlformats.org/officeDocument/2006/relationships/hyperlink" Target="http://www.xiquefund.com/" TargetMode="External"/><Relationship Id="rId155" Type="http://schemas.openxmlformats.org/officeDocument/2006/relationships/hyperlink" Target="http://www.jianfortune.com/" TargetMode="External"/><Relationship Id="rId156" Type="http://schemas.openxmlformats.org/officeDocument/2006/relationships/hyperlink" Target="http://www.cefcfco.com/" TargetMode="External"/><Relationship Id="rId157" Type="http://schemas.openxmlformats.org/officeDocument/2006/relationships/hyperlink" Target="http://www.hongtaiwealth.com/" TargetMode="External"/><Relationship Id="rId158" Type="http://schemas.openxmlformats.org/officeDocument/2006/relationships/hyperlink" Target="http://www.youyufund.com/" TargetMode="External"/><Relationship Id="rId159" Type="http://schemas.openxmlformats.org/officeDocument/2006/relationships/hyperlink" Target="http://www.gxjlcn.com/" TargetMode="External"/><Relationship Id="rId160" Type="http://schemas.openxmlformats.org/officeDocument/2006/relationships/hyperlink" Target="http://www.qiangungun.com/" TargetMode="External"/><Relationship Id="rId161" Type="http://schemas.openxmlformats.org/officeDocument/2006/relationships/hyperlink" Target="http://www.msftec.com/" TargetMode="External"/><Relationship Id="rId162" Type="http://schemas.openxmlformats.org/officeDocument/2006/relationships/hyperlink" Target="http://www.baiyingfund.com/" TargetMode="External"/><Relationship Id="rId163" Type="http://schemas.openxmlformats.org/officeDocument/2006/relationships/hyperlink" Target="http://www.luxxfund.com/" TargetMode="External"/><Relationship Id="rId164" Type="http://schemas.openxmlformats.org/officeDocument/2006/relationships/hyperlink" Target="http://www.huilinbd.com/" TargetMode="External"/><Relationship Id="rId165" Type="http://schemas.openxmlformats.org/officeDocument/2006/relationships/hyperlink" Target="http://www.e-chinalife.com/" TargetMode="External"/><Relationship Id="rId166" Type="http://schemas.openxmlformats.org/officeDocument/2006/relationships/hyperlink" Target="http://www.9ifund.com/" TargetMode="External"/><Relationship Id="rId167" Type="http://schemas.openxmlformats.org/officeDocument/2006/relationships/image" Target="media/image1.jpeg"/><Relationship Id="rId168" Type="http://schemas.openxmlformats.org/officeDocument/2006/relationships/footer" Target="footer2.xml"/><Relationship Id="rId169" Type="http://schemas.openxmlformats.org/officeDocument/2006/relationships/footer" Target="footer3.xml"/><Relationship Id="rId170" Type="http://schemas.openxmlformats.org/officeDocument/2006/relationships/footer" Target="footer4.xml"/><Relationship Id="rId171" Type="http://schemas.openxmlformats.org/officeDocument/2006/relationships/footer" Target="footer5.xml"/><Relationship Id="rId172" Type="http://schemas.openxmlformats.org/officeDocument/2006/relationships/footer" Target="footer6.xml"/><Relationship Id="rId173" Type="http://schemas.openxmlformats.org/officeDocument/2006/relationships/footer" Target="footer7.xml"/><Relationship Id="rId174" Type="http://schemas.openxmlformats.org/officeDocument/2006/relationships/footer" Target="footer8.xml"/><Relationship Id="rId175" Type="http://schemas.openxmlformats.org/officeDocument/2006/relationships/footer" Target="footer9.xml"/><Relationship Id="rId176" Type="http://schemas.openxmlformats.org/officeDocument/2006/relationships/footer" Target="footer10.xml"/><Relationship Id="rId177" Type="http://schemas.openxmlformats.org/officeDocument/2006/relationships/footer" Target="footer11.xml"/><Relationship Id="rId178" Type="http://schemas.openxmlformats.org/officeDocument/2006/relationships/hyperlink" Target="http://www.igwfmc.com/main/zxzx/jjgg/lsgg/a/20200106/1037196.html" TargetMode="External"/><Relationship Id="rId179" Type="http://schemas.openxmlformats.org/officeDocument/2006/relationships/hyperlink" Target="http://www.igwfmc.com/main/zxzx/jjgg/lsgg/a/20191128/1036789.html" TargetMode="External"/><Relationship Id="rId18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miaokz</dc:creator>
  <dc:title>景顺长城</dc:title>
  <dcterms:created xsi:type="dcterms:W3CDTF">2020-11-17T05:58:18Z</dcterms:created>
  <dcterms:modified xsi:type="dcterms:W3CDTF">2020-11-17T05:58:18Z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Office Word 2007</vt:lpwstr>
  </property>
  <property fmtid="{D5CDD505-2E9C-101B-9397-08002B2CF9AE}" pid="4" name="LastSaved">
    <vt:filetime>2020-11-17T00:00:00Z</vt:filetime>
  </property>
</Properties>
</file>